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7D0C" w14:textId="6CE4674B" w:rsidR="001D19A6" w:rsidRPr="009D4270" w:rsidRDefault="001D19A6" w:rsidP="001D19A6">
      <w:pPr>
        <w:pStyle w:val="PressRelease"/>
        <w:spacing w:after="0"/>
        <w:ind w:right="134"/>
        <w:rPr>
          <w:noProof/>
        </w:rPr>
      </w:pPr>
      <w:r w:rsidRPr="009D4270">
        <w:t>COMMUNIQUÉ DE PRESSE</w:t>
      </w:r>
      <w:r w:rsidRPr="009D4270">
        <w:br/>
      </w:r>
      <w:r>
        <w:t>8</w:t>
      </w:r>
      <w:r w:rsidRPr="009D4270">
        <w:t xml:space="preserve"> </w:t>
      </w:r>
      <w:r>
        <w:t>D</w:t>
      </w:r>
      <w:r w:rsidR="00783B72" w:rsidRPr="009D4270">
        <w:t>É</w:t>
      </w:r>
      <w:r>
        <w:t>CEMBRE</w:t>
      </w:r>
      <w:r w:rsidRPr="009D4270">
        <w:t xml:space="preserve"> 2020</w:t>
      </w:r>
    </w:p>
    <w:p w14:paraId="0E1C7F81" w14:textId="77777777" w:rsidR="001D19A6" w:rsidRPr="009D4270" w:rsidRDefault="001D19A6" w:rsidP="001D19A6">
      <w:pPr>
        <w:pStyle w:val="Introduction"/>
      </w:pPr>
    </w:p>
    <w:p w14:paraId="4AE56A5F" w14:textId="561F177A" w:rsidR="001D19A6" w:rsidRPr="00A94C5F" w:rsidRDefault="001D19A6" w:rsidP="001D19A6">
      <w:pPr>
        <w:pStyle w:val="Header1"/>
      </w:pPr>
      <w:r>
        <w:t xml:space="preserve">Les clients d’ING optent de plus en plus pour la facilité d’utilisation de la banque digitale </w:t>
      </w:r>
      <w:r w:rsidRPr="009D4270">
        <w:t xml:space="preserve"> </w:t>
      </w:r>
    </w:p>
    <w:p w14:paraId="5E2EA84F" w14:textId="1AEAF66C" w:rsidR="001D19A6" w:rsidRDefault="001D19A6" w:rsidP="001D19A6">
      <w:pPr>
        <w:jc w:val="both"/>
        <w:rPr>
          <w:sz w:val="22"/>
          <w:szCs w:val="22"/>
        </w:rPr>
      </w:pPr>
      <w:r w:rsidRPr="001B6E24">
        <w:rPr>
          <w:rFonts w:cstheme="minorHAnsi"/>
          <w:b/>
          <w:sz w:val="24"/>
        </w:rPr>
        <w:t xml:space="preserve">Bruxelles, </w:t>
      </w:r>
      <w:r>
        <w:rPr>
          <w:rFonts w:cstheme="minorHAnsi"/>
          <w:b/>
          <w:sz w:val="24"/>
        </w:rPr>
        <w:t xml:space="preserve">le </w:t>
      </w:r>
      <w:r w:rsidRPr="001B6E24">
        <w:rPr>
          <w:rFonts w:cstheme="minorHAnsi"/>
          <w:b/>
          <w:sz w:val="24"/>
        </w:rPr>
        <w:t>8</w:t>
      </w:r>
      <w:r>
        <w:rPr>
          <w:rFonts w:cstheme="minorHAnsi"/>
          <w:b/>
          <w:sz w:val="24"/>
        </w:rPr>
        <w:t> </w:t>
      </w:r>
      <w:r w:rsidRPr="001B6E24">
        <w:rPr>
          <w:rFonts w:cstheme="minorHAnsi"/>
          <w:b/>
          <w:sz w:val="24"/>
        </w:rPr>
        <w:t>décembre</w:t>
      </w:r>
      <w:r>
        <w:rPr>
          <w:rFonts w:cstheme="minorHAnsi"/>
          <w:b/>
          <w:sz w:val="24"/>
        </w:rPr>
        <w:t> </w:t>
      </w:r>
      <w:r w:rsidRPr="001B6E24">
        <w:rPr>
          <w:rFonts w:cstheme="minorHAnsi"/>
          <w:b/>
          <w:sz w:val="24"/>
        </w:rPr>
        <w:t xml:space="preserve">2020 – </w:t>
      </w:r>
      <w:r w:rsidRPr="001B6E24">
        <w:rPr>
          <w:b/>
          <w:bCs/>
          <w:sz w:val="24"/>
        </w:rPr>
        <w:t xml:space="preserve">ING constate que la préférence de ses clients pour les canaux </w:t>
      </w:r>
      <w:r>
        <w:rPr>
          <w:b/>
          <w:bCs/>
          <w:sz w:val="24"/>
        </w:rPr>
        <w:t xml:space="preserve">digitaux </w:t>
      </w:r>
      <w:r w:rsidRPr="001B6E24">
        <w:rPr>
          <w:b/>
          <w:bCs/>
          <w:sz w:val="24"/>
        </w:rPr>
        <w:t>ne cesse de croître.</w:t>
      </w:r>
      <w:r>
        <w:rPr>
          <w:b/>
          <w:bCs/>
          <w:sz w:val="24"/>
        </w:rPr>
        <w:t xml:space="preserve"> </w:t>
      </w:r>
      <w:r w:rsidRPr="001B6E24">
        <w:rPr>
          <w:b/>
          <w:bCs/>
          <w:sz w:val="24"/>
        </w:rPr>
        <w:t xml:space="preserve">La plateforme mobile </w:t>
      </w:r>
      <w:r>
        <w:rPr>
          <w:b/>
          <w:bCs/>
          <w:sz w:val="24"/>
        </w:rPr>
        <w:t>globale</w:t>
      </w:r>
      <w:r w:rsidR="00A93898">
        <w:rPr>
          <w:b/>
          <w:bCs/>
          <w:sz w:val="24"/>
        </w:rPr>
        <w:t xml:space="preserve"> </w:t>
      </w:r>
      <w:r w:rsidRPr="001B6E24">
        <w:rPr>
          <w:b/>
          <w:bCs/>
          <w:sz w:val="24"/>
        </w:rPr>
        <w:t>d</w:t>
      </w:r>
      <w:r>
        <w:rPr>
          <w:b/>
          <w:bCs/>
          <w:sz w:val="24"/>
        </w:rPr>
        <w:t>’</w:t>
      </w:r>
      <w:r w:rsidRPr="001B6E24">
        <w:rPr>
          <w:b/>
          <w:bCs/>
          <w:sz w:val="24"/>
        </w:rPr>
        <w:t>ING enregistre désormais 8</w:t>
      </w:r>
      <w:r>
        <w:rPr>
          <w:b/>
          <w:bCs/>
          <w:sz w:val="24"/>
        </w:rPr>
        <w:t> </w:t>
      </w:r>
      <w:r w:rsidRPr="001B6E24">
        <w:rPr>
          <w:b/>
          <w:bCs/>
          <w:sz w:val="24"/>
        </w:rPr>
        <w:t>millions de visites de clients belg</w:t>
      </w:r>
      <w:bookmarkStart w:id="0" w:name="_GoBack"/>
      <w:bookmarkEnd w:id="0"/>
      <w:r w:rsidRPr="001B6E24">
        <w:rPr>
          <w:b/>
          <w:bCs/>
          <w:sz w:val="24"/>
        </w:rPr>
        <w:t>es par semaine</w:t>
      </w:r>
      <w:r>
        <w:rPr>
          <w:b/>
          <w:bCs/>
          <w:sz w:val="24"/>
        </w:rPr>
        <w:t xml:space="preserve">, </w:t>
      </w:r>
      <w:r w:rsidR="000C22A3">
        <w:rPr>
          <w:b/>
          <w:bCs/>
          <w:sz w:val="24"/>
        </w:rPr>
        <w:t>ceci est</w:t>
      </w:r>
      <w:r>
        <w:rPr>
          <w:b/>
          <w:bCs/>
          <w:sz w:val="24"/>
        </w:rPr>
        <w:t xml:space="preserve"> p</w:t>
      </w:r>
      <w:r w:rsidRPr="001B6E24">
        <w:rPr>
          <w:b/>
          <w:bCs/>
          <w:sz w:val="24"/>
        </w:rPr>
        <w:t>rès d</w:t>
      </w:r>
      <w:r>
        <w:rPr>
          <w:b/>
          <w:bCs/>
          <w:sz w:val="24"/>
        </w:rPr>
        <w:t>’</w:t>
      </w:r>
      <w:r w:rsidRPr="001B6E24">
        <w:rPr>
          <w:b/>
          <w:bCs/>
          <w:sz w:val="24"/>
        </w:rPr>
        <w:t>un quart (23%) de plus au cours des neuf premiers mois de 2020 par rapport à la même période l</w:t>
      </w:r>
      <w:r>
        <w:rPr>
          <w:b/>
          <w:bCs/>
          <w:sz w:val="24"/>
        </w:rPr>
        <w:t>’</w:t>
      </w:r>
      <w:r w:rsidRPr="001B6E24">
        <w:rPr>
          <w:b/>
          <w:bCs/>
          <w:sz w:val="24"/>
        </w:rPr>
        <w:t>année dernière. L</w:t>
      </w:r>
      <w:r>
        <w:rPr>
          <w:b/>
          <w:bCs/>
          <w:sz w:val="24"/>
        </w:rPr>
        <w:t>’</w:t>
      </w:r>
      <w:r w:rsidRPr="001B6E24">
        <w:rPr>
          <w:b/>
          <w:bCs/>
          <w:sz w:val="24"/>
        </w:rPr>
        <w:t xml:space="preserve">accès aux conseils </w:t>
      </w:r>
      <w:r w:rsidR="00A365ED">
        <w:rPr>
          <w:b/>
          <w:bCs/>
          <w:sz w:val="24"/>
        </w:rPr>
        <w:t>d</w:t>
      </w:r>
      <w:r w:rsidR="000C22A3">
        <w:rPr>
          <w:b/>
          <w:bCs/>
          <w:sz w:val="24"/>
        </w:rPr>
        <w:t>’</w:t>
      </w:r>
      <w:r w:rsidRPr="001B6E24">
        <w:rPr>
          <w:b/>
          <w:bCs/>
          <w:sz w:val="24"/>
        </w:rPr>
        <w:t xml:space="preserve">experts </w:t>
      </w:r>
      <w:r w:rsidR="000C22A3">
        <w:rPr>
          <w:b/>
          <w:bCs/>
          <w:sz w:val="24"/>
        </w:rPr>
        <w:t xml:space="preserve">ING </w:t>
      </w:r>
      <w:r w:rsidR="00A365ED">
        <w:rPr>
          <w:b/>
          <w:bCs/>
          <w:sz w:val="24"/>
        </w:rPr>
        <w:t>disponible</w:t>
      </w:r>
      <w:r w:rsidR="0030268D">
        <w:rPr>
          <w:b/>
          <w:bCs/>
          <w:sz w:val="24"/>
        </w:rPr>
        <w:t>s</w:t>
      </w:r>
      <w:r w:rsidR="00A365ED">
        <w:rPr>
          <w:b/>
          <w:bCs/>
          <w:sz w:val="24"/>
        </w:rPr>
        <w:t xml:space="preserve"> </w:t>
      </w:r>
      <w:r w:rsidRPr="001B6E24">
        <w:rPr>
          <w:b/>
          <w:bCs/>
          <w:sz w:val="24"/>
        </w:rPr>
        <w:t xml:space="preserve">à distance </w:t>
      </w:r>
      <w:r w:rsidR="00A365ED">
        <w:rPr>
          <w:b/>
          <w:bCs/>
          <w:sz w:val="24"/>
        </w:rPr>
        <w:t xml:space="preserve">et de manière digitale </w:t>
      </w:r>
      <w:r w:rsidRPr="001B6E24">
        <w:rPr>
          <w:b/>
          <w:bCs/>
          <w:sz w:val="24"/>
        </w:rPr>
        <w:t xml:space="preserve">a </w:t>
      </w:r>
      <w:r w:rsidR="00A365ED">
        <w:rPr>
          <w:b/>
          <w:bCs/>
          <w:sz w:val="24"/>
        </w:rPr>
        <w:t>bénéficié dès son</w:t>
      </w:r>
      <w:r w:rsidR="00A365ED" w:rsidRPr="001B6E24">
        <w:rPr>
          <w:b/>
          <w:bCs/>
          <w:sz w:val="24"/>
        </w:rPr>
        <w:t xml:space="preserve"> lancemen</w:t>
      </w:r>
      <w:r w:rsidR="00A365ED">
        <w:rPr>
          <w:b/>
          <w:bCs/>
          <w:sz w:val="24"/>
        </w:rPr>
        <w:t>t d’</w:t>
      </w:r>
      <w:r w:rsidRPr="001B6E24">
        <w:rPr>
          <w:b/>
          <w:bCs/>
          <w:sz w:val="24"/>
        </w:rPr>
        <w:t xml:space="preserve">un </w:t>
      </w:r>
      <w:r w:rsidR="00A365ED">
        <w:rPr>
          <w:b/>
          <w:bCs/>
          <w:sz w:val="24"/>
        </w:rPr>
        <w:t xml:space="preserve">taux </w:t>
      </w:r>
      <w:r w:rsidRPr="001B6E24">
        <w:rPr>
          <w:b/>
          <w:bCs/>
          <w:sz w:val="24"/>
        </w:rPr>
        <w:t xml:space="preserve">de satisfaction </w:t>
      </w:r>
      <w:r w:rsidR="00A365ED">
        <w:rPr>
          <w:b/>
          <w:bCs/>
          <w:sz w:val="24"/>
        </w:rPr>
        <w:t xml:space="preserve">élevé </w:t>
      </w:r>
      <w:r w:rsidRPr="001B6E24">
        <w:rPr>
          <w:b/>
          <w:bCs/>
          <w:sz w:val="24"/>
        </w:rPr>
        <w:t>des clients</w:t>
      </w:r>
      <w:r>
        <w:rPr>
          <w:b/>
          <w:bCs/>
          <w:sz w:val="24"/>
        </w:rPr>
        <w:t>.</w:t>
      </w:r>
    </w:p>
    <w:p w14:paraId="3EFBCAD2" w14:textId="401E7346" w:rsidR="001D19A6" w:rsidRDefault="001D19A6" w:rsidP="001D19A6">
      <w:pPr>
        <w:jc w:val="both"/>
        <w:rPr>
          <w:sz w:val="22"/>
          <w:szCs w:val="22"/>
        </w:rPr>
      </w:pPr>
      <w:r w:rsidRPr="00E56F4C">
        <w:rPr>
          <w:sz w:val="22"/>
          <w:szCs w:val="22"/>
        </w:rPr>
        <w:t xml:space="preserve">ING analyse en permanence les préférences </w:t>
      </w:r>
      <w:r>
        <w:rPr>
          <w:sz w:val="22"/>
          <w:szCs w:val="22"/>
        </w:rPr>
        <w:t>et l’évolution du comportement de ses clients</w:t>
      </w:r>
      <w:r w:rsidRPr="00E56F4C">
        <w:rPr>
          <w:sz w:val="22"/>
          <w:szCs w:val="22"/>
        </w:rPr>
        <w:t xml:space="preserve"> afin d</w:t>
      </w:r>
      <w:r>
        <w:rPr>
          <w:sz w:val="22"/>
          <w:szCs w:val="22"/>
        </w:rPr>
        <w:t>’</w:t>
      </w:r>
      <w:r w:rsidRPr="00E56F4C">
        <w:rPr>
          <w:sz w:val="22"/>
          <w:szCs w:val="22"/>
        </w:rPr>
        <w:t xml:space="preserve">optimiser </w:t>
      </w:r>
      <w:r>
        <w:rPr>
          <w:sz w:val="22"/>
          <w:szCs w:val="22"/>
        </w:rPr>
        <w:t>la combinaison</w:t>
      </w:r>
      <w:r w:rsidRPr="00E56F4C">
        <w:rPr>
          <w:sz w:val="22"/>
          <w:szCs w:val="22"/>
        </w:rPr>
        <w:t xml:space="preserve"> de s</w:t>
      </w:r>
      <w:r w:rsidR="00A365ED">
        <w:rPr>
          <w:sz w:val="22"/>
          <w:szCs w:val="22"/>
        </w:rPr>
        <w:t xml:space="preserve">a présence </w:t>
      </w:r>
      <w:r w:rsidRPr="00E56F4C">
        <w:rPr>
          <w:sz w:val="22"/>
          <w:szCs w:val="22"/>
        </w:rPr>
        <w:t xml:space="preserve">physique et </w:t>
      </w:r>
      <w:r w:rsidR="00A365ED">
        <w:rPr>
          <w:sz w:val="22"/>
          <w:szCs w:val="22"/>
        </w:rPr>
        <w:t xml:space="preserve">de ses services </w:t>
      </w:r>
      <w:r w:rsidR="00601F9A">
        <w:rPr>
          <w:sz w:val="22"/>
          <w:szCs w:val="22"/>
        </w:rPr>
        <w:t>digita</w:t>
      </w:r>
      <w:r w:rsidR="00A365ED">
        <w:rPr>
          <w:sz w:val="22"/>
          <w:szCs w:val="22"/>
        </w:rPr>
        <w:t>ux</w:t>
      </w:r>
      <w:r w:rsidRPr="00E56F4C">
        <w:rPr>
          <w:sz w:val="22"/>
          <w:szCs w:val="22"/>
        </w:rPr>
        <w:t xml:space="preserve"> </w:t>
      </w:r>
      <w:r>
        <w:rPr>
          <w:sz w:val="22"/>
          <w:szCs w:val="22"/>
        </w:rPr>
        <w:t>permettant d’</w:t>
      </w:r>
      <w:r w:rsidRPr="00E56F4C">
        <w:rPr>
          <w:sz w:val="22"/>
          <w:szCs w:val="22"/>
        </w:rPr>
        <w:t>offrir la meilleure expérience clients. Au cours de l</w:t>
      </w:r>
      <w:r>
        <w:rPr>
          <w:sz w:val="22"/>
          <w:szCs w:val="22"/>
        </w:rPr>
        <w:t>’</w:t>
      </w:r>
      <w:r w:rsidRPr="00E56F4C">
        <w:rPr>
          <w:sz w:val="22"/>
          <w:szCs w:val="22"/>
        </w:rPr>
        <w:t xml:space="preserve">année écoulée, </w:t>
      </w:r>
      <w:r>
        <w:rPr>
          <w:sz w:val="22"/>
          <w:szCs w:val="22"/>
        </w:rPr>
        <w:t>ING a investi</w:t>
      </w:r>
      <w:r w:rsidRPr="00E56F4C">
        <w:rPr>
          <w:sz w:val="22"/>
          <w:szCs w:val="22"/>
        </w:rPr>
        <w:t xml:space="preserve"> dans </w:t>
      </w:r>
      <w:r w:rsidR="00A365ED">
        <w:rPr>
          <w:sz w:val="22"/>
          <w:szCs w:val="22"/>
        </w:rPr>
        <w:t>le conseil à distance</w:t>
      </w:r>
      <w:r w:rsidR="008A27BD">
        <w:rPr>
          <w:sz w:val="22"/>
          <w:szCs w:val="22"/>
        </w:rPr>
        <w:t xml:space="preserve"> digital</w:t>
      </w:r>
      <w:r>
        <w:rPr>
          <w:sz w:val="22"/>
          <w:szCs w:val="22"/>
        </w:rPr>
        <w:t xml:space="preserve"> </w:t>
      </w:r>
      <w:r w:rsidRPr="001B6C78">
        <w:rPr>
          <w:sz w:val="22"/>
          <w:szCs w:val="22"/>
        </w:rPr>
        <w:t xml:space="preserve">afin que </w:t>
      </w:r>
      <w:r>
        <w:rPr>
          <w:sz w:val="22"/>
          <w:szCs w:val="22"/>
        </w:rPr>
        <w:t>ses</w:t>
      </w:r>
      <w:r w:rsidRPr="001B6C78">
        <w:rPr>
          <w:sz w:val="22"/>
          <w:szCs w:val="22"/>
        </w:rPr>
        <w:t xml:space="preserve"> clients puissent facilement faire appel à un expert</w:t>
      </w:r>
      <w:r w:rsidRPr="00E56F4C">
        <w:rPr>
          <w:sz w:val="22"/>
          <w:szCs w:val="22"/>
        </w:rPr>
        <w:t xml:space="preserve">. Ce service </w:t>
      </w:r>
      <w:r w:rsidR="000C22A3">
        <w:rPr>
          <w:sz w:val="22"/>
          <w:szCs w:val="22"/>
        </w:rPr>
        <w:t xml:space="preserve">perdurera même quand les </w:t>
      </w:r>
      <w:r w:rsidRPr="00E56F4C">
        <w:rPr>
          <w:sz w:val="22"/>
          <w:szCs w:val="22"/>
        </w:rPr>
        <w:t xml:space="preserve">mesures liées </w:t>
      </w:r>
      <w:r>
        <w:rPr>
          <w:sz w:val="22"/>
          <w:szCs w:val="22"/>
        </w:rPr>
        <w:t>au</w:t>
      </w:r>
      <w:r w:rsidRPr="00E56F4C">
        <w:rPr>
          <w:sz w:val="22"/>
          <w:szCs w:val="22"/>
        </w:rPr>
        <w:t xml:space="preserve"> </w:t>
      </w:r>
      <w:r w:rsidR="00783B72">
        <w:rPr>
          <w:sz w:val="22"/>
          <w:szCs w:val="22"/>
        </w:rPr>
        <w:t>coronavirus</w:t>
      </w:r>
      <w:r w:rsidR="000C22A3">
        <w:rPr>
          <w:sz w:val="22"/>
          <w:szCs w:val="22"/>
        </w:rPr>
        <w:t xml:space="preserve"> ne seront plus d’application</w:t>
      </w:r>
      <w:r w:rsidRPr="00E56F4C">
        <w:rPr>
          <w:sz w:val="22"/>
          <w:szCs w:val="22"/>
        </w:rPr>
        <w:t xml:space="preserve">. ING </w:t>
      </w:r>
      <w:r>
        <w:rPr>
          <w:sz w:val="22"/>
          <w:szCs w:val="22"/>
        </w:rPr>
        <w:t>investira également</w:t>
      </w:r>
      <w:r w:rsidRPr="00E56F4C">
        <w:rPr>
          <w:sz w:val="22"/>
          <w:szCs w:val="22"/>
        </w:rPr>
        <w:t xml:space="preserve"> davantage dans les </w:t>
      </w:r>
      <w:r w:rsidR="00A365ED">
        <w:rPr>
          <w:sz w:val="22"/>
          <w:szCs w:val="22"/>
        </w:rPr>
        <w:t>services</w:t>
      </w:r>
      <w:r w:rsidRPr="00E56F4C">
        <w:rPr>
          <w:sz w:val="22"/>
          <w:szCs w:val="22"/>
        </w:rPr>
        <w:t xml:space="preserve"> mobiles afin de </w:t>
      </w:r>
      <w:r>
        <w:rPr>
          <w:sz w:val="22"/>
          <w:szCs w:val="22"/>
        </w:rPr>
        <w:t>s’assurer</w:t>
      </w:r>
      <w:r w:rsidRPr="00E56F4C">
        <w:rPr>
          <w:sz w:val="22"/>
          <w:szCs w:val="22"/>
        </w:rPr>
        <w:t xml:space="preserve"> que</w:t>
      </w:r>
      <w:r>
        <w:rPr>
          <w:sz w:val="22"/>
          <w:szCs w:val="22"/>
        </w:rPr>
        <w:t xml:space="preserve"> ses clients aient tout ce dont ils ont besoin</w:t>
      </w:r>
      <w:r w:rsidRPr="00204F70">
        <w:rPr>
          <w:sz w:val="22"/>
          <w:szCs w:val="22"/>
        </w:rPr>
        <w:t xml:space="preserve"> </w:t>
      </w:r>
      <w:r>
        <w:rPr>
          <w:sz w:val="22"/>
          <w:szCs w:val="22"/>
        </w:rPr>
        <w:t>à portée de main</w:t>
      </w:r>
      <w:r w:rsidRPr="00E56F4C">
        <w:rPr>
          <w:sz w:val="22"/>
          <w:szCs w:val="22"/>
        </w:rPr>
        <w:t>.</w:t>
      </w:r>
    </w:p>
    <w:p w14:paraId="5CA0B83F" w14:textId="63DAE251" w:rsidR="001D19A6" w:rsidRDefault="001D19A6" w:rsidP="001D19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outre, sur </w:t>
      </w:r>
      <w:r w:rsidRPr="001D19A6">
        <w:rPr>
          <w:sz w:val="22"/>
          <w:szCs w:val="22"/>
        </w:rPr>
        <w:t>base de l’analyse des visites de ses clients dans ses</w:t>
      </w:r>
      <w:r w:rsidR="00BD1EA7">
        <w:rPr>
          <w:sz w:val="22"/>
          <w:szCs w:val="22"/>
        </w:rPr>
        <w:t xml:space="preserve"> </w:t>
      </w:r>
      <w:r w:rsidRPr="001D19A6">
        <w:rPr>
          <w:sz w:val="22"/>
          <w:szCs w:val="22"/>
        </w:rPr>
        <w:t>552 agences, ING a l’intention de fermer 62</w:t>
      </w:r>
      <w:r w:rsidR="00524EA3">
        <w:rPr>
          <w:sz w:val="22"/>
          <w:szCs w:val="22"/>
        </w:rPr>
        <w:t xml:space="preserve"> </w:t>
      </w:r>
      <w:r w:rsidRPr="001D19A6">
        <w:rPr>
          <w:sz w:val="22"/>
          <w:szCs w:val="22"/>
        </w:rPr>
        <w:t>agences dans le courant de l’année 2021.</w:t>
      </w:r>
      <w:r>
        <w:rPr>
          <w:sz w:val="22"/>
          <w:szCs w:val="22"/>
        </w:rPr>
        <w:t xml:space="preserve"> </w:t>
      </w:r>
      <w:r w:rsidRPr="001D19A6">
        <w:rPr>
          <w:sz w:val="22"/>
          <w:szCs w:val="22"/>
        </w:rPr>
        <w:t>Il s’agit d’agences</w:t>
      </w:r>
      <w:r w:rsidR="00A365ED">
        <w:rPr>
          <w:sz w:val="22"/>
          <w:szCs w:val="22"/>
        </w:rPr>
        <w:t xml:space="preserve"> pour lesquelles un </w:t>
      </w:r>
      <w:r w:rsidRPr="001D19A6">
        <w:rPr>
          <w:sz w:val="22"/>
          <w:szCs w:val="22"/>
        </w:rPr>
        <w:t xml:space="preserve">nombre </w:t>
      </w:r>
      <w:r w:rsidR="00A365ED">
        <w:rPr>
          <w:sz w:val="22"/>
          <w:szCs w:val="22"/>
        </w:rPr>
        <w:t xml:space="preserve">limité </w:t>
      </w:r>
      <w:r w:rsidRPr="001D19A6">
        <w:rPr>
          <w:sz w:val="22"/>
          <w:szCs w:val="22"/>
        </w:rPr>
        <w:t xml:space="preserve">d’interactions avec les clients </w:t>
      </w:r>
      <w:r w:rsidR="00A365ED">
        <w:rPr>
          <w:sz w:val="22"/>
          <w:szCs w:val="22"/>
        </w:rPr>
        <w:t>a été recensé</w:t>
      </w:r>
      <w:r w:rsidR="007F0083">
        <w:rPr>
          <w:sz w:val="22"/>
          <w:szCs w:val="22"/>
        </w:rPr>
        <w:t>,</w:t>
      </w:r>
      <w:r w:rsidR="00A365ED">
        <w:rPr>
          <w:sz w:val="22"/>
          <w:szCs w:val="22"/>
        </w:rPr>
        <w:t xml:space="preserve"> </w:t>
      </w:r>
      <w:r w:rsidRPr="001D19A6">
        <w:rPr>
          <w:sz w:val="22"/>
          <w:szCs w:val="22"/>
        </w:rPr>
        <w:t xml:space="preserve">avant </w:t>
      </w:r>
      <w:r w:rsidR="00A365ED">
        <w:rPr>
          <w:sz w:val="22"/>
          <w:szCs w:val="22"/>
        </w:rPr>
        <w:t xml:space="preserve">même </w:t>
      </w:r>
      <w:r w:rsidRPr="001D19A6">
        <w:rPr>
          <w:sz w:val="22"/>
          <w:szCs w:val="22"/>
        </w:rPr>
        <w:t xml:space="preserve">l’introduction des mesures </w:t>
      </w:r>
      <w:r w:rsidR="00A365ED">
        <w:rPr>
          <w:sz w:val="22"/>
          <w:szCs w:val="22"/>
        </w:rPr>
        <w:t xml:space="preserve">pour lutter contre le </w:t>
      </w:r>
      <w:r w:rsidRPr="001D19A6">
        <w:rPr>
          <w:sz w:val="22"/>
          <w:szCs w:val="22"/>
        </w:rPr>
        <w:t>coronavirus. La plupart de ces 62 agences</w:t>
      </w:r>
      <w:r w:rsidRPr="00940A92">
        <w:rPr>
          <w:sz w:val="22"/>
          <w:szCs w:val="22"/>
        </w:rPr>
        <w:t xml:space="preserve"> sont fermées </w:t>
      </w:r>
      <w:r>
        <w:rPr>
          <w:sz w:val="22"/>
          <w:szCs w:val="22"/>
        </w:rPr>
        <w:t xml:space="preserve">à l’heure actuelle </w:t>
      </w:r>
      <w:r w:rsidRPr="00940A92">
        <w:rPr>
          <w:sz w:val="22"/>
          <w:szCs w:val="22"/>
        </w:rPr>
        <w:t xml:space="preserve">en raison </w:t>
      </w:r>
      <w:r>
        <w:rPr>
          <w:sz w:val="22"/>
          <w:szCs w:val="22"/>
        </w:rPr>
        <w:t>des mesures sanitaires</w:t>
      </w:r>
      <w:r w:rsidRPr="00940A92">
        <w:rPr>
          <w:sz w:val="22"/>
          <w:szCs w:val="22"/>
        </w:rPr>
        <w:t xml:space="preserve">. </w:t>
      </w:r>
      <w:r w:rsidR="008C644A">
        <w:rPr>
          <w:sz w:val="22"/>
          <w:szCs w:val="22"/>
        </w:rPr>
        <w:t>Afin d’</w:t>
      </w:r>
      <w:r w:rsidR="008C644A" w:rsidRPr="00940A92">
        <w:rPr>
          <w:sz w:val="22"/>
          <w:szCs w:val="22"/>
        </w:rPr>
        <w:t xml:space="preserve">assurer la continuité </w:t>
      </w:r>
      <w:r w:rsidR="008C644A">
        <w:rPr>
          <w:sz w:val="22"/>
          <w:szCs w:val="22"/>
        </w:rPr>
        <w:t>des</w:t>
      </w:r>
      <w:r w:rsidR="008C644A" w:rsidRPr="00940A92">
        <w:rPr>
          <w:sz w:val="22"/>
          <w:szCs w:val="22"/>
        </w:rPr>
        <w:t xml:space="preserve"> services</w:t>
      </w:r>
      <w:r w:rsidR="008C644A">
        <w:rPr>
          <w:sz w:val="22"/>
          <w:szCs w:val="22"/>
        </w:rPr>
        <w:t>, l</w:t>
      </w:r>
      <w:r w:rsidRPr="00940A92">
        <w:rPr>
          <w:sz w:val="22"/>
          <w:szCs w:val="22"/>
        </w:rPr>
        <w:t xml:space="preserve">es clients </w:t>
      </w:r>
      <w:r w:rsidR="000C22A3">
        <w:rPr>
          <w:sz w:val="22"/>
          <w:szCs w:val="22"/>
        </w:rPr>
        <w:t>de</w:t>
      </w:r>
      <w:r w:rsidRPr="00940A92">
        <w:rPr>
          <w:sz w:val="22"/>
          <w:szCs w:val="22"/>
        </w:rPr>
        <w:t xml:space="preserve"> ces agences seront </w:t>
      </w:r>
      <w:r w:rsidR="000C22A3">
        <w:rPr>
          <w:sz w:val="22"/>
          <w:szCs w:val="22"/>
        </w:rPr>
        <w:t>servis</w:t>
      </w:r>
      <w:r w:rsidRPr="00940A92">
        <w:rPr>
          <w:sz w:val="22"/>
          <w:szCs w:val="22"/>
        </w:rPr>
        <w:t xml:space="preserve"> par </w:t>
      </w:r>
      <w:r>
        <w:rPr>
          <w:sz w:val="22"/>
          <w:szCs w:val="22"/>
        </w:rPr>
        <w:t xml:space="preserve">des conseillers d’agences situées à proximité </w:t>
      </w:r>
      <w:r w:rsidRPr="00940A92">
        <w:rPr>
          <w:sz w:val="22"/>
          <w:szCs w:val="22"/>
        </w:rPr>
        <w:t xml:space="preserve">ainsi que </w:t>
      </w:r>
      <w:r w:rsidR="00A365ED">
        <w:rPr>
          <w:sz w:val="22"/>
          <w:szCs w:val="22"/>
        </w:rPr>
        <w:t xml:space="preserve">via nos </w:t>
      </w:r>
      <w:r w:rsidRPr="00940A92">
        <w:rPr>
          <w:sz w:val="22"/>
          <w:szCs w:val="22"/>
        </w:rPr>
        <w:t xml:space="preserve">plateformes </w:t>
      </w:r>
      <w:r>
        <w:rPr>
          <w:sz w:val="22"/>
          <w:szCs w:val="22"/>
        </w:rPr>
        <w:t>digitales</w:t>
      </w:r>
      <w:r w:rsidRPr="00940A92">
        <w:rPr>
          <w:sz w:val="22"/>
          <w:szCs w:val="22"/>
        </w:rPr>
        <w:t xml:space="preserve">. Comme toujours, nos </w:t>
      </w:r>
      <w:r w:rsidR="00A365ED">
        <w:rPr>
          <w:sz w:val="22"/>
          <w:szCs w:val="22"/>
        </w:rPr>
        <w:t>collaborateurs</w:t>
      </w:r>
      <w:r w:rsidRPr="00940A92">
        <w:rPr>
          <w:sz w:val="22"/>
          <w:szCs w:val="22"/>
        </w:rPr>
        <w:t xml:space="preserve"> et partenaires sociaux ont été informés de ces </w:t>
      </w:r>
      <w:r w:rsidR="00A163C9">
        <w:rPr>
          <w:sz w:val="22"/>
          <w:szCs w:val="22"/>
        </w:rPr>
        <w:t>intentions</w:t>
      </w:r>
      <w:r w:rsidRPr="00940A92">
        <w:rPr>
          <w:sz w:val="22"/>
          <w:szCs w:val="22"/>
        </w:rPr>
        <w:t xml:space="preserve"> en toute transparence. Les </w:t>
      </w:r>
      <w:r w:rsidR="00A365ED">
        <w:rPr>
          <w:sz w:val="22"/>
          <w:szCs w:val="22"/>
        </w:rPr>
        <w:t>collaborateurs</w:t>
      </w:r>
      <w:r w:rsidRPr="00940A92">
        <w:rPr>
          <w:sz w:val="22"/>
          <w:szCs w:val="22"/>
        </w:rPr>
        <w:t xml:space="preserve"> concernés se verront </w:t>
      </w:r>
      <w:r>
        <w:rPr>
          <w:sz w:val="22"/>
          <w:szCs w:val="22"/>
        </w:rPr>
        <w:t>proposer un autre emploi au sein d’</w:t>
      </w:r>
      <w:r w:rsidRPr="00940A92">
        <w:rPr>
          <w:sz w:val="22"/>
          <w:szCs w:val="22"/>
        </w:rPr>
        <w:t>ING</w:t>
      </w:r>
      <w:r w:rsidR="00783B72">
        <w:rPr>
          <w:sz w:val="22"/>
          <w:szCs w:val="22"/>
        </w:rPr>
        <w:t xml:space="preserve">, </w:t>
      </w:r>
      <w:r>
        <w:rPr>
          <w:sz w:val="22"/>
          <w:szCs w:val="22"/>
        </w:rPr>
        <w:t>aucun</w:t>
      </w:r>
      <w:r w:rsidR="000C22A3">
        <w:rPr>
          <w:sz w:val="22"/>
          <w:szCs w:val="22"/>
        </w:rPr>
        <w:t>e perte d’emploi liée à ces mesures n’est prévue.</w:t>
      </w:r>
    </w:p>
    <w:p w14:paraId="6FBE17C5" w14:textId="3550C8F1" w:rsidR="001D19A6" w:rsidRPr="00A805E1" w:rsidRDefault="001D19A6" w:rsidP="004D38F1">
      <w:pPr>
        <w:jc w:val="both"/>
        <w:rPr>
          <w:sz w:val="22"/>
          <w:szCs w:val="22"/>
        </w:rPr>
      </w:pPr>
      <w:r w:rsidRPr="00727B76">
        <w:rPr>
          <w:sz w:val="22"/>
          <w:szCs w:val="22"/>
        </w:rPr>
        <w:t xml:space="preserve">Les investissements dans </w:t>
      </w:r>
      <w:r>
        <w:rPr>
          <w:sz w:val="22"/>
          <w:szCs w:val="22"/>
        </w:rPr>
        <w:t xml:space="preserve">les services bancaires </w:t>
      </w:r>
      <w:r w:rsidR="008C644A">
        <w:rPr>
          <w:sz w:val="22"/>
          <w:szCs w:val="22"/>
        </w:rPr>
        <w:t>digitaux</w:t>
      </w:r>
      <w:r w:rsidRPr="00727B76">
        <w:rPr>
          <w:sz w:val="22"/>
          <w:szCs w:val="22"/>
        </w:rPr>
        <w:t xml:space="preserve">, </w:t>
      </w:r>
      <w:r>
        <w:rPr>
          <w:sz w:val="22"/>
          <w:szCs w:val="22"/>
        </w:rPr>
        <w:t>le</w:t>
      </w:r>
      <w:r w:rsidRPr="00727B76">
        <w:rPr>
          <w:sz w:val="22"/>
          <w:szCs w:val="22"/>
        </w:rPr>
        <w:t xml:space="preserve"> </w:t>
      </w:r>
      <w:r w:rsidR="007F0083">
        <w:rPr>
          <w:sz w:val="22"/>
          <w:szCs w:val="22"/>
        </w:rPr>
        <w:t>service client</w:t>
      </w:r>
      <w:r w:rsidRPr="00727B76">
        <w:rPr>
          <w:sz w:val="22"/>
          <w:szCs w:val="22"/>
        </w:rPr>
        <w:t xml:space="preserve"> </w:t>
      </w:r>
      <w:r w:rsidR="007F0083">
        <w:rPr>
          <w:sz w:val="22"/>
          <w:szCs w:val="22"/>
        </w:rPr>
        <w:t xml:space="preserve">et le conseil à distance </w:t>
      </w:r>
      <w:r w:rsidRPr="00727B76">
        <w:rPr>
          <w:sz w:val="22"/>
          <w:szCs w:val="22"/>
        </w:rPr>
        <w:t>s</w:t>
      </w:r>
      <w:r>
        <w:rPr>
          <w:sz w:val="22"/>
          <w:szCs w:val="22"/>
        </w:rPr>
        <w:t>’</w:t>
      </w:r>
      <w:r w:rsidRPr="00727B76">
        <w:rPr>
          <w:sz w:val="22"/>
          <w:szCs w:val="22"/>
        </w:rPr>
        <w:t xml:space="preserve">inscrivent dans le cadre des efforts </w:t>
      </w:r>
      <w:r>
        <w:rPr>
          <w:sz w:val="22"/>
          <w:szCs w:val="22"/>
        </w:rPr>
        <w:t xml:space="preserve">fournis par </w:t>
      </w:r>
      <w:r w:rsidRPr="00727B76">
        <w:rPr>
          <w:sz w:val="22"/>
          <w:szCs w:val="22"/>
        </w:rPr>
        <w:t xml:space="preserve">ING </w:t>
      </w:r>
      <w:r>
        <w:rPr>
          <w:sz w:val="22"/>
          <w:szCs w:val="22"/>
        </w:rPr>
        <w:t>sur ces différents fronts</w:t>
      </w:r>
      <w:r w:rsidR="007F0083">
        <w:rPr>
          <w:sz w:val="22"/>
          <w:szCs w:val="22"/>
        </w:rPr>
        <w:t xml:space="preserve"> au niveau mondial</w:t>
      </w:r>
      <w:r w:rsidR="00574CC1">
        <w:rPr>
          <w:sz w:val="22"/>
          <w:szCs w:val="22"/>
        </w:rPr>
        <w:t>. Ainsi</w:t>
      </w:r>
      <w:r w:rsidR="000C22A3">
        <w:rPr>
          <w:sz w:val="22"/>
          <w:szCs w:val="22"/>
        </w:rPr>
        <w:t>,</w:t>
      </w:r>
      <w:r w:rsidR="00574CC1">
        <w:rPr>
          <w:sz w:val="22"/>
          <w:szCs w:val="22"/>
        </w:rPr>
        <w:t xml:space="preserve"> nous bénéficions des connaissances de l’évolution des préférences de </w:t>
      </w:r>
      <w:r w:rsidRPr="00727B76">
        <w:rPr>
          <w:sz w:val="22"/>
          <w:szCs w:val="22"/>
        </w:rPr>
        <w:t>plus de 39</w:t>
      </w:r>
      <w:r>
        <w:rPr>
          <w:sz w:val="22"/>
          <w:szCs w:val="22"/>
        </w:rPr>
        <w:t> </w:t>
      </w:r>
      <w:r w:rsidRPr="00727B76">
        <w:rPr>
          <w:sz w:val="22"/>
          <w:szCs w:val="22"/>
        </w:rPr>
        <w:t xml:space="preserve">millions de clients particuliers dans le monde. ING investit en permanence dans </w:t>
      </w:r>
      <w:r>
        <w:rPr>
          <w:sz w:val="22"/>
          <w:szCs w:val="22"/>
        </w:rPr>
        <w:t>s</w:t>
      </w:r>
      <w:r w:rsidRPr="00727B76">
        <w:rPr>
          <w:sz w:val="22"/>
          <w:szCs w:val="22"/>
        </w:rPr>
        <w:t xml:space="preserve">es plateformes </w:t>
      </w:r>
      <w:r w:rsidR="00574CC1">
        <w:rPr>
          <w:sz w:val="22"/>
          <w:szCs w:val="22"/>
        </w:rPr>
        <w:t>globales</w:t>
      </w:r>
      <w:r w:rsidRPr="00727B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afin de </w:t>
      </w:r>
      <w:r w:rsidRPr="00727B76">
        <w:rPr>
          <w:sz w:val="22"/>
          <w:szCs w:val="22"/>
        </w:rPr>
        <w:t xml:space="preserve">créer la meilleure expérience </w:t>
      </w:r>
      <w:r w:rsidR="008C644A">
        <w:rPr>
          <w:sz w:val="22"/>
          <w:szCs w:val="22"/>
        </w:rPr>
        <w:t xml:space="preserve">digitale </w:t>
      </w:r>
      <w:r>
        <w:rPr>
          <w:sz w:val="22"/>
          <w:szCs w:val="22"/>
        </w:rPr>
        <w:t>possible.</w:t>
      </w:r>
    </w:p>
    <w:p w14:paraId="04F49288" w14:textId="1185B357" w:rsidR="009046B8" w:rsidRPr="009046B8" w:rsidRDefault="009046B8" w:rsidP="009046B8">
      <w:pPr>
        <w:rPr>
          <w:rFonts w:ascii="Calibri" w:eastAsiaTheme="minorHAnsi" w:hAnsi="Calibri"/>
          <w:b/>
          <w:bCs/>
          <w:sz w:val="18"/>
          <w:szCs w:val="18"/>
        </w:rPr>
      </w:pPr>
      <w:bookmarkStart w:id="1" w:name="_Hlk58251493"/>
      <w:r w:rsidRPr="009046B8">
        <w:rPr>
          <w:b/>
          <w:bCs/>
        </w:rPr>
        <w:t>T</w:t>
      </w:r>
      <w:r>
        <w:rPr>
          <w:b/>
          <w:bCs/>
        </w:rPr>
        <w:t xml:space="preserve">endances </w:t>
      </w:r>
      <w:r w:rsidR="00574CC1">
        <w:rPr>
          <w:b/>
          <w:bCs/>
        </w:rPr>
        <w:t xml:space="preserve">des comportements </w:t>
      </w:r>
      <w:r>
        <w:rPr>
          <w:b/>
          <w:bCs/>
        </w:rPr>
        <w:t xml:space="preserve">des clients d’ING Belgique </w:t>
      </w:r>
    </w:p>
    <w:p w14:paraId="35A61E35" w14:textId="65C1BC18" w:rsidR="009046B8" w:rsidRDefault="009046B8" w:rsidP="009046B8">
      <w:pPr>
        <w:rPr>
          <w:sz w:val="18"/>
          <w:szCs w:val="18"/>
        </w:rPr>
      </w:pPr>
      <w:r>
        <w:t>- 92</w:t>
      </w:r>
      <w:r w:rsidR="000C22A3">
        <w:t xml:space="preserve"> </w:t>
      </w:r>
      <w:r>
        <w:t>% des interactions entre ING et ses clients se déroulent via des canaux digitaux</w:t>
      </w:r>
    </w:p>
    <w:p w14:paraId="2E33ED4E" w14:textId="4AFB42EC" w:rsidR="009046B8" w:rsidRDefault="009046B8" w:rsidP="009046B8">
      <w:r>
        <w:t xml:space="preserve">- 1,4 million de clients utilisent </w:t>
      </w:r>
      <w:r w:rsidR="00574CC1">
        <w:t xml:space="preserve">activement </w:t>
      </w:r>
      <w:r>
        <w:t>l’application mobile d’ING</w:t>
      </w:r>
    </w:p>
    <w:p w14:paraId="50E80425" w14:textId="5354F4FD" w:rsidR="00601F9A" w:rsidRDefault="009046B8" w:rsidP="009046B8">
      <w:r>
        <w:t>- 400.000 appels de clients sont traités chaque mois par les équipes du service client d'ING</w:t>
      </w:r>
    </w:p>
    <w:p w14:paraId="04F8E0E3" w14:textId="6A818276" w:rsidR="009046B8" w:rsidRDefault="009046B8" w:rsidP="009046B8">
      <w:r>
        <w:t xml:space="preserve">- Le conseil à distance </w:t>
      </w:r>
      <w:r w:rsidR="000C22A3">
        <w:t>bénéficie d’</w:t>
      </w:r>
      <w:r>
        <w:t>un taux de satisfaction élevé (score NPS de 36)</w:t>
      </w:r>
    </w:p>
    <w:p w14:paraId="2ACDFC0F" w14:textId="0698745F" w:rsidR="004D38F1" w:rsidRPr="00BD1EA7" w:rsidRDefault="009046B8" w:rsidP="001D19A6">
      <w:pPr>
        <w:rPr>
          <w:sz w:val="18"/>
          <w:szCs w:val="18"/>
        </w:rPr>
      </w:pPr>
      <w:r>
        <w:t xml:space="preserve">- 46 % </w:t>
      </w:r>
      <w:r w:rsidR="00574CC1">
        <w:t xml:space="preserve">des nouveaux utilisateurs digitaux ont plus de </w:t>
      </w:r>
      <w:r w:rsidRPr="009046B8">
        <w:t>60 ans</w:t>
      </w:r>
      <w:bookmarkEnd w:id="1"/>
    </w:p>
    <w:p w14:paraId="4D818636" w14:textId="77777777" w:rsidR="001D19A6" w:rsidRPr="009D4270" w:rsidRDefault="001D19A6" w:rsidP="001D19A6">
      <w:pPr>
        <w:pStyle w:val="Header3"/>
        <w:rPr>
          <w:rFonts w:eastAsia="Times New Roman" w:cs="Times New Roman"/>
        </w:rPr>
      </w:pPr>
      <w:r w:rsidRPr="009D4270">
        <w:t xml:space="preserve">Pour de plus amples informations : </w:t>
      </w:r>
    </w:p>
    <w:p w14:paraId="7D069EC7" w14:textId="28994D31" w:rsidR="001D19A6" w:rsidRPr="001D19A6" w:rsidRDefault="001D19A6" w:rsidP="001D19A6">
      <w:pPr>
        <w:spacing w:after="0"/>
        <w:rPr>
          <w:color w:val="3399CC"/>
          <w:sz w:val="22"/>
          <w:szCs w:val="22"/>
          <w:lang w:val="en-US"/>
        </w:rPr>
      </w:pPr>
      <w:r w:rsidRPr="001D19A6">
        <w:rPr>
          <w:sz w:val="22"/>
          <w:szCs w:val="22"/>
          <w:lang w:val="en-US"/>
        </w:rPr>
        <w:t>ING Press Office</w:t>
      </w:r>
      <w:r w:rsidR="008A27BD">
        <w:rPr>
          <w:sz w:val="22"/>
          <w:szCs w:val="22"/>
          <w:lang w:val="en-US"/>
        </w:rPr>
        <w:t xml:space="preserve"> :</w:t>
      </w:r>
      <w:r w:rsidRPr="001D19A6">
        <w:rPr>
          <w:sz w:val="22"/>
          <w:szCs w:val="22"/>
          <w:lang w:val="en-US"/>
        </w:rPr>
        <w:t xml:space="preserve"> </w:t>
      </w:r>
      <w:hyperlink r:id="rId7" w:tooltip="mailto:pressoffice@ing.be" w:history="1">
        <w:r w:rsidRPr="001D19A6">
          <w:rPr>
            <w:noProof/>
            <w:color w:val="3399CC"/>
            <w:sz w:val="22"/>
            <w:szCs w:val="22"/>
            <w:lang w:val="en-US"/>
          </w:rPr>
          <w:t>pressoffice@ing.be</w:t>
        </w:r>
      </w:hyperlink>
    </w:p>
    <w:p w14:paraId="02063E58" w14:textId="77777777" w:rsidR="001D19A6" w:rsidRPr="001D19A6" w:rsidRDefault="001D19A6" w:rsidP="001D19A6">
      <w:pPr>
        <w:spacing w:after="0"/>
        <w:rPr>
          <w:rFonts w:eastAsia="Times New Roman" w:cs="Times New Roman"/>
          <w:noProof/>
          <w:color w:val="4E4E4E"/>
          <w:sz w:val="22"/>
          <w:szCs w:val="22"/>
          <w:lang w:val="en-US"/>
        </w:rPr>
      </w:pPr>
    </w:p>
    <w:p w14:paraId="449267CC" w14:textId="77777777" w:rsidR="001D19A6" w:rsidRPr="009D4270" w:rsidRDefault="001D19A6" w:rsidP="001D19A6">
      <w:pPr>
        <w:pStyle w:val="Header3"/>
      </w:pPr>
      <w:r w:rsidRPr="009D4270">
        <w:lastRenderedPageBreak/>
        <w:t>À propos d’ING</w:t>
      </w:r>
    </w:p>
    <w:p w14:paraId="3FA4CEEF" w14:textId="77777777" w:rsidR="001D19A6" w:rsidRPr="009D4270" w:rsidRDefault="001D19A6" w:rsidP="001D19A6">
      <w:pPr>
        <w:spacing w:after="0"/>
        <w:rPr>
          <w:noProof/>
          <w:sz w:val="22"/>
          <w:szCs w:val="22"/>
        </w:rPr>
      </w:pPr>
      <w:r w:rsidRPr="009D4270">
        <w:rPr>
          <w:color w:val="58595B"/>
          <w:sz w:val="22"/>
          <w:szCs w:val="22"/>
        </w:rPr>
        <w:t>ING Belgique est une banque universelle qui propose des services financiers aux particuliers, aux entreprises et aux clients institutionnels.</w:t>
      </w:r>
      <w:r w:rsidRPr="009D4270">
        <w:rPr>
          <w:sz w:val="22"/>
          <w:szCs w:val="22"/>
        </w:rPr>
        <w:t xml:space="preserve"> </w:t>
      </w:r>
      <w:r w:rsidRPr="009D4270">
        <w:rPr>
          <w:color w:val="58595B"/>
          <w:sz w:val="22"/>
          <w:szCs w:val="22"/>
        </w:rPr>
        <w:t>ING Belgique S.A. est une filiale d’ING Group S.A., via ING Banque S.A. (</w:t>
      </w:r>
      <w:hyperlink r:id="rId8" w:history="1">
        <w:r w:rsidRPr="009D4270">
          <w:rPr>
            <w:rStyle w:val="Hyperlink"/>
            <w:sz w:val="22"/>
            <w:szCs w:val="22"/>
          </w:rPr>
          <w:t>www.ing.com</w:t>
        </w:r>
      </w:hyperlink>
      <w:r w:rsidRPr="009D4270">
        <w:rPr>
          <w:color w:val="58595B"/>
          <w:sz w:val="22"/>
          <w:szCs w:val="22"/>
        </w:rPr>
        <w:t>).</w:t>
      </w:r>
      <w:r w:rsidRPr="009D4270">
        <w:rPr>
          <w:sz w:val="22"/>
          <w:szCs w:val="22"/>
        </w:rPr>
        <w:t xml:space="preserve"> </w:t>
      </w:r>
    </w:p>
    <w:p w14:paraId="30A37ECB" w14:textId="614658BF" w:rsidR="001D19A6" w:rsidRPr="009D4270" w:rsidRDefault="001D19A6" w:rsidP="001D19A6">
      <w:pPr>
        <w:spacing w:after="0"/>
        <w:rPr>
          <w:noProof/>
          <w:color w:val="58595B"/>
          <w:sz w:val="22"/>
          <w:szCs w:val="22"/>
        </w:rPr>
      </w:pPr>
      <w:r w:rsidRPr="009D4270">
        <w:rPr>
          <w:sz w:val="22"/>
          <w:szCs w:val="22"/>
        </w:rPr>
        <w:br/>
      </w:r>
      <w:r w:rsidRPr="009D4270">
        <w:rPr>
          <w:color w:val="58595B"/>
          <w:sz w:val="22"/>
          <w:szCs w:val="22"/>
        </w:rPr>
        <w:t>ING est un établissement financier international qui bénéficie d’une forte présence européenne et qui propose des services bancaires à travers sa société d’exploitation, la Banque ING.</w:t>
      </w:r>
      <w:r w:rsidRPr="009D4270">
        <w:rPr>
          <w:sz w:val="22"/>
          <w:szCs w:val="22"/>
        </w:rPr>
        <w:t xml:space="preserve"> </w:t>
      </w:r>
      <w:r w:rsidRPr="009D4270">
        <w:rPr>
          <w:color w:val="58595B"/>
          <w:sz w:val="22"/>
          <w:szCs w:val="22"/>
        </w:rPr>
        <w:t>L’objectif de la Banque ING est le suivant : aider nos clients à avoir une longueur d’avance dans la vie et dans les affaires.</w:t>
      </w:r>
      <w:r w:rsidRPr="009D4270">
        <w:rPr>
          <w:sz w:val="22"/>
          <w:szCs w:val="22"/>
        </w:rPr>
        <w:t xml:space="preserve"> </w:t>
      </w:r>
      <w:r w:rsidRPr="009D4270">
        <w:rPr>
          <w:color w:val="58595B"/>
          <w:sz w:val="22"/>
          <w:szCs w:val="22"/>
        </w:rPr>
        <w:t>À la Banque ING, 5</w:t>
      </w:r>
      <w:r>
        <w:rPr>
          <w:color w:val="58595B"/>
          <w:sz w:val="22"/>
          <w:szCs w:val="22"/>
        </w:rPr>
        <w:t>6</w:t>
      </w:r>
      <w:r w:rsidRPr="009D4270">
        <w:rPr>
          <w:color w:val="58595B"/>
          <w:sz w:val="22"/>
          <w:szCs w:val="22"/>
        </w:rPr>
        <w:t xml:space="preserve">.000 collaborateurs proposent des services bancaires </w:t>
      </w:r>
      <w:proofErr w:type="spellStart"/>
      <w:r w:rsidRPr="009D4270">
        <w:rPr>
          <w:color w:val="58595B"/>
          <w:sz w:val="22"/>
          <w:szCs w:val="22"/>
        </w:rPr>
        <w:t>retail</w:t>
      </w:r>
      <w:proofErr w:type="spellEnd"/>
      <w:r w:rsidRPr="009D4270">
        <w:rPr>
          <w:color w:val="58595B"/>
          <w:sz w:val="22"/>
          <w:szCs w:val="22"/>
        </w:rPr>
        <w:t xml:space="preserve"> et </w:t>
      </w:r>
      <w:proofErr w:type="spellStart"/>
      <w:r w:rsidRPr="009D4270">
        <w:rPr>
          <w:color w:val="58595B"/>
          <w:sz w:val="22"/>
          <w:szCs w:val="22"/>
        </w:rPr>
        <w:t>wholesale</w:t>
      </w:r>
      <w:proofErr w:type="spellEnd"/>
      <w:r w:rsidRPr="009D4270">
        <w:rPr>
          <w:color w:val="58595B"/>
          <w:sz w:val="22"/>
          <w:szCs w:val="22"/>
        </w:rPr>
        <w:t xml:space="preserve"> à des clients dans plus de 40 pays.</w:t>
      </w:r>
    </w:p>
    <w:p w14:paraId="0B43EEAB" w14:textId="77777777" w:rsidR="001D19A6" w:rsidRPr="009D4270" w:rsidRDefault="001D19A6" w:rsidP="001D19A6">
      <w:pPr>
        <w:spacing w:after="0"/>
        <w:rPr>
          <w:noProof/>
          <w:sz w:val="22"/>
          <w:szCs w:val="22"/>
        </w:rPr>
      </w:pPr>
    </w:p>
    <w:p w14:paraId="4827BD15" w14:textId="77777777" w:rsidR="001D19A6" w:rsidRPr="009D4270" w:rsidRDefault="001D19A6" w:rsidP="001D19A6">
      <w:pPr>
        <w:spacing w:after="0"/>
        <w:rPr>
          <w:color w:val="58595B"/>
          <w:sz w:val="22"/>
          <w:szCs w:val="22"/>
        </w:rPr>
      </w:pPr>
      <w:r w:rsidRPr="009D4270">
        <w:rPr>
          <w:color w:val="58595B"/>
          <w:sz w:val="22"/>
          <w:szCs w:val="22"/>
        </w:rPr>
        <w:t>Les actions d’ING Group sont cotées aux bourses d’Amsterdam (INGA NA, INGA.AS), de Bruxelles et de New York (ADR : ING US, ING.N).</w:t>
      </w:r>
    </w:p>
    <w:p w14:paraId="378DB9DA" w14:textId="77777777" w:rsidR="001D19A6" w:rsidRPr="009D4270" w:rsidRDefault="001D19A6" w:rsidP="001D19A6">
      <w:pPr>
        <w:spacing w:after="0"/>
        <w:rPr>
          <w:color w:val="58595B"/>
          <w:sz w:val="22"/>
          <w:szCs w:val="22"/>
        </w:rPr>
      </w:pPr>
    </w:p>
    <w:p w14:paraId="531FB743" w14:textId="1847EBA1" w:rsidR="001D19A6" w:rsidRPr="009D4270" w:rsidRDefault="001D19A6" w:rsidP="001D19A6">
      <w:pPr>
        <w:spacing w:after="0"/>
        <w:rPr>
          <w:color w:val="58595B"/>
          <w:sz w:val="22"/>
          <w:szCs w:val="22"/>
        </w:rPr>
      </w:pPr>
      <w:r w:rsidRPr="009D4270">
        <w:rPr>
          <w:color w:val="58595B"/>
          <w:sz w:val="22"/>
          <w:szCs w:val="22"/>
        </w:rPr>
        <w:t xml:space="preserve">ING Belgique SA – Banque/Prêteur – Avenue Marnix 24, B-1000 Bruxelles – RPM Bruxelles – TVA: BE 0403.200.393 – BIC: BBRUBEBB – IBAN: BE45 3109 1560 2789 – www.ing.be –  Contactez-nous via ing.be/contact – Courtier en assurances, inscrit à la FSMA sous le numéro 0403.200.393. </w:t>
      </w:r>
    </w:p>
    <w:p w14:paraId="02C661BB" w14:textId="77777777" w:rsidR="001D19A6" w:rsidRPr="009D4270" w:rsidRDefault="001D19A6" w:rsidP="001D19A6">
      <w:pPr>
        <w:spacing w:after="0"/>
        <w:rPr>
          <w:noProof/>
          <w:sz w:val="22"/>
          <w:szCs w:val="22"/>
        </w:rPr>
      </w:pPr>
    </w:p>
    <w:p w14:paraId="2E931BFA" w14:textId="77777777" w:rsidR="00D35781" w:rsidRDefault="00BA53F5"/>
    <w:sectPr w:rsidR="00D35781" w:rsidSect="00A70DA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53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CDA9D" w14:textId="77777777" w:rsidR="00424ECA" w:rsidRDefault="008C644A">
      <w:pPr>
        <w:spacing w:after="0"/>
      </w:pPr>
      <w:r>
        <w:separator/>
      </w:r>
    </w:p>
  </w:endnote>
  <w:endnote w:type="continuationSeparator" w:id="0">
    <w:p w14:paraId="6C9011D3" w14:textId="77777777" w:rsidR="00424ECA" w:rsidRDefault="008C6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G Me">
    <w:altName w:val="Calibri"/>
    <w:panose1 w:val="02000506040000020004"/>
    <w:charset w:val="00"/>
    <w:family w:val="auto"/>
    <w:pitch w:val="variable"/>
    <w:sig w:usb0="A10002AF" w:usb1="5000607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GM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304E" w14:textId="77777777" w:rsidR="001F70CE" w:rsidRPr="00076653" w:rsidRDefault="00BA53F5">
    <w:pPr>
      <w:pStyle w:val="Footer"/>
      <w:rPr>
        <w:lang w:val="en-US"/>
      </w:rPr>
    </w:pPr>
    <w:sdt>
      <w:sdtPr>
        <w:id w:val="969400743"/>
        <w:temporary/>
        <w:showingPlcHdr/>
      </w:sdtPr>
      <w:sdtEndPr/>
      <w:sdtContent>
        <w:r w:rsidR="0049506E" w:rsidRPr="00076653">
          <w:rPr>
            <w:lang w:val="en-US"/>
          </w:rPr>
          <w:t>[Type text]</w:t>
        </w:r>
      </w:sdtContent>
    </w:sdt>
    <w:r w:rsidR="0049506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49506E" w:rsidRPr="00076653">
          <w:rPr>
            <w:lang w:val="en-US"/>
          </w:rPr>
          <w:t>[Type text]</w:t>
        </w:r>
      </w:sdtContent>
    </w:sdt>
    <w:r w:rsidR="0049506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49506E" w:rsidRPr="00076653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31872" w14:textId="77777777" w:rsidR="001F70CE" w:rsidRDefault="0049506E" w:rsidP="00E278AC">
    <w:pPr>
      <w:pStyle w:val="Footer"/>
      <w:tabs>
        <w:tab w:val="clear" w:pos="4320"/>
        <w:tab w:val="clear" w:pos="86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2F757B" wp14:editId="68BAE9BD">
              <wp:simplePos x="0" y="0"/>
              <wp:positionH relativeFrom="page">
                <wp:posOffset>612140</wp:posOffset>
              </wp:positionH>
              <wp:positionV relativeFrom="page">
                <wp:posOffset>10090150</wp:posOffset>
              </wp:positionV>
              <wp:extent cx="6116320" cy="368300"/>
              <wp:effectExtent l="0" t="0" r="0" b="12700"/>
              <wp:wrapThrough wrapText="bothSides">
                <wp:wrapPolygon edited="0">
                  <wp:start x="90" y="0"/>
                  <wp:lineTo x="90" y="20855"/>
                  <wp:lineTo x="21439" y="20855"/>
                  <wp:lineTo x="21439" y="0"/>
                  <wp:lineTo x="90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63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0F9FF4FD" w14:textId="77777777" w:rsidR="001F70CE" w:rsidRDefault="0049506E" w:rsidP="004D73D2">
                          <w:pPr>
                            <w:pStyle w:val="Baseline"/>
                          </w:pPr>
                          <w:r>
                            <w:t>ING Belgique SA – avenue Marnix 24, B-1000 Bruxelles – RPM Bruxelles – TVA : BE 0403 200 393</w:t>
                          </w:r>
                        </w:p>
                        <w:p w14:paraId="06864E48" w14:textId="77777777" w:rsidR="001F70CE" w:rsidRPr="00F91D67" w:rsidRDefault="0049506E" w:rsidP="004D73D2">
                          <w:pPr>
                            <w:pStyle w:val="Baseline"/>
                            <w:rPr>
                              <w:rFonts w:cs="INGMe"/>
                              <w:color w:val="000000"/>
                              <w:spacing w:val="-1"/>
                              <w:w w:val="95"/>
                            </w:rPr>
                          </w:pPr>
                          <w:r>
                            <w:t>BIC : BBRUBEBB – IBAN : BE45 3109 1560 2789 – www.ing.be – Cours Saint-Michel 60, B–1040 Bruxelles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75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2pt;margin-top:794.5pt;width:481.6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" filled="f" stroked="f">
              <v:textbox>
                <w:txbxContent>
                  <w:p w14:paraId="0F9FF4FD" w14:textId="77777777" w:rsidR="001F70CE" w:rsidRDefault="0049506E" w:rsidP="004D73D2">
                    <w:pPr>
                      <w:pStyle w:val="Baseline"/>
                    </w:pPr>
                    <w:r>
                      <w:t>ING Belgique SA – avenue Marnix 24, B-1000 Bruxelles – RPM Bruxelles – TVA : BE 0403 200 393</w:t>
                    </w:r>
                  </w:p>
                  <w:p w14:paraId="06864E48" w14:textId="77777777" w:rsidR="001F70CE" w:rsidRPr="00F91D67" w:rsidRDefault="0049506E" w:rsidP="004D73D2">
                    <w:pPr>
                      <w:pStyle w:val="Baseline"/>
                      <w:rPr>
                        <w:rFonts w:cs="INGMe"/>
                        <w:color w:val="000000"/>
                        <w:spacing w:val="-1"/>
                        <w:w w:val="95"/>
                      </w:rPr>
                    </w:pPr>
                    <w:r>
                      <w:t>BIC : BBRUBEBB – IBAN : BE45 3109 1560 2789 – www.ing.be – Cours Saint-Michel 60, B–1040 Bruxelles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5A5F3BD" wp14:editId="2A849212">
          <wp:simplePos x="0" y="0"/>
          <wp:positionH relativeFrom="page">
            <wp:posOffset>5435600</wp:posOffset>
          </wp:positionH>
          <wp:positionV relativeFrom="page">
            <wp:posOffset>9922510</wp:posOffset>
          </wp:positionV>
          <wp:extent cx="1702435" cy="427990"/>
          <wp:effectExtent l="0" t="0" r="0" b="3810"/>
          <wp:wrapTight wrapText="bothSides">
            <wp:wrapPolygon edited="0">
              <wp:start x="14180" y="0"/>
              <wp:lineTo x="0" y="2564"/>
              <wp:lineTo x="0" y="20510"/>
              <wp:lineTo x="20947" y="20510"/>
              <wp:lineTo x="21270" y="19228"/>
              <wp:lineTo x="21270" y="2564"/>
              <wp:lineTo x="17402" y="0"/>
              <wp:lineTo x="1418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-logo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052B" w14:textId="77777777" w:rsidR="00424ECA" w:rsidRDefault="008C644A">
      <w:pPr>
        <w:spacing w:after="0"/>
      </w:pPr>
      <w:r>
        <w:separator/>
      </w:r>
    </w:p>
  </w:footnote>
  <w:footnote w:type="continuationSeparator" w:id="0">
    <w:p w14:paraId="24FF3C3B" w14:textId="77777777" w:rsidR="00424ECA" w:rsidRDefault="008C64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9818" w14:textId="77777777" w:rsidR="001F70CE" w:rsidRDefault="0049506E" w:rsidP="00D51A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1B9D8" w14:textId="77777777" w:rsidR="001F70CE" w:rsidRDefault="00BA53F5" w:rsidP="00D51A9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6BD9" w14:textId="77777777" w:rsidR="001F70CE" w:rsidRDefault="0049506E" w:rsidP="00D51A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51231C2" w14:textId="77777777" w:rsidR="001F70CE" w:rsidRDefault="00BA53F5" w:rsidP="00D51A9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577D"/>
    <w:multiLevelType w:val="multilevel"/>
    <w:tmpl w:val="5212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4602A"/>
    <w:multiLevelType w:val="multilevel"/>
    <w:tmpl w:val="990CC76C"/>
    <w:lvl w:ilvl="0">
      <w:start w:val="1"/>
      <w:numFmt w:val="bullet"/>
      <w:pStyle w:val="ListBullets"/>
      <w:lvlText w:val="•"/>
      <w:lvlJc w:val="left"/>
      <w:pPr>
        <w:ind w:left="340" w:hanging="170"/>
      </w:pPr>
      <w:rPr>
        <w:rFonts w:ascii="ING Me" w:hAnsi="ING Me" w:hint="default"/>
        <w:b w:val="0"/>
        <w:bCs w:val="0"/>
        <w:i w:val="0"/>
        <w:iCs w:val="0"/>
        <w:color w:val="D76F2C"/>
        <w:sz w:val="20"/>
        <w:szCs w:val="20"/>
      </w:rPr>
    </w:lvl>
    <w:lvl w:ilvl="1">
      <w:start w:val="1"/>
      <w:numFmt w:val="bullet"/>
      <w:lvlText w:val=""/>
      <w:lvlJc w:val="left"/>
      <w:pPr>
        <w:ind w:left="624" w:hanging="17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2">
      <w:start w:val="1"/>
      <w:numFmt w:val="bullet"/>
      <w:lvlText w:val=""/>
      <w:lvlJc w:val="left"/>
      <w:pPr>
        <w:ind w:left="2611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33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91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4051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771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E2"/>
    <w:rsid w:val="000C22A3"/>
    <w:rsid w:val="000F58B7"/>
    <w:rsid w:val="001D19A6"/>
    <w:rsid w:val="002B1A5E"/>
    <w:rsid w:val="0030268D"/>
    <w:rsid w:val="00424ECA"/>
    <w:rsid w:val="0049506E"/>
    <w:rsid w:val="004D38F1"/>
    <w:rsid w:val="00524EA3"/>
    <w:rsid w:val="00574CC1"/>
    <w:rsid w:val="00601F9A"/>
    <w:rsid w:val="00783B72"/>
    <w:rsid w:val="007F0083"/>
    <w:rsid w:val="008A27BD"/>
    <w:rsid w:val="008A6AE4"/>
    <w:rsid w:val="008C644A"/>
    <w:rsid w:val="009046B8"/>
    <w:rsid w:val="00A163C9"/>
    <w:rsid w:val="00A365ED"/>
    <w:rsid w:val="00A440E2"/>
    <w:rsid w:val="00A93898"/>
    <w:rsid w:val="00BA53F5"/>
    <w:rsid w:val="00BD1EA7"/>
    <w:rsid w:val="00C1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9268"/>
  <w15:chartTrackingRefBased/>
  <w15:docId w15:val="{3D76CE11-5CD7-47CD-8322-8B4A3061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9A6"/>
    <w:pPr>
      <w:spacing w:after="120" w:line="240" w:lineRule="auto"/>
    </w:pPr>
    <w:rPr>
      <w:rFonts w:ascii="ING Me" w:eastAsiaTheme="minorEastAsia" w:hAnsi="ING Me"/>
      <w:sz w:val="20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9A6"/>
    <w:rPr>
      <w:rFonts w:ascii="ING Me" w:eastAsiaTheme="minorEastAsia" w:hAnsi="ING Me"/>
      <w:sz w:val="20"/>
      <w:szCs w:val="24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1D1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9A6"/>
    <w:rPr>
      <w:rFonts w:ascii="ING Me" w:eastAsiaTheme="minorEastAsia" w:hAnsi="ING Me"/>
      <w:sz w:val="20"/>
      <w:szCs w:val="24"/>
      <w:lang w:val="fr-BE"/>
    </w:rPr>
  </w:style>
  <w:style w:type="paragraph" w:customStyle="1" w:styleId="Header1">
    <w:name w:val="Header1"/>
    <w:basedOn w:val="Normal"/>
    <w:next w:val="Introduction"/>
    <w:autoRedefine/>
    <w:qFormat/>
    <w:rsid w:val="001D19A6"/>
    <w:pPr>
      <w:suppressAutoHyphens/>
      <w:spacing w:after="240"/>
      <w:ind w:right="567"/>
      <w:jc w:val="center"/>
    </w:pPr>
    <w:rPr>
      <w:b/>
      <w:sz w:val="32"/>
      <w:szCs w:val="32"/>
    </w:rPr>
  </w:style>
  <w:style w:type="paragraph" w:customStyle="1" w:styleId="Introduction">
    <w:name w:val="Introduction"/>
    <w:basedOn w:val="Normal"/>
    <w:autoRedefine/>
    <w:qFormat/>
    <w:rsid w:val="001D19A6"/>
    <w:pPr>
      <w:suppressAutoHyphens/>
      <w:spacing w:after="0"/>
      <w:ind w:right="-7"/>
      <w:jc w:val="both"/>
    </w:pPr>
    <w:rPr>
      <w:b/>
      <w:bCs/>
      <w:noProof/>
      <w:sz w:val="22"/>
      <w:szCs w:val="28"/>
    </w:rPr>
  </w:style>
  <w:style w:type="paragraph" w:customStyle="1" w:styleId="ListBullets">
    <w:name w:val="ListBullets"/>
    <w:basedOn w:val="Normal"/>
    <w:autoRedefine/>
    <w:qFormat/>
    <w:rsid w:val="001D19A6"/>
    <w:pPr>
      <w:numPr>
        <w:numId w:val="1"/>
      </w:numPr>
      <w:suppressAutoHyphens/>
      <w:spacing w:after="60" w:line="252" w:lineRule="auto"/>
      <w:ind w:right="-132"/>
      <w:jc w:val="both"/>
    </w:pPr>
    <w:rPr>
      <w:noProof/>
      <w:sz w:val="22"/>
      <w:szCs w:val="22"/>
    </w:rPr>
  </w:style>
  <w:style w:type="paragraph" w:customStyle="1" w:styleId="Header3">
    <w:name w:val="Header3"/>
    <w:basedOn w:val="Normal"/>
    <w:autoRedefine/>
    <w:qFormat/>
    <w:rsid w:val="001D19A6"/>
    <w:pPr>
      <w:keepNext/>
      <w:spacing w:after="0"/>
    </w:pPr>
    <w:rPr>
      <w:b/>
      <w:bCs/>
      <w:noProof/>
      <w:sz w:val="22"/>
      <w:szCs w:val="28"/>
    </w:rPr>
  </w:style>
  <w:style w:type="paragraph" w:customStyle="1" w:styleId="Baseline">
    <w:name w:val="Baseline"/>
    <w:basedOn w:val="Normal"/>
    <w:autoRedefine/>
    <w:qFormat/>
    <w:rsid w:val="001D19A6"/>
    <w:pPr>
      <w:suppressAutoHyphens/>
      <w:spacing w:after="0"/>
    </w:pPr>
    <w:rPr>
      <w:sz w:val="14"/>
      <w:szCs w:val="14"/>
    </w:rPr>
  </w:style>
  <w:style w:type="paragraph" w:customStyle="1" w:styleId="PressRelease">
    <w:name w:val="PressRelease"/>
    <w:basedOn w:val="Normal"/>
    <w:autoRedefine/>
    <w:qFormat/>
    <w:rsid w:val="001D19A6"/>
    <w:pPr>
      <w:spacing w:after="480"/>
      <w:jc w:val="right"/>
    </w:pPr>
    <w:rPr>
      <w:color w:val="A6A6A6" w:themeColor="background1" w:themeShade="A6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1D19A6"/>
  </w:style>
  <w:style w:type="character" w:styleId="Hyperlink">
    <w:name w:val="Hyperlink"/>
    <w:basedOn w:val="DefaultParagraphFont"/>
    <w:uiPriority w:val="99"/>
    <w:unhideWhenUsed/>
    <w:rsid w:val="001D19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9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A6"/>
    <w:rPr>
      <w:rFonts w:ascii="Segoe UI" w:eastAsiaTheme="minorEastAsia" w:hAnsi="Segoe UI" w:cs="Segoe UI"/>
      <w:sz w:val="18"/>
      <w:szCs w:val="18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1D1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9A6"/>
    <w:rPr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9A6"/>
    <w:rPr>
      <w:rFonts w:ascii="ING Me" w:eastAsiaTheme="minorEastAsia" w:hAnsi="ING Me"/>
      <w:sz w:val="20"/>
      <w:szCs w:val="20"/>
    </w:rPr>
  </w:style>
  <w:style w:type="paragraph" w:styleId="ListParagraph">
    <w:name w:val="List Paragraph"/>
    <w:basedOn w:val="Normal"/>
    <w:uiPriority w:val="34"/>
    <w:qFormat/>
    <w:rsid w:val="00601F9A"/>
    <w:pPr>
      <w:spacing w:after="0"/>
      <w:ind w:left="720"/>
    </w:pPr>
    <w:rPr>
      <w:rFonts w:ascii="Calibri" w:eastAsiaTheme="minorHAnsi" w:hAnsi="Calibri" w:cs="Calibri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office@ing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Yachou, S. (Safia)</dc:creator>
  <cp:keywords/>
  <dc:description/>
  <cp:lastModifiedBy>Neeb, J. (Joelle)</cp:lastModifiedBy>
  <cp:revision>2</cp:revision>
  <cp:lastPrinted>2020-12-08T11:43:00Z</cp:lastPrinted>
  <dcterms:created xsi:type="dcterms:W3CDTF">2020-12-08T11:43:00Z</dcterms:created>
  <dcterms:modified xsi:type="dcterms:W3CDTF">2020-12-08T11:43:00Z</dcterms:modified>
</cp:coreProperties>
</file>