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7FF5" w14:textId="77777777" w:rsidR="00230C70" w:rsidRPr="00F4191D" w:rsidRDefault="00230C70" w:rsidP="00230C70">
      <w:pPr>
        <w:ind w:left="2342"/>
        <w:jc w:val="right"/>
        <w:rPr>
          <w:rFonts w:cs="Arial"/>
          <w:b/>
          <w:bCs/>
          <w:i/>
          <w:iCs/>
          <w:noProof/>
        </w:rPr>
      </w:pPr>
      <w:r w:rsidRPr="00F4191D">
        <w:rPr>
          <w:b/>
          <w:bCs/>
          <w:i/>
          <w:iCs/>
        </w:rPr>
        <w:t>Media relations:</w:t>
      </w:r>
    </w:p>
    <w:p w14:paraId="1768A77C" w14:textId="77777777" w:rsidR="00230C70" w:rsidRPr="00F4191D" w:rsidRDefault="00230C70" w:rsidP="00230C70">
      <w:pPr>
        <w:ind w:left="2342"/>
        <w:jc w:val="right"/>
        <w:rPr>
          <w:rFonts w:cs="Arial"/>
          <w:bCs/>
          <w:i/>
          <w:iCs/>
          <w:noProof/>
        </w:rPr>
      </w:pPr>
      <w:r w:rsidRPr="00F4191D">
        <w:rPr>
          <w:bCs/>
          <w:i/>
          <w:iCs/>
        </w:rPr>
        <w:t>Florence Lièvre</w:t>
      </w:r>
    </w:p>
    <w:p w14:paraId="24EDEC7B" w14:textId="77777777" w:rsidR="00230C70" w:rsidRPr="00F4191D" w:rsidRDefault="00230C70" w:rsidP="00230C70">
      <w:pPr>
        <w:ind w:left="2342"/>
        <w:jc w:val="right"/>
        <w:rPr>
          <w:rFonts w:cs="Arial"/>
          <w:bCs/>
          <w:i/>
          <w:iCs/>
          <w:noProof/>
        </w:rPr>
      </w:pPr>
      <w:r w:rsidRPr="00F4191D">
        <w:rPr>
          <w:bCs/>
          <w:i/>
          <w:iCs/>
        </w:rPr>
        <w:t>Tel.: +33 1 47 54 50 71</w:t>
      </w:r>
    </w:p>
    <w:p w14:paraId="5695F982" w14:textId="77777777" w:rsidR="00230C70" w:rsidRPr="00F4191D" w:rsidRDefault="00230C70" w:rsidP="00230C70">
      <w:pPr>
        <w:ind w:left="2342"/>
        <w:jc w:val="right"/>
        <w:rPr>
          <w:rFonts w:cs="Arial"/>
          <w:bCs/>
          <w:i/>
          <w:iCs/>
          <w:noProof/>
        </w:rPr>
      </w:pPr>
      <w:r w:rsidRPr="00F4191D">
        <w:rPr>
          <w:bCs/>
          <w:i/>
          <w:iCs/>
        </w:rPr>
        <w:t>florence.lievre@capgemini.com</w:t>
      </w:r>
    </w:p>
    <w:p w14:paraId="5291CD5D" w14:textId="77777777" w:rsidR="00230C70" w:rsidRPr="00F4191D" w:rsidRDefault="00230C70" w:rsidP="00230C70">
      <w:pPr>
        <w:ind w:left="2342"/>
        <w:jc w:val="right"/>
        <w:rPr>
          <w:rFonts w:cs="Arial"/>
          <w:b/>
          <w:bCs/>
          <w:i/>
          <w:iCs/>
          <w:noProof/>
        </w:rPr>
      </w:pPr>
    </w:p>
    <w:p w14:paraId="3E803A28" w14:textId="77777777" w:rsidR="00230C70" w:rsidRPr="00F4191D" w:rsidRDefault="00230C70" w:rsidP="00230C70">
      <w:pPr>
        <w:ind w:left="2342"/>
        <w:jc w:val="right"/>
        <w:rPr>
          <w:rFonts w:cs="Arial"/>
          <w:b/>
          <w:bCs/>
          <w:i/>
          <w:iCs/>
          <w:noProof/>
        </w:rPr>
      </w:pPr>
      <w:r w:rsidRPr="00F4191D">
        <w:rPr>
          <w:b/>
          <w:bCs/>
          <w:i/>
          <w:iCs/>
        </w:rPr>
        <w:t>Investor relations:</w:t>
      </w:r>
    </w:p>
    <w:p w14:paraId="5843F469" w14:textId="77777777" w:rsidR="00230C70" w:rsidRPr="00F4191D" w:rsidRDefault="00230C70" w:rsidP="00230C70">
      <w:pPr>
        <w:ind w:left="2342"/>
        <w:jc w:val="right"/>
        <w:rPr>
          <w:rFonts w:cs="Arial"/>
          <w:bCs/>
          <w:i/>
          <w:iCs/>
          <w:noProof/>
        </w:rPr>
      </w:pPr>
      <w:r w:rsidRPr="00F4191D">
        <w:rPr>
          <w:bCs/>
          <w:i/>
          <w:iCs/>
        </w:rPr>
        <w:t>Vincent Biraud</w:t>
      </w:r>
    </w:p>
    <w:p w14:paraId="42043EDB" w14:textId="77777777" w:rsidR="00230C70" w:rsidRPr="00F4191D" w:rsidRDefault="00230C70" w:rsidP="00230C70">
      <w:pPr>
        <w:ind w:left="2342"/>
        <w:jc w:val="right"/>
        <w:rPr>
          <w:rFonts w:cs="Arial"/>
          <w:bCs/>
          <w:i/>
          <w:iCs/>
          <w:noProof/>
        </w:rPr>
      </w:pPr>
      <w:r w:rsidRPr="00F4191D">
        <w:rPr>
          <w:bCs/>
          <w:i/>
          <w:iCs/>
        </w:rPr>
        <w:t>Tel.: +33 1 47 54 50 87</w:t>
      </w:r>
    </w:p>
    <w:p w14:paraId="37EC21D0" w14:textId="77777777" w:rsidR="00230C70" w:rsidRPr="00F4191D" w:rsidRDefault="00230C70" w:rsidP="00230C70">
      <w:pPr>
        <w:ind w:left="2342"/>
        <w:jc w:val="right"/>
        <w:rPr>
          <w:rFonts w:cs="Arial"/>
          <w:bCs/>
          <w:i/>
          <w:iCs/>
          <w:noProof/>
        </w:rPr>
      </w:pPr>
      <w:r w:rsidRPr="00F4191D">
        <w:rPr>
          <w:bCs/>
          <w:i/>
          <w:iCs/>
        </w:rPr>
        <w:t>vincent.biraud@capgemini.com</w:t>
      </w:r>
    </w:p>
    <w:p w14:paraId="2FCDEBE7" w14:textId="77777777" w:rsidR="00B00202" w:rsidRPr="00F4191D" w:rsidRDefault="00B00202" w:rsidP="00B00202">
      <w:pPr>
        <w:spacing w:before="120" w:after="120"/>
        <w:jc w:val="center"/>
        <w:rPr>
          <w:rFonts w:ascii="Verdana" w:hAnsi="Verdana" w:cs="Arial"/>
          <w:b/>
          <w:bCs/>
          <w:sz w:val="24"/>
          <w:szCs w:val="24"/>
        </w:rPr>
      </w:pPr>
    </w:p>
    <w:p w14:paraId="09DFD1AA" w14:textId="0A764ED3" w:rsidR="00B00202" w:rsidRPr="00F4191D" w:rsidRDefault="00B00202" w:rsidP="00B00202">
      <w:pPr>
        <w:spacing w:before="120" w:after="120"/>
        <w:jc w:val="center"/>
        <w:rPr>
          <w:rFonts w:ascii="Verdana" w:hAnsi="Verdana" w:cs="Arial"/>
          <w:b/>
          <w:bCs/>
          <w:sz w:val="24"/>
          <w:szCs w:val="24"/>
        </w:rPr>
      </w:pPr>
    </w:p>
    <w:p w14:paraId="77BAB96F" w14:textId="189BA0E3" w:rsidR="009E0D9E" w:rsidRPr="00F4191D" w:rsidRDefault="009E0D9E" w:rsidP="00B00202">
      <w:pPr>
        <w:spacing w:before="120" w:after="120"/>
        <w:jc w:val="center"/>
        <w:rPr>
          <w:rFonts w:ascii="Verdana" w:hAnsi="Verdana" w:cs="Arial"/>
          <w:b/>
          <w:bCs/>
          <w:sz w:val="24"/>
          <w:szCs w:val="24"/>
        </w:rPr>
      </w:pPr>
    </w:p>
    <w:p w14:paraId="2577DDC9" w14:textId="02844024" w:rsidR="00326393" w:rsidRPr="00F4191D" w:rsidRDefault="00326393" w:rsidP="00B00202">
      <w:pPr>
        <w:spacing w:before="120" w:after="120"/>
        <w:jc w:val="center"/>
        <w:rPr>
          <w:rFonts w:ascii="Verdana" w:hAnsi="Verdana" w:cs="Arial"/>
          <w:b/>
          <w:bCs/>
          <w:sz w:val="24"/>
          <w:szCs w:val="24"/>
        </w:rPr>
      </w:pPr>
    </w:p>
    <w:p w14:paraId="3CAB789A" w14:textId="77777777" w:rsidR="009E0D9E" w:rsidRPr="00F4191D" w:rsidRDefault="009E0D9E" w:rsidP="00B00202">
      <w:pPr>
        <w:spacing w:before="120" w:after="120"/>
        <w:jc w:val="center"/>
        <w:rPr>
          <w:rFonts w:ascii="Verdana" w:hAnsi="Verdana" w:cs="Arial"/>
          <w:b/>
          <w:bCs/>
          <w:sz w:val="24"/>
          <w:szCs w:val="24"/>
        </w:rPr>
      </w:pPr>
    </w:p>
    <w:p w14:paraId="61395653" w14:textId="77777777" w:rsidR="00643C99" w:rsidRPr="00F4191D" w:rsidRDefault="00643C99" w:rsidP="00B00202">
      <w:pPr>
        <w:spacing w:before="120" w:after="120"/>
        <w:jc w:val="center"/>
        <w:rPr>
          <w:rFonts w:ascii="Verdana" w:hAnsi="Verdana" w:cs="Arial"/>
          <w:b/>
          <w:bCs/>
          <w:sz w:val="24"/>
          <w:szCs w:val="24"/>
        </w:rPr>
      </w:pPr>
    </w:p>
    <w:p w14:paraId="17D8DE9C" w14:textId="3C92E9B9" w:rsidR="00730678" w:rsidRPr="00F4191D" w:rsidRDefault="00FC4DC8" w:rsidP="00913390">
      <w:pPr>
        <w:spacing w:before="120" w:after="120" w:line="24" w:lineRule="atLeast"/>
        <w:ind w:right="-24"/>
        <w:jc w:val="center"/>
        <w:rPr>
          <w:rFonts w:ascii="Verdana" w:hAnsi="Verdana"/>
          <w:b/>
          <w:bCs/>
          <w:sz w:val="24"/>
          <w:szCs w:val="24"/>
        </w:rPr>
      </w:pPr>
      <w:bookmarkStart w:id="0" w:name="_Hlk519696555"/>
      <w:r>
        <w:rPr>
          <w:rFonts w:ascii="Verdana" w:hAnsi="Verdana"/>
          <w:b/>
          <w:bCs/>
          <w:sz w:val="24"/>
          <w:szCs w:val="24"/>
        </w:rPr>
        <w:t>F</w:t>
      </w:r>
      <w:r w:rsidR="00827420">
        <w:rPr>
          <w:rFonts w:ascii="Verdana" w:hAnsi="Verdana"/>
          <w:b/>
          <w:bCs/>
          <w:sz w:val="24"/>
          <w:szCs w:val="24"/>
        </w:rPr>
        <w:t>irst hal</w:t>
      </w:r>
      <w:r w:rsidR="0014365F">
        <w:rPr>
          <w:rFonts w:ascii="Verdana" w:hAnsi="Verdana"/>
          <w:b/>
          <w:bCs/>
          <w:sz w:val="24"/>
          <w:szCs w:val="24"/>
        </w:rPr>
        <w:t>f</w:t>
      </w:r>
      <w:r w:rsidR="00D4282C">
        <w:rPr>
          <w:rFonts w:ascii="Verdana" w:hAnsi="Verdana"/>
          <w:b/>
          <w:bCs/>
          <w:sz w:val="24"/>
          <w:szCs w:val="24"/>
        </w:rPr>
        <w:t xml:space="preserve"> performance</w:t>
      </w:r>
      <w:r w:rsidR="007615B3" w:rsidRPr="00F4191D">
        <w:rPr>
          <w:rFonts w:ascii="Verdana" w:hAnsi="Verdana"/>
          <w:b/>
          <w:bCs/>
          <w:sz w:val="24"/>
          <w:szCs w:val="24"/>
        </w:rPr>
        <w:t xml:space="preserve"> </w:t>
      </w:r>
      <w:r w:rsidR="00D4282C">
        <w:rPr>
          <w:rFonts w:ascii="Verdana" w:hAnsi="Verdana"/>
          <w:b/>
          <w:bCs/>
          <w:sz w:val="24"/>
          <w:szCs w:val="24"/>
        </w:rPr>
        <w:t xml:space="preserve">reflects </w:t>
      </w:r>
      <w:r w:rsidR="007615B3" w:rsidRPr="00F4191D">
        <w:rPr>
          <w:rFonts w:ascii="Verdana" w:hAnsi="Verdana"/>
          <w:b/>
          <w:bCs/>
          <w:sz w:val="24"/>
          <w:szCs w:val="24"/>
        </w:rPr>
        <w:t>the Group</w:t>
      </w:r>
      <w:r w:rsidR="00D4282C">
        <w:rPr>
          <w:rFonts w:ascii="Verdana" w:hAnsi="Verdana"/>
          <w:b/>
          <w:bCs/>
          <w:sz w:val="24"/>
          <w:szCs w:val="24"/>
        </w:rPr>
        <w:t>’s</w:t>
      </w:r>
      <w:r w:rsidR="007615B3" w:rsidRPr="00F4191D">
        <w:rPr>
          <w:rFonts w:ascii="Verdana" w:hAnsi="Verdana"/>
          <w:b/>
          <w:bCs/>
          <w:sz w:val="24"/>
          <w:szCs w:val="24"/>
        </w:rPr>
        <w:t xml:space="preserve"> </w:t>
      </w:r>
      <w:r w:rsidR="00697086" w:rsidRPr="00F4191D">
        <w:rPr>
          <w:rFonts w:ascii="Verdana" w:hAnsi="Verdana"/>
          <w:b/>
          <w:bCs/>
          <w:sz w:val="24"/>
          <w:szCs w:val="24"/>
        </w:rPr>
        <w:t>resilience</w:t>
      </w:r>
      <w:r w:rsidR="00BD3D73">
        <w:rPr>
          <w:rFonts w:ascii="Verdana" w:hAnsi="Verdana"/>
          <w:b/>
          <w:bCs/>
          <w:sz w:val="24"/>
          <w:szCs w:val="24"/>
        </w:rPr>
        <w:t xml:space="preserve"> </w:t>
      </w:r>
    </w:p>
    <w:bookmarkEnd w:id="0"/>
    <w:p w14:paraId="66017BFD" w14:textId="06E9FFAC" w:rsidR="00B00202" w:rsidRPr="00F4191D" w:rsidRDefault="00B00202" w:rsidP="00B00202">
      <w:pPr>
        <w:spacing w:before="120" w:after="120" w:line="24" w:lineRule="atLeast"/>
        <w:jc w:val="center"/>
        <w:rPr>
          <w:rFonts w:ascii="Verdana" w:hAnsi="Verdana" w:cs="Arial"/>
          <w:b/>
        </w:rPr>
      </w:pPr>
    </w:p>
    <w:p w14:paraId="5A02165E" w14:textId="30F88C17" w:rsidR="00BB2D4E" w:rsidRPr="00F4191D" w:rsidRDefault="00BB2D4E" w:rsidP="00B00202">
      <w:pPr>
        <w:spacing w:before="120" w:after="120" w:line="24" w:lineRule="atLeast"/>
        <w:jc w:val="center"/>
        <w:rPr>
          <w:rFonts w:ascii="Verdana" w:hAnsi="Verdana" w:cs="Arial"/>
          <w:b/>
        </w:rPr>
      </w:pPr>
    </w:p>
    <w:p w14:paraId="4A232D97" w14:textId="77777777" w:rsidR="003004F5" w:rsidRPr="00F4191D" w:rsidRDefault="003004F5" w:rsidP="00B00202">
      <w:pPr>
        <w:spacing w:before="120" w:after="120" w:line="24" w:lineRule="atLeast"/>
        <w:jc w:val="center"/>
        <w:rPr>
          <w:rFonts w:ascii="Verdana" w:hAnsi="Verdana" w:cs="Arial"/>
          <w:b/>
        </w:rPr>
      </w:pPr>
    </w:p>
    <w:p w14:paraId="690C26A2" w14:textId="20B6309E" w:rsidR="00925ADD" w:rsidRPr="00F4191D" w:rsidRDefault="00B00202" w:rsidP="00925ADD">
      <w:pPr>
        <w:pStyle w:val="ListParagraph"/>
        <w:numPr>
          <w:ilvl w:val="0"/>
          <w:numId w:val="4"/>
        </w:numPr>
        <w:spacing w:before="120" w:after="120" w:line="24" w:lineRule="atLeast"/>
        <w:ind w:left="284" w:hanging="218"/>
        <w:jc w:val="left"/>
        <w:rPr>
          <w:rFonts w:ascii="Verdana" w:hAnsi="Verdana" w:cs="Arial"/>
          <w:b/>
        </w:rPr>
      </w:pPr>
      <w:r w:rsidRPr="00F4191D">
        <w:rPr>
          <w:rFonts w:ascii="Verdana" w:hAnsi="Verdana"/>
          <w:b/>
        </w:rPr>
        <w:t xml:space="preserve">Revenues of €7,581 million, up +8.2% with the acquisition of Altran </w:t>
      </w:r>
      <w:bookmarkStart w:id="1" w:name="_Hlk48212126"/>
    </w:p>
    <w:p w14:paraId="0F326FF7" w14:textId="71701860" w:rsidR="00925ADD" w:rsidRPr="00F4191D" w:rsidRDefault="002B69DF" w:rsidP="00925ADD">
      <w:pPr>
        <w:pStyle w:val="ListParagraph"/>
        <w:numPr>
          <w:ilvl w:val="0"/>
          <w:numId w:val="4"/>
        </w:numPr>
        <w:spacing w:before="120" w:after="120" w:line="24" w:lineRule="atLeast"/>
        <w:ind w:left="284" w:hanging="218"/>
        <w:jc w:val="left"/>
        <w:rPr>
          <w:rFonts w:ascii="Verdana" w:hAnsi="Verdana" w:cs="Arial"/>
          <w:b/>
        </w:rPr>
      </w:pPr>
      <w:r w:rsidRPr="00F4191D">
        <w:rPr>
          <w:rFonts w:ascii="Verdana" w:hAnsi="Verdana"/>
          <w:b/>
        </w:rPr>
        <w:t xml:space="preserve">H1 </w:t>
      </w:r>
      <w:r w:rsidR="00941163" w:rsidRPr="00F4191D">
        <w:rPr>
          <w:rFonts w:ascii="Verdana" w:hAnsi="Verdana"/>
          <w:b/>
        </w:rPr>
        <w:t xml:space="preserve">constant currency </w:t>
      </w:r>
      <w:r w:rsidRPr="00F4191D">
        <w:rPr>
          <w:rFonts w:ascii="Verdana" w:hAnsi="Verdana"/>
          <w:b/>
        </w:rPr>
        <w:t xml:space="preserve">growth of +7.9% </w:t>
      </w:r>
      <w:bookmarkEnd w:id="1"/>
      <w:r w:rsidRPr="00F4191D">
        <w:rPr>
          <w:rFonts w:ascii="Verdana" w:hAnsi="Verdana"/>
          <w:b/>
        </w:rPr>
        <w:t>and organic growth</w:t>
      </w:r>
      <w:r w:rsidRPr="00F4191D">
        <w:rPr>
          <w:rFonts w:ascii="Verdana" w:hAnsi="Verdana"/>
          <w:b/>
          <w:vertAlign w:val="superscript"/>
        </w:rPr>
        <w:t>*</w:t>
      </w:r>
      <w:r w:rsidRPr="00F4191D">
        <w:rPr>
          <w:rFonts w:ascii="Verdana" w:hAnsi="Verdana"/>
          <w:b/>
        </w:rPr>
        <w:t xml:space="preserve"> of -3.4%</w:t>
      </w:r>
    </w:p>
    <w:p w14:paraId="420B281E" w14:textId="74640A5E" w:rsidR="00EE61F3" w:rsidRPr="00F4191D" w:rsidRDefault="00EE61F3" w:rsidP="00391FBA">
      <w:pPr>
        <w:pStyle w:val="ListParagraph"/>
        <w:numPr>
          <w:ilvl w:val="0"/>
          <w:numId w:val="4"/>
        </w:numPr>
        <w:spacing w:before="120" w:after="120" w:line="24" w:lineRule="atLeast"/>
        <w:ind w:left="284" w:hanging="218"/>
        <w:jc w:val="left"/>
        <w:rPr>
          <w:rFonts w:ascii="Verdana" w:hAnsi="Verdana" w:cs="Arial"/>
          <w:b/>
        </w:rPr>
      </w:pPr>
      <w:r w:rsidRPr="00F4191D">
        <w:rPr>
          <w:rFonts w:ascii="Verdana" w:hAnsi="Verdana"/>
          <w:b/>
        </w:rPr>
        <w:t xml:space="preserve">Q2 </w:t>
      </w:r>
      <w:r w:rsidR="00941163" w:rsidRPr="00F4191D">
        <w:rPr>
          <w:rFonts w:ascii="Verdana" w:hAnsi="Verdana"/>
          <w:b/>
        </w:rPr>
        <w:t xml:space="preserve">constant currency </w:t>
      </w:r>
      <w:r w:rsidRPr="00F4191D">
        <w:rPr>
          <w:rFonts w:ascii="Verdana" w:hAnsi="Verdana"/>
          <w:b/>
        </w:rPr>
        <w:t>growth of +13.4% and organic growth</w:t>
      </w:r>
      <w:r w:rsidRPr="00F4191D">
        <w:rPr>
          <w:rFonts w:ascii="Verdana" w:hAnsi="Verdana"/>
          <w:b/>
          <w:vertAlign w:val="superscript"/>
        </w:rPr>
        <w:t>*</w:t>
      </w:r>
      <w:r w:rsidRPr="00F4191D">
        <w:rPr>
          <w:rFonts w:ascii="Verdana" w:hAnsi="Verdana"/>
          <w:b/>
        </w:rPr>
        <w:t xml:space="preserve"> of -7.7%</w:t>
      </w:r>
    </w:p>
    <w:p w14:paraId="15CB51B3" w14:textId="68A45560" w:rsidR="00481E71" w:rsidRPr="00F4191D" w:rsidRDefault="002B15F6" w:rsidP="2C79DB7B">
      <w:pPr>
        <w:pStyle w:val="ListParagraph"/>
        <w:numPr>
          <w:ilvl w:val="0"/>
          <w:numId w:val="4"/>
        </w:numPr>
        <w:spacing w:before="120" w:after="120" w:line="23" w:lineRule="atLeast"/>
        <w:ind w:left="283" w:hanging="215"/>
        <w:jc w:val="left"/>
        <w:rPr>
          <w:rFonts w:ascii="Verdana" w:hAnsi="Verdana" w:cs="Arial"/>
          <w:b/>
          <w:bCs/>
        </w:rPr>
      </w:pPr>
      <w:r w:rsidRPr="00F4191D">
        <w:rPr>
          <w:rFonts w:ascii="Verdana" w:hAnsi="Verdana"/>
          <w:b/>
          <w:bCs/>
        </w:rPr>
        <w:t>Operating margin</w:t>
      </w:r>
      <w:r w:rsidR="00481E71" w:rsidRPr="00913390">
        <w:rPr>
          <w:rFonts w:ascii="Verdana" w:hAnsi="Verdana" w:cs="Arial"/>
          <w:b/>
          <w:bCs/>
          <w:vertAlign w:val="superscript"/>
        </w:rPr>
        <w:fldChar w:fldCharType="begin"/>
      </w:r>
      <w:r w:rsidR="00481E71" w:rsidRPr="00E03956">
        <w:rPr>
          <w:rFonts w:ascii="Verdana" w:hAnsi="Verdana" w:cs="Arial"/>
          <w:b/>
          <w:bCs/>
          <w:vertAlign w:val="superscript"/>
        </w:rPr>
        <w:instrText xml:space="preserve"> NOTEREF _Ref13738408 \h  \* MERGEFORMAT </w:instrText>
      </w:r>
      <w:r w:rsidR="00481E71" w:rsidRPr="00913390">
        <w:rPr>
          <w:rFonts w:ascii="Verdana" w:hAnsi="Verdana" w:cs="Arial"/>
          <w:b/>
          <w:bCs/>
          <w:vertAlign w:val="superscript"/>
        </w:rPr>
      </w:r>
      <w:r w:rsidR="00481E71" w:rsidRPr="00913390">
        <w:rPr>
          <w:rFonts w:ascii="Verdana" w:hAnsi="Verdana" w:cs="Arial"/>
          <w:b/>
          <w:bCs/>
          <w:vertAlign w:val="superscript"/>
        </w:rPr>
        <w:fldChar w:fldCharType="separate"/>
      </w:r>
      <w:r w:rsidR="00141EF2" w:rsidRPr="00913390">
        <w:rPr>
          <w:vertAlign w:val="superscript"/>
        </w:rPr>
        <w:t>*</w:t>
      </w:r>
      <w:r w:rsidR="00481E71" w:rsidRPr="00913390">
        <w:rPr>
          <w:rFonts w:ascii="Verdana" w:hAnsi="Verdana" w:cs="Arial"/>
          <w:b/>
          <w:bCs/>
          <w:vertAlign w:val="superscript"/>
        </w:rPr>
        <w:fldChar w:fldCharType="end"/>
      </w:r>
      <w:r w:rsidRPr="00F4191D">
        <w:rPr>
          <w:rFonts w:ascii="Verdana" w:hAnsi="Verdana"/>
          <w:b/>
          <w:bCs/>
        </w:rPr>
        <w:t xml:space="preserve"> up </w:t>
      </w:r>
      <w:r w:rsidR="008E275A">
        <w:rPr>
          <w:rFonts w:ascii="Verdana" w:hAnsi="Verdana"/>
          <w:b/>
          <w:bCs/>
        </w:rPr>
        <w:t>+</w:t>
      </w:r>
      <w:r w:rsidRPr="00F4191D">
        <w:rPr>
          <w:rFonts w:ascii="Verdana" w:hAnsi="Verdana"/>
          <w:b/>
          <w:bCs/>
        </w:rPr>
        <w:t xml:space="preserve">3% in value and </w:t>
      </w:r>
      <w:r w:rsidR="00941163" w:rsidRPr="00F4191D">
        <w:rPr>
          <w:rFonts w:ascii="Verdana" w:hAnsi="Verdana"/>
          <w:b/>
          <w:bCs/>
        </w:rPr>
        <w:t xml:space="preserve">down </w:t>
      </w:r>
      <w:r w:rsidR="002113F3" w:rsidRPr="00F4191D">
        <w:rPr>
          <w:rFonts w:ascii="Verdana" w:hAnsi="Verdana"/>
          <w:b/>
          <w:bCs/>
        </w:rPr>
        <w:t xml:space="preserve">a </w:t>
      </w:r>
      <w:r w:rsidRPr="00F4191D">
        <w:rPr>
          <w:rFonts w:ascii="Verdana" w:hAnsi="Verdana"/>
          <w:b/>
          <w:bCs/>
        </w:rPr>
        <w:t xml:space="preserve">limited </w:t>
      </w:r>
      <w:r w:rsidR="008E275A">
        <w:rPr>
          <w:rFonts w:ascii="Verdana" w:hAnsi="Verdana"/>
          <w:b/>
          <w:bCs/>
        </w:rPr>
        <w:t>-</w:t>
      </w:r>
      <w:r w:rsidRPr="00F4191D">
        <w:rPr>
          <w:rFonts w:ascii="Verdana" w:hAnsi="Verdana"/>
          <w:b/>
          <w:bCs/>
        </w:rPr>
        <w:t>0.6 point</w:t>
      </w:r>
      <w:r w:rsidR="0041125A" w:rsidRPr="00F4191D">
        <w:rPr>
          <w:rFonts w:ascii="Verdana" w:hAnsi="Verdana"/>
          <w:b/>
          <w:bCs/>
        </w:rPr>
        <w:t>s</w:t>
      </w:r>
      <w:r w:rsidRPr="00F4191D">
        <w:rPr>
          <w:rFonts w:ascii="Verdana" w:hAnsi="Verdana"/>
          <w:b/>
          <w:bCs/>
        </w:rPr>
        <w:t xml:space="preserve"> to 10.8%</w:t>
      </w:r>
      <w:r w:rsidR="008E5363" w:rsidRPr="00F4191D">
        <w:rPr>
          <w:rFonts w:ascii="Verdana" w:hAnsi="Verdana"/>
          <w:b/>
          <w:bCs/>
        </w:rPr>
        <w:t xml:space="preserve"> of revenues</w:t>
      </w:r>
    </w:p>
    <w:p w14:paraId="48B24FB5" w14:textId="69EA170A" w:rsidR="00C23C44" w:rsidRPr="00F4191D" w:rsidRDefault="008E5363" w:rsidP="00AB4DBF">
      <w:pPr>
        <w:pStyle w:val="ListParagraph"/>
        <w:numPr>
          <w:ilvl w:val="0"/>
          <w:numId w:val="4"/>
        </w:numPr>
        <w:spacing w:before="120" w:after="120" w:line="24" w:lineRule="atLeast"/>
        <w:ind w:left="284" w:hanging="218"/>
        <w:jc w:val="left"/>
        <w:rPr>
          <w:rFonts w:ascii="Verdana" w:hAnsi="Verdana" w:cs="Arial"/>
          <w:b/>
        </w:rPr>
      </w:pPr>
      <w:r w:rsidRPr="00F4191D">
        <w:rPr>
          <w:rFonts w:ascii="Verdana" w:hAnsi="Verdana"/>
          <w:b/>
        </w:rPr>
        <w:t>N</w:t>
      </w:r>
      <w:r w:rsidR="00241F09" w:rsidRPr="00F4191D">
        <w:rPr>
          <w:rFonts w:ascii="Verdana" w:hAnsi="Verdana"/>
          <w:b/>
        </w:rPr>
        <w:t>ormalized earnings per share</w:t>
      </w:r>
      <w:r w:rsidR="00701F43" w:rsidRPr="00913390">
        <w:rPr>
          <w:rFonts w:ascii="Verdana" w:hAnsi="Verdana" w:cs="Arial"/>
          <w:b/>
          <w:vertAlign w:val="superscript"/>
        </w:rPr>
        <w:fldChar w:fldCharType="begin"/>
      </w:r>
      <w:r w:rsidR="00701F43" w:rsidRPr="00E03956">
        <w:rPr>
          <w:rFonts w:ascii="Verdana" w:hAnsi="Verdana" w:cs="Arial"/>
          <w:b/>
          <w:vertAlign w:val="superscript"/>
        </w:rPr>
        <w:instrText xml:space="preserve"> NOTEREF _Ref13738408 \h  \* MERGEFORMAT </w:instrText>
      </w:r>
      <w:r w:rsidR="00701F43" w:rsidRPr="00913390">
        <w:rPr>
          <w:rFonts w:ascii="Verdana" w:hAnsi="Verdana" w:cs="Arial"/>
          <w:b/>
          <w:vertAlign w:val="superscript"/>
        </w:rPr>
      </w:r>
      <w:r w:rsidR="00701F43" w:rsidRPr="00913390">
        <w:rPr>
          <w:rFonts w:ascii="Verdana" w:hAnsi="Verdana" w:cs="Arial"/>
          <w:b/>
          <w:vertAlign w:val="superscript"/>
        </w:rPr>
        <w:fldChar w:fldCharType="separate"/>
      </w:r>
      <w:r w:rsidR="00141EF2" w:rsidRPr="00913390">
        <w:rPr>
          <w:vertAlign w:val="superscript"/>
        </w:rPr>
        <w:t>*</w:t>
      </w:r>
      <w:r w:rsidR="00701F43" w:rsidRPr="00913390">
        <w:rPr>
          <w:rFonts w:ascii="Verdana" w:hAnsi="Verdana" w:cs="Arial"/>
          <w:b/>
          <w:vertAlign w:val="superscript"/>
        </w:rPr>
        <w:fldChar w:fldCharType="end"/>
      </w:r>
      <w:r w:rsidR="00241F09" w:rsidRPr="00F4191D">
        <w:rPr>
          <w:rFonts w:ascii="Verdana" w:hAnsi="Verdana"/>
          <w:b/>
        </w:rPr>
        <w:t xml:space="preserve"> </w:t>
      </w:r>
      <w:r w:rsidRPr="00F4191D">
        <w:rPr>
          <w:rFonts w:ascii="Verdana" w:hAnsi="Verdana"/>
          <w:b/>
        </w:rPr>
        <w:t xml:space="preserve">down </w:t>
      </w:r>
      <w:r w:rsidR="008E275A">
        <w:rPr>
          <w:rFonts w:ascii="Verdana" w:hAnsi="Verdana"/>
          <w:b/>
        </w:rPr>
        <w:t>-</w:t>
      </w:r>
      <w:r w:rsidRPr="00F4191D">
        <w:rPr>
          <w:rFonts w:ascii="Verdana" w:hAnsi="Verdana"/>
          <w:b/>
        </w:rPr>
        <w:t xml:space="preserve">4% </w:t>
      </w:r>
      <w:r w:rsidR="00241F09" w:rsidRPr="00F4191D">
        <w:rPr>
          <w:rFonts w:ascii="Verdana" w:hAnsi="Verdana"/>
          <w:b/>
        </w:rPr>
        <w:t>and Net profit (Group share)</w:t>
      </w:r>
      <w:r w:rsidRPr="00F4191D">
        <w:rPr>
          <w:rFonts w:ascii="Verdana" w:hAnsi="Verdana"/>
          <w:b/>
        </w:rPr>
        <w:t xml:space="preserve"> down </w:t>
      </w:r>
      <w:r w:rsidR="008E275A">
        <w:rPr>
          <w:rFonts w:ascii="Verdana" w:hAnsi="Verdana"/>
          <w:b/>
        </w:rPr>
        <w:t>-</w:t>
      </w:r>
      <w:r w:rsidRPr="00F4191D">
        <w:rPr>
          <w:rFonts w:ascii="Verdana" w:hAnsi="Verdana"/>
          <w:b/>
        </w:rPr>
        <w:t>20%</w:t>
      </w:r>
    </w:p>
    <w:p w14:paraId="2FC97A2E" w14:textId="55B9C268" w:rsidR="00B00202" w:rsidRPr="00F4191D" w:rsidRDefault="00B00202" w:rsidP="2C79DB7B">
      <w:pPr>
        <w:pStyle w:val="ListParagraph"/>
        <w:numPr>
          <w:ilvl w:val="0"/>
          <w:numId w:val="4"/>
        </w:numPr>
        <w:spacing w:before="120" w:after="120" w:line="24" w:lineRule="atLeast"/>
        <w:ind w:left="284" w:hanging="218"/>
        <w:jc w:val="left"/>
        <w:rPr>
          <w:rFonts w:ascii="Verdana" w:hAnsi="Verdana" w:cs="Arial"/>
          <w:b/>
          <w:bCs/>
        </w:rPr>
      </w:pPr>
      <w:r w:rsidRPr="00F4191D">
        <w:rPr>
          <w:rFonts w:ascii="Verdana" w:hAnsi="Verdana"/>
          <w:b/>
          <w:bCs/>
        </w:rPr>
        <w:t>Organic free cash flow</w:t>
      </w:r>
      <w:bookmarkStart w:id="2" w:name="_Ref13738408"/>
      <w:r w:rsidRPr="00F4191D">
        <w:rPr>
          <w:rStyle w:val="FootnoteReference"/>
          <w:rFonts w:ascii="Verdana" w:hAnsi="Verdana" w:cs="Arial"/>
          <w:b/>
          <w:bCs/>
        </w:rPr>
        <w:footnoteReference w:customMarkFollows="1" w:id="2"/>
        <w:t>*</w:t>
      </w:r>
      <w:bookmarkEnd w:id="2"/>
      <w:r w:rsidRPr="00F4191D">
        <w:rPr>
          <w:rFonts w:ascii="Verdana" w:hAnsi="Verdana"/>
          <w:b/>
          <w:bCs/>
        </w:rPr>
        <w:t xml:space="preserve"> up €16 million to €106 million</w:t>
      </w:r>
    </w:p>
    <w:p w14:paraId="49003CD9" w14:textId="774425A6" w:rsidR="00643C99" w:rsidRPr="00F4191D" w:rsidRDefault="00643C99" w:rsidP="00B00202">
      <w:pPr>
        <w:spacing w:before="120" w:after="120"/>
        <w:ind w:left="567" w:hanging="218"/>
        <w:rPr>
          <w:rFonts w:ascii="Verdana" w:hAnsi="Verdana"/>
        </w:rPr>
      </w:pPr>
    </w:p>
    <w:p w14:paraId="36A41753" w14:textId="77777777" w:rsidR="0079218C" w:rsidRPr="00F4191D" w:rsidRDefault="0079218C" w:rsidP="002C22BA">
      <w:pPr>
        <w:spacing w:before="120" w:after="120" w:line="276" w:lineRule="auto"/>
        <w:rPr>
          <w:rFonts w:ascii="Verdana" w:hAnsi="Verdana" w:cs="Arial"/>
          <w:b/>
          <w:i/>
        </w:rPr>
      </w:pPr>
    </w:p>
    <w:p w14:paraId="006289D2" w14:textId="602A5C53" w:rsidR="00B00202" w:rsidRPr="00F4191D" w:rsidRDefault="00B00202" w:rsidP="008E5363">
      <w:pPr>
        <w:spacing w:before="120" w:after="120" w:line="276" w:lineRule="auto"/>
        <w:rPr>
          <w:rFonts w:ascii="Verdana" w:hAnsi="Verdana" w:cs="Arial"/>
        </w:rPr>
      </w:pPr>
      <w:r w:rsidRPr="00F4191D">
        <w:rPr>
          <w:b/>
          <w:i/>
        </w:rPr>
        <w:t>Paris, September 3, 2020 –</w:t>
      </w:r>
      <w:r w:rsidRPr="00F4191D">
        <w:t xml:space="preserve"> </w:t>
      </w:r>
      <w:r w:rsidRPr="00F4191D">
        <w:rPr>
          <w:rFonts w:ascii="Verdana" w:hAnsi="Verdana"/>
        </w:rPr>
        <w:t>The Board of Directors of Capgemini SE, chaired by Paul Hermelin, convened on September 2, 2020 to review the accounts</w:t>
      </w:r>
      <w:r w:rsidRPr="00F4191D">
        <w:rPr>
          <w:rStyle w:val="FootnoteReference"/>
          <w:rFonts w:ascii="Verdana" w:hAnsi="Verdana" w:cs="Arial"/>
        </w:rPr>
        <w:footnoteReference w:id="3"/>
      </w:r>
      <w:r w:rsidRPr="00F4191D">
        <w:rPr>
          <w:rFonts w:ascii="Verdana" w:hAnsi="Verdana"/>
          <w:vertAlign w:val="superscript"/>
        </w:rPr>
        <w:t xml:space="preserve"> </w:t>
      </w:r>
      <w:r w:rsidRPr="00F4191D">
        <w:rPr>
          <w:rFonts w:ascii="Verdana" w:hAnsi="Verdana"/>
        </w:rPr>
        <w:t xml:space="preserve">of Capgemini Group for the first half of 2020. </w:t>
      </w:r>
    </w:p>
    <w:p w14:paraId="7A5056FA" w14:textId="211A0F79" w:rsidR="001A5779" w:rsidRPr="00DF63D5" w:rsidRDefault="000A3B7B" w:rsidP="001A5779">
      <w:pPr>
        <w:spacing w:before="120" w:after="120" w:line="276" w:lineRule="auto"/>
        <w:rPr>
          <w:rFonts w:ascii="Verdana" w:hAnsi="Verdana"/>
          <w:i/>
          <w:iCs/>
        </w:rPr>
      </w:pPr>
      <w:r w:rsidRPr="00F4191D">
        <w:rPr>
          <w:rFonts w:ascii="Verdana" w:hAnsi="Verdana"/>
        </w:rPr>
        <w:t>Aiman Ezzat, Chief Executive Officer of Capgemini Group, said: “</w:t>
      </w:r>
      <w:r w:rsidR="000C13FE" w:rsidRPr="002900DC">
        <w:rPr>
          <w:rFonts w:ascii="Verdana" w:hAnsi="Verdana"/>
          <w:i/>
          <w:iCs/>
        </w:rPr>
        <w:t>We achieved a</w:t>
      </w:r>
      <w:r w:rsidR="000C13FE" w:rsidRPr="000C13FE">
        <w:rPr>
          <w:rFonts w:ascii="Verdana" w:hAnsi="Verdana"/>
        </w:rPr>
        <w:t xml:space="preserve"> </w:t>
      </w:r>
      <w:r w:rsidR="001A5779" w:rsidRPr="00DF63D5">
        <w:rPr>
          <w:rFonts w:ascii="Verdana" w:hAnsi="Verdana"/>
          <w:i/>
          <w:iCs/>
        </w:rPr>
        <w:t xml:space="preserve">robust performance in the first half. </w:t>
      </w:r>
      <w:r w:rsidR="008932A3">
        <w:rPr>
          <w:rFonts w:ascii="Verdana" w:hAnsi="Verdana"/>
          <w:i/>
          <w:iCs/>
        </w:rPr>
        <w:t>The Group</w:t>
      </w:r>
      <w:r w:rsidR="008932A3" w:rsidRPr="00DF63D5">
        <w:rPr>
          <w:rFonts w:ascii="Verdana" w:hAnsi="Verdana"/>
          <w:i/>
          <w:iCs/>
        </w:rPr>
        <w:t xml:space="preserve"> </w:t>
      </w:r>
      <w:r w:rsidR="001A5779" w:rsidRPr="00DF63D5">
        <w:rPr>
          <w:rFonts w:ascii="Verdana" w:hAnsi="Verdana"/>
          <w:i/>
          <w:iCs/>
        </w:rPr>
        <w:t>ensured the continuity of our clients</w:t>
      </w:r>
      <w:r w:rsidR="00B363E0">
        <w:rPr>
          <w:rFonts w:ascii="Verdana" w:hAnsi="Verdana"/>
          <w:i/>
          <w:iCs/>
        </w:rPr>
        <w:t>’</w:t>
      </w:r>
      <w:r w:rsidR="001A5779" w:rsidRPr="00DF63D5">
        <w:rPr>
          <w:rFonts w:ascii="Verdana" w:hAnsi="Verdana"/>
          <w:i/>
          <w:iCs/>
        </w:rPr>
        <w:t xml:space="preserve"> </w:t>
      </w:r>
      <w:r w:rsidR="00BD3D73">
        <w:rPr>
          <w:rFonts w:ascii="Verdana" w:hAnsi="Verdana"/>
          <w:i/>
          <w:iCs/>
        </w:rPr>
        <w:t xml:space="preserve">service </w:t>
      </w:r>
      <w:r w:rsidR="001A5779" w:rsidRPr="00DF63D5">
        <w:rPr>
          <w:rFonts w:ascii="Verdana" w:hAnsi="Verdana"/>
          <w:i/>
          <w:iCs/>
        </w:rPr>
        <w:t xml:space="preserve">while </w:t>
      </w:r>
      <w:r w:rsidR="00110F56">
        <w:rPr>
          <w:rFonts w:ascii="Verdana" w:hAnsi="Verdana"/>
          <w:i/>
          <w:iCs/>
        </w:rPr>
        <w:t xml:space="preserve">maintaining a </w:t>
      </w:r>
      <w:r w:rsidR="00F87D2C">
        <w:rPr>
          <w:rFonts w:ascii="Verdana" w:hAnsi="Verdana"/>
          <w:i/>
          <w:iCs/>
        </w:rPr>
        <w:t xml:space="preserve">strong </w:t>
      </w:r>
      <w:r w:rsidR="00110F56">
        <w:rPr>
          <w:rFonts w:ascii="Verdana" w:hAnsi="Verdana"/>
          <w:i/>
          <w:iCs/>
        </w:rPr>
        <w:t>momentum</w:t>
      </w:r>
      <w:r w:rsidR="00787A11">
        <w:rPr>
          <w:rFonts w:ascii="Verdana" w:hAnsi="Verdana"/>
          <w:i/>
          <w:iCs/>
        </w:rPr>
        <w:t xml:space="preserve"> in bookings</w:t>
      </w:r>
      <w:r w:rsidR="001A5779" w:rsidRPr="00DF63D5">
        <w:rPr>
          <w:rFonts w:ascii="Verdana" w:hAnsi="Verdana"/>
          <w:i/>
          <w:iCs/>
        </w:rPr>
        <w:t xml:space="preserve">. I would like to thank all </w:t>
      </w:r>
      <w:r w:rsidR="00BD3D73">
        <w:rPr>
          <w:rFonts w:ascii="Verdana" w:hAnsi="Verdana"/>
          <w:i/>
          <w:iCs/>
        </w:rPr>
        <w:t>Capgemini</w:t>
      </w:r>
      <w:r w:rsidR="00BD3D73" w:rsidRPr="00DF63D5">
        <w:rPr>
          <w:rFonts w:ascii="Verdana" w:hAnsi="Verdana"/>
          <w:i/>
          <w:iCs/>
        </w:rPr>
        <w:t xml:space="preserve"> </w:t>
      </w:r>
      <w:r w:rsidR="001A5779" w:rsidRPr="00DF63D5">
        <w:rPr>
          <w:rFonts w:ascii="Verdana" w:hAnsi="Verdana"/>
          <w:i/>
          <w:iCs/>
        </w:rPr>
        <w:t xml:space="preserve">employees for their </w:t>
      </w:r>
      <w:r w:rsidR="00100F08">
        <w:rPr>
          <w:rFonts w:ascii="Verdana" w:hAnsi="Verdana"/>
          <w:i/>
          <w:iCs/>
        </w:rPr>
        <w:t>outstanding</w:t>
      </w:r>
      <w:r w:rsidR="001A5779" w:rsidRPr="00DF63D5">
        <w:rPr>
          <w:rFonts w:ascii="Verdana" w:hAnsi="Verdana"/>
          <w:i/>
          <w:iCs/>
        </w:rPr>
        <w:t xml:space="preserve"> commitment throughout this period. These results are not only a reflection of our strong responsiveness to the crisis but also the work carried out over the past decade to improve our </w:t>
      </w:r>
      <w:r w:rsidR="00607E96">
        <w:rPr>
          <w:rFonts w:ascii="Verdana" w:hAnsi="Verdana"/>
          <w:i/>
          <w:iCs/>
        </w:rPr>
        <w:t>operating model</w:t>
      </w:r>
      <w:r w:rsidR="00A727DB">
        <w:rPr>
          <w:rFonts w:ascii="Verdana" w:hAnsi="Verdana"/>
          <w:i/>
          <w:iCs/>
        </w:rPr>
        <w:t xml:space="preserve">, </w:t>
      </w:r>
      <w:r w:rsidR="001A5779" w:rsidRPr="00DF63D5">
        <w:rPr>
          <w:rFonts w:ascii="Verdana" w:hAnsi="Verdana"/>
          <w:i/>
          <w:iCs/>
        </w:rPr>
        <w:t>diversif</w:t>
      </w:r>
      <w:r w:rsidR="00A727DB">
        <w:rPr>
          <w:rFonts w:ascii="Verdana" w:hAnsi="Verdana"/>
          <w:i/>
          <w:iCs/>
        </w:rPr>
        <w:t>y</w:t>
      </w:r>
      <w:r w:rsidR="001A5779" w:rsidRPr="00DF63D5">
        <w:rPr>
          <w:rFonts w:ascii="Verdana" w:hAnsi="Verdana"/>
          <w:i/>
          <w:iCs/>
        </w:rPr>
        <w:t xml:space="preserve"> our </w:t>
      </w:r>
      <w:r w:rsidR="00BD3D73">
        <w:rPr>
          <w:rFonts w:ascii="Verdana" w:hAnsi="Verdana"/>
          <w:i/>
          <w:iCs/>
        </w:rPr>
        <w:t>activities</w:t>
      </w:r>
      <w:r w:rsidR="00A727DB">
        <w:rPr>
          <w:rFonts w:ascii="Verdana" w:hAnsi="Verdana"/>
          <w:i/>
          <w:iCs/>
        </w:rPr>
        <w:t xml:space="preserve"> and develop our</w:t>
      </w:r>
      <w:r w:rsidR="00BD3D73" w:rsidRPr="00DF63D5">
        <w:rPr>
          <w:rFonts w:ascii="Verdana" w:hAnsi="Verdana"/>
          <w:i/>
          <w:iCs/>
        </w:rPr>
        <w:t xml:space="preserve"> </w:t>
      </w:r>
      <w:r w:rsidR="001A5779" w:rsidRPr="00DF63D5">
        <w:rPr>
          <w:rFonts w:ascii="Verdana" w:hAnsi="Verdana"/>
          <w:i/>
          <w:iCs/>
        </w:rPr>
        <w:t>digital and cloud</w:t>
      </w:r>
      <w:r w:rsidR="00BD3D73">
        <w:rPr>
          <w:rFonts w:ascii="Verdana" w:hAnsi="Verdana"/>
          <w:i/>
          <w:iCs/>
        </w:rPr>
        <w:t xml:space="preserve"> services</w:t>
      </w:r>
      <w:r w:rsidR="001A5779" w:rsidRPr="00DF63D5">
        <w:rPr>
          <w:rFonts w:ascii="Verdana" w:hAnsi="Verdana"/>
          <w:i/>
          <w:iCs/>
        </w:rPr>
        <w:t>.</w:t>
      </w:r>
    </w:p>
    <w:p w14:paraId="11B25354" w14:textId="3B296266" w:rsidR="00A727DB" w:rsidRDefault="006B46EE" w:rsidP="001A5779">
      <w:pPr>
        <w:spacing w:before="120" w:after="120" w:line="276" w:lineRule="auto"/>
        <w:rPr>
          <w:rFonts w:ascii="Verdana" w:hAnsi="Verdana"/>
          <w:i/>
          <w:iCs/>
        </w:rPr>
      </w:pPr>
      <w:r>
        <w:rPr>
          <w:rFonts w:ascii="Verdana" w:hAnsi="Verdana"/>
          <w:i/>
          <w:iCs/>
        </w:rPr>
        <w:t>Today</w:t>
      </w:r>
      <w:r w:rsidR="00DA2C11">
        <w:rPr>
          <w:rFonts w:ascii="Verdana" w:hAnsi="Verdana"/>
          <w:i/>
          <w:iCs/>
        </w:rPr>
        <w:t>,</w:t>
      </w:r>
      <w:r>
        <w:rPr>
          <w:rFonts w:ascii="Verdana" w:hAnsi="Verdana"/>
          <w:i/>
          <w:iCs/>
        </w:rPr>
        <w:t xml:space="preserve"> we </w:t>
      </w:r>
      <w:r w:rsidR="00A727DB">
        <w:rPr>
          <w:rFonts w:ascii="Verdana" w:hAnsi="Verdana"/>
          <w:i/>
          <w:iCs/>
        </w:rPr>
        <w:t xml:space="preserve">set </w:t>
      </w:r>
      <w:r>
        <w:rPr>
          <w:rFonts w:ascii="Verdana" w:hAnsi="Verdana"/>
          <w:i/>
          <w:iCs/>
        </w:rPr>
        <w:t xml:space="preserve">objectives </w:t>
      </w:r>
      <w:r w:rsidR="00A727DB">
        <w:rPr>
          <w:rFonts w:ascii="Verdana" w:hAnsi="Verdana"/>
          <w:i/>
          <w:iCs/>
        </w:rPr>
        <w:t xml:space="preserve">for 2020 </w:t>
      </w:r>
      <w:r>
        <w:rPr>
          <w:rFonts w:ascii="Verdana" w:hAnsi="Verdana"/>
          <w:i/>
          <w:iCs/>
        </w:rPr>
        <w:t xml:space="preserve">that </w:t>
      </w:r>
      <w:r w:rsidR="00A727DB">
        <w:rPr>
          <w:rFonts w:ascii="Verdana" w:hAnsi="Verdana"/>
          <w:i/>
          <w:iCs/>
        </w:rPr>
        <w:t xml:space="preserve">illustrate </w:t>
      </w:r>
      <w:r w:rsidR="009D229A">
        <w:rPr>
          <w:rFonts w:ascii="Verdana" w:hAnsi="Verdana"/>
          <w:i/>
          <w:iCs/>
        </w:rPr>
        <w:t xml:space="preserve">the </w:t>
      </w:r>
      <w:r w:rsidR="00A727DB">
        <w:rPr>
          <w:rFonts w:ascii="Verdana" w:hAnsi="Verdana"/>
          <w:i/>
          <w:iCs/>
        </w:rPr>
        <w:t>resilience</w:t>
      </w:r>
      <w:r w:rsidR="009D229A">
        <w:rPr>
          <w:rFonts w:ascii="Verdana" w:hAnsi="Verdana"/>
          <w:i/>
          <w:iCs/>
        </w:rPr>
        <w:t xml:space="preserve"> of our revenues, profitability and </w:t>
      </w:r>
      <w:r w:rsidR="00F77E9F">
        <w:rPr>
          <w:rFonts w:ascii="Verdana" w:hAnsi="Verdana"/>
          <w:i/>
          <w:iCs/>
        </w:rPr>
        <w:t>o</w:t>
      </w:r>
      <w:r w:rsidR="005F3930">
        <w:rPr>
          <w:rFonts w:ascii="Verdana" w:hAnsi="Verdana"/>
          <w:i/>
          <w:iCs/>
        </w:rPr>
        <w:t xml:space="preserve">rganic </w:t>
      </w:r>
      <w:r w:rsidR="009D229A">
        <w:rPr>
          <w:rFonts w:ascii="Verdana" w:hAnsi="Verdana"/>
          <w:i/>
          <w:iCs/>
        </w:rPr>
        <w:t>free cash</w:t>
      </w:r>
      <w:r w:rsidR="003E40A6">
        <w:rPr>
          <w:rFonts w:ascii="Verdana" w:hAnsi="Verdana"/>
          <w:i/>
          <w:iCs/>
        </w:rPr>
        <w:t xml:space="preserve"> </w:t>
      </w:r>
      <w:r w:rsidR="009D229A">
        <w:rPr>
          <w:rFonts w:ascii="Verdana" w:hAnsi="Verdana"/>
          <w:i/>
          <w:iCs/>
        </w:rPr>
        <w:t>flow</w:t>
      </w:r>
      <w:r w:rsidR="00A727DB">
        <w:rPr>
          <w:rFonts w:ascii="Verdana" w:hAnsi="Verdana"/>
          <w:i/>
          <w:iCs/>
        </w:rPr>
        <w:t>.</w:t>
      </w:r>
    </w:p>
    <w:p w14:paraId="79E1187B" w14:textId="2DD8B089" w:rsidR="001A5779" w:rsidRPr="00DF63D5" w:rsidRDefault="001A5779" w:rsidP="001A5779">
      <w:pPr>
        <w:spacing w:before="120" w:after="120" w:line="276" w:lineRule="auto"/>
        <w:rPr>
          <w:rFonts w:ascii="Verdana" w:hAnsi="Verdana"/>
          <w:i/>
          <w:iCs/>
        </w:rPr>
      </w:pPr>
      <w:r w:rsidRPr="00DF63D5">
        <w:rPr>
          <w:rFonts w:ascii="Verdana" w:hAnsi="Verdana"/>
          <w:i/>
          <w:iCs/>
        </w:rPr>
        <w:t xml:space="preserve">This first half was also marked by the completion of the acquisition of Altran, which brings a new dimension to our Group and a leadership position in the </w:t>
      </w:r>
      <w:r w:rsidR="00EB674E">
        <w:rPr>
          <w:rFonts w:ascii="Verdana" w:hAnsi="Verdana"/>
          <w:i/>
          <w:iCs/>
        </w:rPr>
        <w:t>dynamic</w:t>
      </w:r>
      <w:r w:rsidRPr="00DF63D5">
        <w:rPr>
          <w:rFonts w:ascii="Verdana" w:hAnsi="Verdana"/>
          <w:i/>
          <w:iCs/>
        </w:rPr>
        <w:t xml:space="preserve"> "Intelligent Industry" market. </w:t>
      </w:r>
      <w:r w:rsidR="00310EDA">
        <w:rPr>
          <w:rFonts w:ascii="Verdana" w:hAnsi="Verdana"/>
          <w:i/>
          <w:iCs/>
        </w:rPr>
        <w:t>The i</w:t>
      </w:r>
      <w:r w:rsidRPr="00DF63D5">
        <w:rPr>
          <w:rFonts w:ascii="Verdana" w:hAnsi="Verdana"/>
          <w:i/>
          <w:iCs/>
        </w:rPr>
        <w:t xml:space="preserve">ntegration </w:t>
      </w:r>
      <w:r w:rsidR="000E6CDC">
        <w:rPr>
          <w:rFonts w:ascii="Verdana" w:hAnsi="Verdana"/>
          <w:i/>
          <w:iCs/>
        </w:rPr>
        <w:t xml:space="preserve">is progressing rapidly </w:t>
      </w:r>
      <w:r w:rsidR="00353E01">
        <w:rPr>
          <w:rFonts w:ascii="Verdana" w:hAnsi="Verdana"/>
          <w:i/>
          <w:iCs/>
        </w:rPr>
        <w:t>in particular</w:t>
      </w:r>
      <w:r w:rsidR="006D0807">
        <w:rPr>
          <w:rFonts w:ascii="Verdana" w:hAnsi="Verdana"/>
          <w:i/>
          <w:iCs/>
        </w:rPr>
        <w:t xml:space="preserve"> thanks to</w:t>
      </w:r>
      <w:r w:rsidR="00153026">
        <w:rPr>
          <w:rFonts w:ascii="Verdana" w:hAnsi="Verdana"/>
          <w:i/>
          <w:iCs/>
        </w:rPr>
        <w:t xml:space="preserve"> </w:t>
      </w:r>
      <w:r w:rsidRPr="00DF63D5">
        <w:rPr>
          <w:rFonts w:ascii="Verdana" w:hAnsi="Verdana"/>
          <w:i/>
          <w:iCs/>
        </w:rPr>
        <w:t>the quality of the collaboration between the teams.</w:t>
      </w:r>
    </w:p>
    <w:p w14:paraId="5F4DE7C6" w14:textId="7F6B8C86" w:rsidR="00B00202" w:rsidRPr="00F4191D" w:rsidRDefault="001A5779" w:rsidP="001A5779">
      <w:pPr>
        <w:spacing w:before="120" w:after="120" w:line="276" w:lineRule="auto"/>
        <w:rPr>
          <w:rFonts w:ascii="Verdana" w:hAnsi="Verdana" w:cs="Arial"/>
        </w:rPr>
      </w:pPr>
      <w:r w:rsidRPr="00DF63D5">
        <w:rPr>
          <w:rFonts w:ascii="Verdana" w:hAnsi="Verdana"/>
          <w:i/>
          <w:iCs/>
        </w:rPr>
        <w:t xml:space="preserve">Finally, </w:t>
      </w:r>
      <w:r w:rsidR="00D0341B">
        <w:rPr>
          <w:rFonts w:ascii="Verdana" w:hAnsi="Verdana"/>
          <w:i/>
          <w:iCs/>
        </w:rPr>
        <w:t xml:space="preserve">I would like to highlight our </w:t>
      </w:r>
      <w:r w:rsidR="00773C1B">
        <w:rPr>
          <w:rFonts w:ascii="Verdana" w:hAnsi="Verdana"/>
          <w:i/>
          <w:iCs/>
        </w:rPr>
        <w:t xml:space="preserve">commitment to </w:t>
      </w:r>
      <w:r w:rsidR="001931A9">
        <w:rPr>
          <w:rFonts w:ascii="Verdana" w:hAnsi="Verdana"/>
          <w:i/>
          <w:iCs/>
        </w:rPr>
        <w:t>tackling</w:t>
      </w:r>
      <w:r w:rsidR="00116583">
        <w:rPr>
          <w:rFonts w:ascii="Verdana" w:hAnsi="Verdana"/>
          <w:i/>
          <w:iCs/>
        </w:rPr>
        <w:t xml:space="preserve"> </w:t>
      </w:r>
      <w:r w:rsidR="00773C1B">
        <w:rPr>
          <w:rFonts w:ascii="Verdana" w:hAnsi="Verdana"/>
          <w:i/>
          <w:iCs/>
        </w:rPr>
        <w:t xml:space="preserve">climate change, </w:t>
      </w:r>
      <w:r w:rsidR="00773C1B" w:rsidRPr="00DF63D5">
        <w:rPr>
          <w:rFonts w:ascii="Verdana" w:hAnsi="Verdana"/>
          <w:i/>
          <w:iCs/>
        </w:rPr>
        <w:t xml:space="preserve">which </w:t>
      </w:r>
      <w:r w:rsidR="00773C1B">
        <w:rPr>
          <w:rFonts w:ascii="Verdana" w:hAnsi="Verdana"/>
          <w:i/>
          <w:iCs/>
        </w:rPr>
        <w:t xml:space="preserve">I have placed </w:t>
      </w:r>
      <w:r w:rsidR="00773C1B" w:rsidRPr="00DF63D5">
        <w:rPr>
          <w:rFonts w:ascii="Verdana" w:hAnsi="Verdana"/>
          <w:i/>
          <w:iCs/>
        </w:rPr>
        <w:t>at the heart of the Group's priorities</w:t>
      </w:r>
      <w:r w:rsidR="00AC4D91">
        <w:rPr>
          <w:rFonts w:ascii="Verdana" w:hAnsi="Verdana"/>
          <w:i/>
          <w:iCs/>
        </w:rPr>
        <w:t>,</w:t>
      </w:r>
      <w:r w:rsidR="00773C1B" w:rsidRPr="00DF63D5">
        <w:rPr>
          <w:rFonts w:ascii="Verdana" w:hAnsi="Verdana"/>
          <w:i/>
          <w:iCs/>
        </w:rPr>
        <w:t xml:space="preserve"> </w:t>
      </w:r>
      <w:r w:rsidR="00AC4D91">
        <w:rPr>
          <w:rFonts w:ascii="Verdana" w:hAnsi="Verdana"/>
          <w:i/>
          <w:iCs/>
        </w:rPr>
        <w:t>with our new target of</w:t>
      </w:r>
      <w:r w:rsidRPr="00DF63D5">
        <w:rPr>
          <w:rFonts w:ascii="Verdana" w:hAnsi="Verdana"/>
          <w:i/>
          <w:iCs/>
        </w:rPr>
        <w:t xml:space="preserve"> "net zero emissions" by 2030</w:t>
      </w:r>
      <w:r w:rsidR="00A24198" w:rsidRPr="001A5779">
        <w:rPr>
          <w:rFonts w:ascii="Verdana" w:hAnsi="Verdana"/>
          <w:i/>
          <w:iCs/>
        </w:rPr>
        <w:t>.</w:t>
      </w:r>
      <w:r w:rsidR="000A3B7B" w:rsidRPr="00F4191D">
        <w:rPr>
          <w:rFonts w:ascii="Verdana" w:hAnsi="Verdana"/>
          <w:i/>
          <w:iCs/>
        </w:rPr>
        <w:t>”</w:t>
      </w:r>
    </w:p>
    <w:p w14:paraId="47D8949E" w14:textId="2D2F2486" w:rsidR="00B00202" w:rsidRPr="00F4191D" w:rsidRDefault="00C96D53" w:rsidP="008E5363">
      <w:pPr>
        <w:pStyle w:val="Heading1"/>
        <w:spacing w:line="276" w:lineRule="auto"/>
      </w:pPr>
      <w:r w:rsidRPr="00F4191D">
        <w:t>1</w:t>
      </w:r>
      <w:r w:rsidRPr="00F4191D">
        <w:rPr>
          <w:vertAlign w:val="superscript"/>
        </w:rPr>
        <w:t>ST</w:t>
      </w:r>
      <w:r w:rsidRPr="00F4191D">
        <w:t xml:space="preserve"> HALF KEY FIGURES </w:t>
      </w:r>
    </w:p>
    <w:p w14:paraId="48D47C66" w14:textId="642ABDCB" w:rsidR="003B4D96" w:rsidRPr="00F4191D" w:rsidRDefault="003B4D96" w:rsidP="008E5363">
      <w:pPr>
        <w:keepNext/>
        <w:spacing w:before="120" w:after="120" w:line="276" w:lineRule="auto"/>
        <w:rPr>
          <w:rFonts w:ascii="Verdana" w:hAnsi="Verdana" w:cs="Arial"/>
        </w:rPr>
      </w:pPr>
      <w:r w:rsidRPr="00F4191D">
        <w:rPr>
          <w:rFonts w:ascii="Verdana" w:hAnsi="Verdana"/>
        </w:rPr>
        <w:t xml:space="preserve">The estimated main financial indicators for H1 2020 communicated by the Group on July 28, 2020 are </w:t>
      </w:r>
      <w:r w:rsidR="002250D7" w:rsidRPr="00F4191D">
        <w:rPr>
          <w:rFonts w:ascii="Verdana" w:hAnsi="Verdana"/>
        </w:rPr>
        <w:t xml:space="preserve">in line </w:t>
      </w:r>
      <w:r w:rsidRPr="00F4191D">
        <w:rPr>
          <w:rFonts w:ascii="Verdana" w:hAnsi="Verdana"/>
        </w:rPr>
        <w:t>with the results presented today:</w:t>
      </w:r>
    </w:p>
    <w:p w14:paraId="5417A734" w14:textId="77777777" w:rsidR="003B4D96" w:rsidRPr="00F4191D" w:rsidRDefault="003B4D96" w:rsidP="008E5363">
      <w:pPr>
        <w:keepNext/>
        <w:spacing w:before="120" w:after="120" w:line="276" w:lineRule="auto"/>
        <w:rPr>
          <w:rFonts w:ascii="Verdana" w:hAnsi="Verdana" w:cs="Arial"/>
        </w:rPr>
      </w:pPr>
    </w:p>
    <w:tbl>
      <w:tblPr>
        <w:tblW w:w="0" w:type="auto"/>
        <w:jc w:val="center"/>
        <w:tblLook w:val="04A0" w:firstRow="1" w:lastRow="0" w:firstColumn="1" w:lastColumn="0" w:noHBand="0" w:noVBand="1"/>
      </w:tblPr>
      <w:tblGrid>
        <w:gridCol w:w="3254"/>
        <w:gridCol w:w="1757"/>
        <w:gridCol w:w="1757"/>
        <w:gridCol w:w="2588"/>
      </w:tblGrid>
      <w:tr w:rsidR="002872E7" w:rsidRPr="00F4191D" w14:paraId="54FC21B9" w14:textId="77777777" w:rsidTr="002872E7">
        <w:trPr>
          <w:trHeight w:val="454"/>
          <w:jc w:val="center"/>
        </w:trPr>
        <w:tc>
          <w:tcPr>
            <w:tcW w:w="3254" w:type="dxa"/>
            <w:tcBorders>
              <w:bottom w:val="single" w:sz="4" w:space="0" w:color="30849B"/>
            </w:tcBorders>
            <w:vAlign w:val="center"/>
          </w:tcPr>
          <w:p w14:paraId="5E5DC01E" w14:textId="77777777" w:rsidR="002872E7" w:rsidRPr="00F4191D" w:rsidRDefault="002872E7" w:rsidP="008E5363">
            <w:pPr>
              <w:keepNext/>
              <w:spacing w:line="276" w:lineRule="auto"/>
              <w:jc w:val="center"/>
              <w:rPr>
                <w:rFonts w:cs="Arial"/>
                <w:i/>
                <w:sz w:val="16"/>
              </w:rPr>
            </w:pPr>
            <w:r w:rsidRPr="00F4191D">
              <w:rPr>
                <w:i/>
                <w:sz w:val="16"/>
              </w:rPr>
              <w:t>(in millions of euros)</w:t>
            </w:r>
          </w:p>
        </w:tc>
        <w:tc>
          <w:tcPr>
            <w:tcW w:w="1757" w:type="dxa"/>
            <w:tcBorders>
              <w:bottom w:val="single" w:sz="4" w:space="0" w:color="30849B"/>
            </w:tcBorders>
            <w:shd w:val="clear" w:color="auto" w:fill="auto"/>
            <w:vAlign w:val="center"/>
          </w:tcPr>
          <w:p w14:paraId="075912C4" w14:textId="77777777" w:rsidR="002872E7" w:rsidRPr="00F4191D" w:rsidRDefault="002872E7" w:rsidP="008E5363">
            <w:pPr>
              <w:keepNext/>
              <w:spacing w:line="276" w:lineRule="auto"/>
              <w:jc w:val="center"/>
              <w:rPr>
                <w:rFonts w:ascii="Verdana" w:hAnsi="Verdana" w:cs="Arial"/>
                <w:b/>
                <w:sz w:val="16"/>
              </w:rPr>
            </w:pPr>
            <w:r w:rsidRPr="00F4191D">
              <w:rPr>
                <w:rFonts w:ascii="Verdana" w:hAnsi="Verdana"/>
                <w:b/>
                <w:sz w:val="16"/>
              </w:rPr>
              <w:t>H1 2019</w:t>
            </w:r>
          </w:p>
          <w:p w14:paraId="4DA019A3" w14:textId="502B4B03" w:rsidR="002872E7" w:rsidRPr="00F4191D" w:rsidRDefault="002872E7" w:rsidP="008E5363">
            <w:pPr>
              <w:keepNext/>
              <w:spacing w:line="276" w:lineRule="auto"/>
              <w:jc w:val="center"/>
              <w:rPr>
                <w:rFonts w:ascii="Verdana" w:hAnsi="Verdana" w:cs="Arial"/>
                <w:b/>
                <w:sz w:val="16"/>
              </w:rPr>
            </w:pPr>
          </w:p>
        </w:tc>
        <w:tc>
          <w:tcPr>
            <w:tcW w:w="1757" w:type="dxa"/>
            <w:tcBorders>
              <w:bottom w:val="single" w:sz="4" w:space="0" w:color="30849B"/>
            </w:tcBorders>
            <w:shd w:val="clear" w:color="auto" w:fill="BBE7FF" w:themeFill="accent1" w:themeFillTint="33"/>
            <w:vAlign w:val="center"/>
          </w:tcPr>
          <w:p w14:paraId="72ABC199" w14:textId="77777777" w:rsidR="002872E7" w:rsidRPr="00F4191D" w:rsidRDefault="002872E7" w:rsidP="008E5363">
            <w:pPr>
              <w:keepNext/>
              <w:spacing w:line="276" w:lineRule="auto"/>
              <w:jc w:val="center"/>
              <w:rPr>
                <w:rFonts w:ascii="Verdana" w:hAnsi="Verdana" w:cs="Arial"/>
                <w:b/>
                <w:sz w:val="16"/>
              </w:rPr>
            </w:pPr>
            <w:r w:rsidRPr="00F4191D">
              <w:rPr>
                <w:rFonts w:ascii="Verdana" w:hAnsi="Verdana"/>
                <w:b/>
                <w:sz w:val="16"/>
              </w:rPr>
              <w:t>H1 2020</w:t>
            </w:r>
          </w:p>
          <w:p w14:paraId="12045AC9" w14:textId="7D90FD61" w:rsidR="002872E7" w:rsidRPr="00F4191D" w:rsidRDefault="002872E7" w:rsidP="008E5363">
            <w:pPr>
              <w:keepNext/>
              <w:spacing w:line="276" w:lineRule="auto"/>
              <w:jc w:val="center"/>
              <w:rPr>
                <w:rFonts w:ascii="Verdana" w:hAnsi="Verdana" w:cs="Arial"/>
                <w:b/>
                <w:sz w:val="16"/>
              </w:rPr>
            </w:pPr>
          </w:p>
        </w:tc>
        <w:tc>
          <w:tcPr>
            <w:tcW w:w="2588" w:type="dxa"/>
            <w:tcBorders>
              <w:bottom w:val="single" w:sz="4" w:space="0" w:color="30849B"/>
            </w:tcBorders>
            <w:shd w:val="clear" w:color="auto" w:fill="auto"/>
            <w:vAlign w:val="center"/>
          </w:tcPr>
          <w:p w14:paraId="4C1B78F5" w14:textId="77777777" w:rsidR="002872E7" w:rsidRPr="00F4191D" w:rsidRDefault="002872E7" w:rsidP="008E5363">
            <w:pPr>
              <w:keepNext/>
              <w:spacing w:line="276" w:lineRule="auto"/>
              <w:jc w:val="center"/>
              <w:rPr>
                <w:rFonts w:cs="Arial"/>
                <w:b/>
                <w:i/>
                <w:sz w:val="16"/>
              </w:rPr>
            </w:pPr>
            <w:r w:rsidRPr="00F4191D">
              <w:rPr>
                <w:b/>
                <w:i/>
                <w:sz w:val="16"/>
              </w:rPr>
              <w:t>Change</w:t>
            </w:r>
          </w:p>
        </w:tc>
      </w:tr>
      <w:tr w:rsidR="002872E7" w:rsidRPr="00F4191D" w14:paraId="736DA08E" w14:textId="77777777" w:rsidTr="002872E7">
        <w:trPr>
          <w:trHeight w:val="284"/>
          <w:jc w:val="center"/>
        </w:trPr>
        <w:tc>
          <w:tcPr>
            <w:tcW w:w="3254" w:type="dxa"/>
            <w:tcBorders>
              <w:top w:val="single" w:sz="4" w:space="0" w:color="30849B"/>
              <w:bottom w:val="dotted" w:sz="4" w:space="0" w:color="30849B"/>
            </w:tcBorders>
            <w:vAlign w:val="center"/>
          </w:tcPr>
          <w:p w14:paraId="67A6A46D" w14:textId="77777777" w:rsidR="002872E7" w:rsidRPr="00F4191D" w:rsidRDefault="002872E7" w:rsidP="008E5363">
            <w:pPr>
              <w:keepNext/>
              <w:spacing w:line="276" w:lineRule="auto"/>
              <w:rPr>
                <w:rFonts w:cs="Arial"/>
                <w:b/>
                <w:sz w:val="16"/>
              </w:rPr>
            </w:pPr>
            <w:r w:rsidRPr="00F4191D">
              <w:rPr>
                <w:b/>
                <w:sz w:val="16"/>
              </w:rPr>
              <w:t xml:space="preserve">Revenues </w:t>
            </w:r>
          </w:p>
        </w:tc>
        <w:tc>
          <w:tcPr>
            <w:tcW w:w="1757" w:type="dxa"/>
            <w:tcBorders>
              <w:top w:val="single" w:sz="4" w:space="0" w:color="30849B"/>
              <w:bottom w:val="dotted" w:sz="4" w:space="0" w:color="30849B"/>
            </w:tcBorders>
            <w:shd w:val="clear" w:color="auto" w:fill="auto"/>
            <w:vAlign w:val="center"/>
          </w:tcPr>
          <w:p w14:paraId="7EFECADA" w14:textId="44B1CCD4" w:rsidR="002872E7" w:rsidRPr="00F4191D" w:rsidRDefault="002872E7" w:rsidP="008E5363">
            <w:pPr>
              <w:keepNext/>
              <w:spacing w:line="276" w:lineRule="auto"/>
              <w:ind w:left="-170" w:right="366"/>
              <w:jc w:val="right"/>
              <w:rPr>
                <w:rFonts w:cs="Arial"/>
                <w:b/>
                <w:sz w:val="16"/>
              </w:rPr>
            </w:pPr>
            <w:r w:rsidRPr="00F4191D">
              <w:rPr>
                <w:rFonts w:ascii="Verdana" w:hAnsi="Verdana"/>
                <w:b/>
                <w:sz w:val="16"/>
              </w:rPr>
              <w:t>7,007</w:t>
            </w:r>
          </w:p>
        </w:tc>
        <w:tc>
          <w:tcPr>
            <w:tcW w:w="1757" w:type="dxa"/>
            <w:tcBorders>
              <w:top w:val="single" w:sz="4" w:space="0" w:color="30849B"/>
              <w:bottom w:val="dotted" w:sz="4" w:space="0" w:color="30849B"/>
            </w:tcBorders>
            <w:shd w:val="clear" w:color="auto" w:fill="BBE7FF" w:themeFill="accent1" w:themeFillTint="33"/>
            <w:vAlign w:val="center"/>
          </w:tcPr>
          <w:p w14:paraId="0FB9048F" w14:textId="760142D2" w:rsidR="002872E7" w:rsidRPr="00F4191D" w:rsidRDefault="002872E7" w:rsidP="008E5363">
            <w:pPr>
              <w:keepNext/>
              <w:spacing w:line="276" w:lineRule="auto"/>
              <w:ind w:left="-170" w:right="429"/>
              <w:jc w:val="right"/>
              <w:rPr>
                <w:rFonts w:cs="Arial"/>
                <w:b/>
                <w:sz w:val="16"/>
              </w:rPr>
            </w:pPr>
            <w:r w:rsidRPr="00F4191D">
              <w:rPr>
                <w:rFonts w:ascii="Verdana" w:hAnsi="Verdana"/>
                <w:b/>
                <w:sz w:val="16"/>
              </w:rPr>
              <w:t>7,581</w:t>
            </w:r>
          </w:p>
        </w:tc>
        <w:tc>
          <w:tcPr>
            <w:tcW w:w="2588" w:type="dxa"/>
            <w:tcBorders>
              <w:top w:val="single" w:sz="4" w:space="0" w:color="30849B"/>
              <w:bottom w:val="dotted" w:sz="4" w:space="0" w:color="30849B"/>
            </w:tcBorders>
            <w:shd w:val="clear" w:color="auto" w:fill="auto"/>
            <w:vAlign w:val="center"/>
          </w:tcPr>
          <w:p w14:paraId="47F0A310" w14:textId="4681681D" w:rsidR="002872E7" w:rsidRPr="00F4191D" w:rsidRDefault="002872E7" w:rsidP="008E5363">
            <w:pPr>
              <w:keepNext/>
              <w:spacing w:line="276" w:lineRule="auto"/>
              <w:jc w:val="center"/>
              <w:rPr>
                <w:b/>
                <w:sz w:val="16"/>
              </w:rPr>
            </w:pPr>
            <w:r w:rsidRPr="00F4191D">
              <w:rPr>
                <w:b/>
                <w:sz w:val="16"/>
              </w:rPr>
              <w:t>+8.2%</w:t>
            </w:r>
          </w:p>
          <w:p w14:paraId="75AC70BB" w14:textId="61A9315B" w:rsidR="002872E7" w:rsidRPr="00F4191D" w:rsidRDefault="002872E7" w:rsidP="008E5363">
            <w:pPr>
              <w:keepNext/>
              <w:spacing w:line="276" w:lineRule="auto"/>
              <w:jc w:val="center"/>
              <w:rPr>
                <w:rFonts w:cs="Arial"/>
                <w:b/>
                <w:sz w:val="16"/>
              </w:rPr>
            </w:pPr>
            <w:r w:rsidRPr="00F4191D">
              <w:rPr>
                <w:b/>
                <w:sz w:val="16"/>
              </w:rPr>
              <w:t>+7.9%</w:t>
            </w:r>
            <w:r w:rsidRPr="00F4191D">
              <w:rPr>
                <w:sz w:val="16"/>
              </w:rPr>
              <w:t xml:space="preserve"> at constant exchange rates</w:t>
            </w:r>
          </w:p>
        </w:tc>
      </w:tr>
      <w:tr w:rsidR="002872E7" w:rsidRPr="00F4191D" w14:paraId="1160E9AB" w14:textId="77777777" w:rsidTr="002872E7">
        <w:trPr>
          <w:trHeight w:val="284"/>
          <w:jc w:val="center"/>
        </w:trPr>
        <w:tc>
          <w:tcPr>
            <w:tcW w:w="3254" w:type="dxa"/>
            <w:tcBorders>
              <w:top w:val="dotted" w:sz="4" w:space="0" w:color="30849B"/>
            </w:tcBorders>
            <w:vAlign w:val="center"/>
          </w:tcPr>
          <w:p w14:paraId="4FB553B5" w14:textId="15666CDB" w:rsidR="002872E7" w:rsidRPr="00F4191D" w:rsidRDefault="002872E7" w:rsidP="008E5363">
            <w:pPr>
              <w:keepNext/>
              <w:spacing w:line="276" w:lineRule="auto"/>
              <w:rPr>
                <w:rFonts w:cs="Arial"/>
                <w:b/>
                <w:sz w:val="16"/>
              </w:rPr>
            </w:pPr>
            <w:r w:rsidRPr="00F4191D">
              <w:rPr>
                <w:b/>
                <w:sz w:val="16"/>
              </w:rPr>
              <w:t>Operating margin</w:t>
            </w:r>
            <w:r w:rsidRPr="00F4191D">
              <w:rPr>
                <w:rFonts w:ascii="Verdana" w:hAnsi="Verdana" w:cs="Arial"/>
                <w:b/>
                <w:sz w:val="16"/>
                <w:szCs w:val="18"/>
                <w:vertAlign w:val="superscript"/>
              </w:rPr>
              <w:fldChar w:fldCharType="begin"/>
            </w:r>
            <w:r w:rsidRPr="00F4191D">
              <w:rPr>
                <w:rFonts w:ascii="Verdana" w:hAnsi="Verdana" w:cs="Arial"/>
                <w:b/>
                <w:sz w:val="16"/>
                <w:szCs w:val="18"/>
                <w:vertAlign w:val="superscript"/>
              </w:rPr>
              <w:instrText xml:space="preserve"> NOTEREF _Ref13738408 \h  \* MERGEFORMAT </w:instrText>
            </w:r>
            <w:r w:rsidRPr="00F4191D">
              <w:rPr>
                <w:rFonts w:ascii="Verdana" w:hAnsi="Verdana" w:cs="Arial"/>
                <w:b/>
                <w:sz w:val="16"/>
                <w:szCs w:val="18"/>
                <w:vertAlign w:val="superscript"/>
              </w:rPr>
            </w:r>
            <w:r w:rsidRPr="00F4191D">
              <w:rPr>
                <w:rFonts w:ascii="Verdana" w:hAnsi="Verdana" w:cs="Arial"/>
                <w:b/>
                <w:sz w:val="16"/>
                <w:szCs w:val="18"/>
                <w:vertAlign w:val="superscript"/>
              </w:rPr>
              <w:fldChar w:fldCharType="separate"/>
            </w:r>
            <w:r w:rsidR="00141EF2" w:rsidRPr="00141EF2">
              <w:rPr>
                <w:sz w:val="16"/>
                <w:szCs w:val="18"/>
              </w:rPr>
              <w:t>*</w:t>
            </w:r>
            <w:r w:rsidRPr="00F4191D">
              <w:rPr>
                <w:rFonts w:ascii="Verdana" w:hAnsi="Verdana" w:cs="Arial"/>
                <w:b/>
                <w:sz w:val="16"/>
                <w:szCs w:val="18"/>
                <w:vertAlign w:val="superscript"/>
              </w:rPr>
              <w:fldChar w:fldCharType="end"/>
            </w:r>
          </w:p>
        </w:tc>
        <w:tc>
          <w:tcPr>
            <w:tcW w:w="1757" w:type="dxa"/>
            <w:tcBorders>
              <w:top w:val="dotted" w:sz="4" w:space="0" w:color="30849B"/>
            </w:tcBorders>
            <w:shd w:val="clear" w:color="auto" w:fill="auto"/>
            <w:vAlign w:val="center"/>
          </w:tcPr>
          <w:p w14:paraId="7A5924C9" w14:textId="7EFE2CE5" w:rsidR="002872E7" w:rsidRPr="00F4191D" w:rsidRDefault="002872E7" w:rsidP="008E5363">
            <w:pPr>
              <w:keepNext/>
              <w:spacing w:line="276" w:lineRule="auto"/>
              <w:ind w:left="-170" w:right="366"/>
              <w:jc w:val="right"/>
              <w:rPr>
                <w:rFonts w:cs="Arial"/>
                <w:b/>
                <w:sz w:val="16"/>
              </w:rPr>
            </w:pPr>
            <w:r w:rsidRPr="00F4191D">
              <w:rPr>
                <w:rFonts w:ascii="Verdana" w:hAnsi="Verdana"/>
                <w:b/>
                <w:sz w:val="16"/>
              </w:rPr>
              <w:t>797</w:t>
            </w:r>
          </w:p>
        </w:tc>
        <w:tc>
          <w:tcPr>
            <w:tcW w:w="1757" w:type="dxa"/>
            <w:tcBorders>
              <w:top w:val="dotted" w:sz="4" w:space="0" w:color="30849B"/>
            </w:tcBorders>
            <w:shd w:val="clear" w:color="auto" w:fill="BBE7FF" w:themeFill="accent1" w:themeFillTint="33"/>
            <w:vAlign w:val="center"/>
          </w:tcPr>
          <w:p w14:paraId="48E531A6" w14:textId="0E29997B" w:rsidR="002872E7" w:rsidRPr="00F4191D" w:rsidRDefault="00E83F79" w:rsidP="008E5363">
            <w:pPr>
              <w:keepNext/>
              <w:spacing w:line="276" w:lineRule="auto"/>
              <w:ind w:left="-170" w:right="429"/>
              <w:jc w:val="right"/>
              <w:rPr>
                <w:rFonts w:cs="Arial"/>
                <w:b/>
                <w:sz w:val="16"/>
              </w:rPr>
            </w:pPr>
            <w:r w:rsidRPr="00F4191D">
              <w:rPr>
                <w:b/>
                <w:sz w:val="16"/>
              </w:rPr>
              <w:t>818</w:t>
            </w:r>
          </w:p>
        </w:tc>
        <w:tc>
          <w:tcPr>
            <w:tcW w:w="2588" w:type="dxa"/>
            <w:tcBorders>
              <w:top w:val="dotted" w:sz="4" w:space="0" w:color="30849B"/>
            </w:tcBorders>
            <w:shd w:val="clear" w:color="auto" w:fill="auto"/>
            <w:vAlign w:val="center"/>
          </w:tcPr>
          <w:p w14:paraId="1BAE863F" w14:textId="1F1EF2BC" w:rsidR="002872E7" w:rsidRPr="00F4191D" w:rsidRDefault="002872E7" w:rsidP="008E5363">
            <w:pPr>
              <w:keepNext/>
              <w:spacing w:line="276" w:lineRule="auto"/>
              <w:jc w:val="center"/>
              <w:rPr>
                <w:rFonts w:cs="Arial"/>
                <w:b/>
                <w:sz w:val="16"/>
              </w:rPr>
            </w:pPr>
            <w:r w:rsidRPr="00F4191D">
              <w:rPr>
                <w:b/>
                <w:sz w:val="16"/>
              </w:rPr>
              <w:t>+3%</w:t>
            </w:r>
          </w:p>
        </w:tc>
      </w:tr>
      <w:tr w:rsidR="002872E7" w:rsidRPr="00F4191D" w14:paraId="1AEC4902" w14:textId="77777777" w:rsidTr="002872E7">
        <w:trPr>
          <w:trHeight w:val="284"/>
          <w:jc w:val="center"/>
        </w:trPr>
        <w:tc>
          <w:tcPr>
            <w:tcW w:w="3254" w:type="dxa"/>
            <w:tcBorders>
              <w:bottom w:val="dotted" w:sz="4" w:space="0" w:color="30849B"/>
            </w:tcBorders>
            <w:vAlign w:val="center"/>
          </w:tcPr>
          <w:p w14:paraId="4DF1033C" w14:textId="77777777" w:rsidR="002872E7" w:rsidRPr="00F4191D" w:rsidRDefault="002872E7" w:rsidP="008E5363">
            <w:pPr>
              <w:keepNext/>
              <w:spacing w:line="276" w:lineRule="auto"/>
              <w:ind w:left="170"/>
              <w:rPr>
                <w:rFonts w:cs="Arial"/>
                <w:i/>
                <w:sz w:val="16"/>
              </w:rPr>
            </w:pPr>
            <w:r w:rsidRPr="00F4191D">
              <w:rPr>
                <w:i/>
                <w:sz w:val="16"/>
              </w:rPr>
              <w:t>as a % of revenues</w:t>
            </w:r>
          </w:p>
        </w:tc>
        <w:tc>
          <w:tcPr>
            <w:tcW w:w="1757" w:type="dxa"/>
            <w:tcBorders>
              <w:bottom w:val="dotted" w:sz="4" w:space="0" w:color="30849B"/>
            </w:tcBorders>
            <w:shd w:val="clear" w:color="auto" w:fill="auto"/>
            <w:vAlign w:val="center"/>
          </w:tcPr>
          <w:p w14:paraId="321604E4" w14:textId="2F5984B8" w:rsidR="002872E7" w:rsidRPr="00F4191D" w:rsidRDefault="002872E7" w:rsidP="008E5363">
            <w:pPr>
              <w:keepNext/>
              <w:spacing w:line="276" w:lineRule="auto"/>
              <w:ind w:left="-170" w:right="366"/>
              <w:jc w:val="right"/>
              <w:rPr>
                <w:rFonts w:cs="Arial"/>
                <w:i/>
                <w:sz w:val="16"/>
              </w:rPr>
            </w:pPr>
            <w:r w:rsidRPr="00F4191D">
              <w:rPr>
                <w:rFonts w:ascii="Verdana" w:hAnsi="Verdana"/>
                <w:sz w:val="16"/>
              </w:rPr>
              <w:t>11.4%</w:t>
            </w:r>
          </w:p>
        </w:tc>
        <w:tc>
          <w:tcPr>
            <w:tcW w:w="1757" w:type="dxa"/>
            <w:tcBorders>
              <w:bottom w:val="dotted" w:sz="4" w:space="0" w:color="30849B"/>
            </w:tcBorders>
            <w:shd w:val="clear" w:color="auto" w:fill="BBE7FF" w:themeFill="accent1" w:themeFillTint="33"/>
            <w:vAlign w:val="center"/>
          </w:tcPr>
          <w:p w14:paraId="11C66E7B" w14:textId="4280501B" w:rsidR="002872E7" w:rsidRPr="00F4191D" w:rsidRDefault="002872E7" w:rsidP="008E5363">
            <w:pPr>
              <w:keepNext/>
              <w:spacing w:line="276" w:lineRule="auto"/>
              <w:ind w:left="-170" w:right="429"/>
              <w:jc w:val="right"/>
              <w:rPr>
                <w:rFonts w:cs="Arial"/>
                <w:i/>
                <w:sz w:val="16"/>
              </w:rPr>
            </w:pPr>
            <w:r w:rsidRPr="00F4191D">
              <w:rPr>
                <w:rFonts w:ascii="Verdana" w:hAnsi="Verdana"/>
                <w:sz w:val="16"/>
              </w:rPr>
              <w:t>10.8%</w:t>
            </w:r>
          </w:p>
        </w:tc>
        <w:tc>
          <w:tcPr>
            <w:tcW w:w="2588" w:type="dxa"/>
            <w:tcBorders>
              <w:bottom w:val="dotted" w:sz="4" w:space="0" w:color="30849B"/>
            </w:tcBorders>
            <w:shd w:val="clear" w:color="auto" w:fill="auto"/>
            <w:vAlign w:val="center"/>
          </w:tcPr>
          <w:p w14:paraId="04891B63" w14:textId="6A10236D" w:rsidR="002872E7" w:rsidRPr="00F4191D" w:rsidRDefault="396A2192" w:rsidP="008E5363">
            <w:pPr>
              <w:keepNext/>
              <w:spacing w:line="276" w:lineRule="auto"/>
              <w:jc w:val="center"/>
              <w:rPr>
                <w:rFonts w:cs="Arial"/>
                <w:b/>
                <w:sz w:val="16"/>
                <w:szCs w:val="16"/>
              </w:rPr>
            </w:pPr>
            <w:r w:rsidRPr="00F4191D">
              <w:rPr>
                <w:b/>
                <w:bCs/>
                <w:sz w:val="16"/>
                <w:szCs w:val="16"/>
              </w:rPr>
              <w:t>-0.6 points</w:t>
            </w:r>
          </w:p>
        </w:tc>
      </w:tr>
      <w:tr w:rsidR="002872E7" w:rsidRPr="00F4191D" w14:paraId="54EA44A7" w14:textId="77777777" w:rsidTr="002872E7">
        <w:trPr>
          <w:trHeight w:val="284"/>
          <w:jc w:val="center"/>
        </w:trPr>
        <w:tc>
          <w:tcPr>
            <w:tcW w:w="3254" w:type="dxa"/>
            <w:tcBorders>
              <w:top w:val="dotted" w:sz="4" w:space="0" w:color="30849B"/>
            </w:tcBorders>
            <w:vAlign w:val="center"/>
          </w:tcPr>
          <w:p w14:paraId="75B9935C" w14:textId="77777777" w:rsidR="002872E7" w:rsidRPr="00F4191D" w:rsidRDefault="002872E7" w:rsidP="008E5363">
            <w:pPr>
              <w:keepNext/>
              <w:spacing w:line="276" w:lineRule="auto"/>
              <w:rPr>
                <w:rFonts w:cs="Arial"/>
                <w:b/>
                <w:sz w:val="16"/>
              </w:rPr>
            </w:pPr>
            <w:r w:rsidRPr="00F4191D">
              <w:rPr>
                <w:b/>
                <w:sz w:val="16"/>
              </w:rPr>
              <w:t>Operating profit</w:t>
            </w:r>
          </w:p>
        </w:tc>
        <w:tc>
          <w:tcPr>
            <w:tcW w:w="1757" w:type="dxa"/>
            <w:tcBorders>
              <w:top w:val="dotted" w:sz="4" w:space="0" w:color="30849B"/>
            </w:tcBorders>
            <w:shd w:val="clear" w:color="auto" w:fill="auto"/>
            <w:vAlign w:val="center"/>
          </w:tcPr>
          <w:p w14:paraId="6B57351E" w14:textId="35C68BD6" w:rsidR="002872E7" w:rsidRPr="00F4191D" w:rsidRDefault="002872E7" w:rsidP="008E5363">
            <w:pPr>
              <w:keepNext/>
              <w:spacing w:line="276" w:lineRule="auto"/>
              <w:ind w:left="-170" w:right="366"/>
              <w:jc w:val="right"/>
              <w:rPr>
                <w:rFonts w:cs="Arial"/>
                <w:b/>
                <w:sz w:val="16"/>
              </w:rPr>
            </w:pPr>
            <w:r w:rsidRPr="00F4191D">
              <w:rPr>
                <w:rFonts w:ascii="Verdana" w:hAnsi="Verdana"/>
                <w:b/>
                <w:sz w:val="16"/>
              </w:rPr>
              <w:t>658</w:t>
            </w:r>
          </w:p>
        </w:tc>
        <w:tc>
          <w:tcPr>
            <w:tcW w:w="1757" w:type="dxa"/>
            <w:tcBorders>
              <w:top w:val="dotted" w:sz="4" w:space="0" w:color="30849B"/>
            </w:tcBorders>
            <w:shd w:val="clear" w:color="auto" w:fill="BBE7FF" w:themeFill="accent1" w:themeFillTint="33"/>
            <w:vAlign w:val="center"/>
          </w:tcPr>
          <w:p w14:paraId="0B9DB41E" w14:textId="14FF3374" w:rsidR="002872E7" w:rsidRPr="00F4191D" w:rsidRDefault="00F92666" w:rsidP="008E5363">
            <w:pPr>
              <w:keepNext/>
              <w:spacing w:line="276" w:lineRule="auto"/>
              <w:ind w:left="-170" w:right="429"/>
              <w:jc w:val="right"/>
              <w:rPr>
                <w:rFonts w:cs="Arial"/>
                <w:b/>
                <w:sz w:val="16"/>
              </w:rPr>
            </w:pPr>
            <w:r w:rsidRPr="00F4191D">
              <w:rPr>
                <w:rFonts w:ascii="Verdana" w:hAnsi="Verdana"/>
                <w:b/>
                <w:sz w:val="16"/>
              </w:rPr>
              <w:t>577</w:t>
            </w:r>
          </w:p>
        </w:tc>
        <w:tc>
          <w:tcPr>
            <w:tcW w:w="2588" w:type="dxa"/>
            <w:tcBorders>
              <w:top w:val="dotted" w:sz="4" w:space="0" w:color="30849B"/>
            </w:tcBorders>
            <w:shd w:val="clear" w:color="auto" w:fill="auto"/>
            <w:vAlign w:val="center"/>
          </w:tcPr>
          <w:p w14:paraId="3C138BE3" w14:textId="26007D7E" w:rsidR="002872E7" w:rsidRPr="00F4191D" w:rsidRDefault="00634625" w:rsidP="008E5363">
            <w:pPr>
              <w:keepNext/>
              <w:spacing w:line="276" w:lineRule="auto"/>
              <w:jc w:val="center"/>
              <w:rPr>
                <w:rFonts w:cs="Arial"/>
                <w:b/>
                <w:sz w:val="16"/>
              </w:rPr>
            </w:pPr>
            <w:r w:rsidRPr="00F4191D">
              <w:rPr>
                <w:b/>
                <w:sz w:val="16"/>
              </w:rPr>
              <w:t>-12%</w:t>
            </w:r>
          </w:p>
        </w:tc>
      </w:tr>
      <w:tr w:rsidR="002872E7" w:rsidRPr="00F4191D" w14:paraId="447481DE" w14:textId="77777777" w:rsidTr="002872E7">
        <w:trPr>
          <w:trHeight w:val="284"/>
          <w:jc w:val="center"/>
        </w:trPr>
        <w:tc>
          <w:tcPr>
            <w:tcW w:w="3254" w:type="dxa"/>
            <w:tcBorders>
              <w:bottom w:val="dotted" w:sz="4" w:space="0" w:color="30849B"/>
            </w:tcBorders>
            <w:vAlign w:val="center"/>
          </w:tcPr>
          <w:p w14:paraId="3A58958F" w14:textId="77777777" w:rsidR="002872E7" w:rsidRPr="00F4191D" w:rsidRDefault="002872E7" w:rsidP="008E5363">
            <w:pPr>
              <w:keepNext/>
              <w:spacing w:line="276" w:lineRule="auto"/>
              <w:ind w:left="170"/>
              <w:rPr>
                <w:rFonts w:cs="Arial"/>
                <w:i/>
                <w:sz w:val="16"/>
              </w:rPr>
            </w:pPr>
            <w:r w:rsidRPr="00F4191D">
              <w:rPr>
                <w:i/>
                <w:sz w:val="16"/>
              </w:rPr>
              <w:t>as a % of revenues</w:t>
            </w:r>
          </w:p>
        </w:tc>
        <w:tc>
          <w:tcPr>
            <w:tcW w:w="1757" w:type="dxa"/>
            <w:tcBorders>
              <w:bottom w:val="dotted" w:sz="4" w:space="0" w:color="30849B"/>
            </w:tcBorders>
            <w:shd w:val="clear" w:color="auto" w:fill="auto"/>
            <w:vAlign w:val="center"/>
          </w:tcPr>
          <w:p w14:paraId="736E4F16" w14:textId="282EE3EC" w:rsidR="002872E7" w:rsidRPr="00F4191D" w:rsidRDefault="002872E7" w:rsidP="008E5363">
            <w:pPr>
              <w:keepNext/>
              <w:spacing w:line="276" w:lineRule="auto"/>
              <w:ind w:left="-170" w:right="366"/>
              <w:jc w:val="right"/>
              <w:rPr>
                <w:rFonts w:cs="Arial"/>
                <w:i/>
                <w:sz w:val="16"/>
              </w:rPr>
            </w:pPr>
            <w:r w:rsidRPr="00F4191D">
              <w:rPr>
                <w:rFonts w:ascii="Verdana" w:hAnsi="Verdana"/>
                <w:sz w:val="16"/>
              </w:rPr>
              <w:t>9.4%</w:t>
            </w:r>
          </w:p>
        </w:tc>
        <w:tc>
          <w:tcPr>
            <w:tcW w:w="1757" w:type="dxa"/>
            <w:tcBorders>
              <w:bottom w:val="dotted" w:sz="4" w:space="0" w:color="30849B"/>
            </w:tcBorders>
            <w:shd w:val="clear" w:color="auto" w:fill="BBE7FF" w:themeFill="accent1" w:themeFillTint="33"/>
            <w:vAlign w:val="center"/>
          </w:tcPr>
          <w:p w14:paraId="69DCEB69" w14:textId="6C1047DF" w:rsidR="002872E7" w:rsidRPr="00F4191D" w:rsidRDefault="00F92666" w:rsidP="008E5363">
            <w:pPr>
              <w:keepNext/>
              <w:spacing w:line="276" w:lineRule="auto"/>
              <w:ind w:left="-170" w:right="429"/>
              <w:jc w:val="right"/>
              <w:rPr>
                <w:rFonts w:cs="Arial"/>
                <w:i/>
                <w:sz w:val="16"/>
              </w:rPr>
            </w:pPr>
            <w:r w:rsidRPr="00F4191D">
              <w:rPr>
                <w:rFonts w:ascii="Verdana" w:hAnsi="Verdana"/>
                <w:sz w:val="16"/>
              </w:rPr>
              <w:t>7.6%</w:t>
            </w:r>
          </w:p>
        </w:tc>
        <w:tc>
          <w:tcPr>
            <w:tcW w:w="2588" w:type="dxa"/>
            <w:tcBorders>
              <w:bottom w:val="dotted" w:sz="4" w:space="0" w:color="30849B"/>
            </w:tcBorders>
            <w:shd w:val="clear" w:color="auto" w:fill="auto"/>
            <w:vAlign w:val="center"/>
          </w:tcPr>
          <w:p w14:paraId="5B40150D" w14:textId="77777777" w:rsidR="002872E7" w:rsidRPr="00F4191D" w:rsidRDefault="002872E7" w:rsidP="008E5363">
            <w:pPr>
              <w:keepNext/>
              <w:spacing w:line="276" w:lineRule="auto"/>
              <w:jc w:val="center"/>
              <w:rPr>
                <w:rFonts w:cs="Arial"/>
                <w:i/>
                <w:sz w:val="16"/>
              </w:rPr>
            </w:pPr>
          </w:p>
        </w:tc>
      </w:tr>
      <w:tr w:rsidR="002872E7" w:rsidRPr="00F4191D" w14:paraId="69BBF6F6" w14:textId="77777777" w:rsidTr="002872E7">
        <w:trPr>
          <w:trHeight w:val="284"/>
          <w:jc w:val="center"/>
        </w:trPr>
        <w:tc>
          <w:tcPr>
            <w:tcW w:w="3254" w:type="dxa"/>
            <w:tcBorders>
              <w:top w:val="dotted" w:sz="4" w:space="0" w:color="30849B"/>
            </w:tcBorders>
            <w:vAlign w:val="center"/>
          </w:tcPr>
          <w:p w14:paraId="44A6FBF0" w14:textId="77777777" w:rsidR="002872E7" w:rsidRPr="00F4191D" w:rsidRDefault="002872E7" w:rsidP="008E5363">
            <w:pPr>
              <w:keepNext/>
              <w:spacing w:line="276" w:lineRule="auto"/>
              <w:rPr>
                <w:rFonts w:cs="Arial"/>
                <w:b/>
                <w:sz w:val="16"/>
              </w:rPr>
            </w:pPr>
            <w:r w:rsidRPr="00F4191D">
              <w:rPr>
                <w:b/>
                <w:sz w:val="16"/>
              </w:rPr>
              <w:t>Net profit (Group share)</w:t>
            </w:r>
          </w:p>
        </w:tc>
        <w:tc>
          <w:tcPr>
            <w:tcW w:w="1757" w:type="dxa"/>
            <w:tcBorders>
              <w:top w:val="dotted" w:sz="4" w:space="0" w:color="30849B"/>
            </w:tcBorders>
            <w:shd w:val="clear" w:color="auto" w:fill="auto"/>
            <w:vAlign w:val="center"/>
          </w:tcPr>
          <w:p w14:paraId="551BFB4E" w14:textId="29DF1E98" w:rsidR="002872E7" w:rsidRPr="00F4191D" w:rsidRDefault="002872E7" w:rsidP="008E5363">
            <w:pPr>
              <w:keepNext/>
              <w:spacing w:line="276" w:lineRule="auto"/>
              <w:ind w:left="-170" w:right="366"/>
              <w:jc w:val="right"/>
              <w:rPr>
                <w:rFonts w:cs="Arial"/>
                <w:b/>
                <w:sz w:val="16"/>
              </w:rPr>
            </w:pPr>
            <w:r w:rsidRPr="00F4191D">
              <w:rPr>
                <w:rFonts w:ascii="Verdana" w:hAnsi="Verdana"/>
                <w:b/>
                <w:sz w:val="16"/>
              </w:rPr>
              <w:t>388</w:t>
            </w:r>
          </w:p>
        </w:tc>
        <w:tc>
          <w:tcPr>
            <w:tcW w:w="1757" w:type="dxa"/>
            <w:tcBorders>
              <w:top w:val="dotted" w:sz="4" w:space="0" w:color="30849B"/>
            </w:tcBorders>
            <w:shd w:val="clear" w:color="auto" w:fill="BBE7FF" w:themeFill="accent1" w:themeFillTint="33"/>
            <w:vAlign w:val="center"/>
          </w:tcPr>
          <w:p w14:paraId="2D84C65D" w14:textId="5952605C" w:rsidR="002872E7" w:rsidRPr="00F4191D" w:rsidRDefault="00F92666" w:rsidP="008E5363">
            <w:pPr>
              <w:keepNext/>
              <w:spacing w:line="276" w:lineRule="auto"/>
              <w:ind w:left="-170" w:right="429"/>
              <w:jc w:val="right"/>
              <w:rPr>
                <w:rFonts w:cs="Arial"/>
                <w:b/>
                <w:sz w:val="16"/>
              </w:rPr>
            </w:pPr>
            <w:r w:rsidRPr="00F4191D">
              <w:rPr>
                <w:rFonts w:ascii="Verdana" w:hAnsi="Verdana"/>
                <w:b/>
                <w:sz w:val="16"/>
              </w:rPr>
              <w:t>311</w:t>
            </w:r>
          </w:p>
        </w:tc>
        <w:tc>
          <w:tcPr>
            <w:tcW w:w="2588" w:type="dxa"/>
            <w:tcBorders>
              <w:top w:val="dotted" w:sz="4" w:space="0" w:color="30849B"/>
            </w:tcBorders>
            <w:shd w:val="clear" w:color="auto" w:fill="auto"/>
            <w:vAlign w:val="center"/>
          </w:tcPr>
          <w:p w14:paraId="59BAAE42" w14:textId="486D7066" w:rsidR="002872E7" w:rsidRPr="00F4191D" w:rsidRDefault="00E663F7" w:rsidP="008E5363">
            <w:pPr>
              <w:keepNext/>
              <w:spacing w:line="276" w:lineRule="auto"/>
              <w:jc w:val="center"/>
              <w:rPr>
                <w:rFonts w:cs="Arial"/>
                <w:b/>
                <w:sz w:val="16"/>
              </w:rPr>
            </w:pPr>
            <w:r w:rsidRPr="00F4191D">
              <w:rPr>
                <w:b/>
                <w:sz w:val="16"/>
              </w:rPr>
              <w:t>-20%</w:t>
            </w:r>
          </w:p>
        </w:tc>
      </w:tr>
      <w:tr w:rsidR="002872E7" w:rsidRPr="00F4191D" w14:paraId="5F858D74" w14:textId="77777777" w:rsidTr="002872E7">
        <w:trPr>
          <w:trHeight w:val="284"/>
          <w:jc w:val="center"/>
        </w:trPr>
        <w:tc>
          <w:tcPr>
            <w:tcW w:w="3254" w:type="dxa"/>
            <w:vAlign w:val="center"/>
          </w:tcPr>
          <w:p w14:paraId="6AFE252A" w14:textId="77777777" w:rsidR="002872E7" w:rsidRPr="00F4191D" w:rsidRDefault="002872E7" w:rsidP="008E5363">
            <w:pPr>
              <w:keepNext/>
              <w:spacing w:line="276" w:lineRule="auto"/>
              <w:ind w:left="170"/>
              <w:rPr>
                <w:rFonts w:cs="Arial"/>
                <w:sz w:val="16"/>
              </w:rPr>
            </w:pPr>
            <w:r w:rsidRPr="00F4191D">
              <w:rPr>
                <w:sz w:val="16"/>
              </w:rPr>
              <w:t>Basic earnings per share (€)</w:t>
            </w:r>
          </w:p>
        </w:tc>
        <w:tc>
          <w:tcPr>
            <w:tcW w:w="1757" w:type="dxa"/>
            <w:shd w:val="clear" w:color="auto" w:fill="auto"/>
            <w:vAlign w:val="center"/>
          </w:tcPr>
          <w:p w14:paraId="32E4A861" w14:textId="3B88E424" w:rsidR="002872E7" w:rsidRPr="00F4191D" w:rsidRDefault="002872E7" w:rsidP="008E5363">
            <w:pPr>
              <w:keepNext/>
              <w:spacing w:line="276" w:lineRule="auto"/>
              <w:ind w:left="-170" w:right="366"/>
              <w:jc w:val="right"/>
              <w:rPr>
                <w:rFonts w:cs="Arial"/>
                <w:sz w:val="16"/>
              </w:rPr>
            </w:pPr>
            <w:r w:rsidRPr="00F4191D">
              <w:rPr>
                <w:sz w:val="16"/>
              </w:rPr>
              <w:t>2.34</w:t>
            </w:r>
          </w:p>
        </w:tc>
        <w:tc>
          <w:tcPr>
            <w:tcW w:w="1757" w:type="dxa"/>
            <w:shd w:val="clear" w:color="auto" w:fill="BBE7FF" w:themeFill="accent1" w:themeFillTint="33"/>
            <w:vAlign w:val="center"/>
          </w:tcPr>
          <w:p w14:paraId="091C6F47" w14:textId="29AD0260" w:rsidR="002872E7" w:rsidRPr="00F4191D" w:rsidRDefault="00F92666" w:rsidP="008E5363">
            <w:pPr>
              <w:keepNext/>
              <w:spacing w:line="276" w:lineRule="auto"/>
              <w:ind w:left="-170" w:right="429"/>
              <w:jc w:val="right"/>
              <w:rPr>
                <w:rFonts w:cs="Arial"/>
                <w:sz w:val="16"/>
              </w:rPr>
            </w:pPr>
            <w:r w:rsidRPr="00F4191D">
              <w:rPr>
                <w:sz w:val="16"/>
              </w:rPr>
              <w:t>1.86</w:t>
            </w:r>
          </w:p>
        </w:tc>
        <w:tc>
          <w:tcPr>
            <w:tcW w:w="2588" w:type="dxa"/>
            <w:shd w:val="clear" w:color="auto" w:fill="auto"/>
            <w:vAlign w:val="center"/>
          </w:tcPr>
          <w:p w14:paraId="22E5A8B3" w14:textId="637AF974" w:rsidR="002872E7" w:rsidRPr="00F4191D" w:rsidRDefault="008D005A" w:rsidP="008E5363">
            <w:pPr>
              <w:keepNext/>
              <w:spacing w:line="276" w:lineRule="auto"/>
              <w:jc w:val="center"/>
              <w:rPr>
                <w:rFonts w:cs="Arial"/>
                <w:sz w:val="16"/>
              </w:rPr>
            </w:pPr>
            <w:r w:rsidRPr="00F4191D">
              <w:rPr>
                <w:sz w:val="16"/>
              </w:rPr>
              <w:t>-21%</w:t>
            </w:r>
          </w:p>
        </w:tc>
      </w:tr>
      <w:tr w:rsidR="002872E7" w:rsidRPr="00F4191D" w14:paraId="07BDF5BE" w14:textId="77777777" w:rsidTr="002872E7">
        <w:trPr>
          <w:trHeight w:val="284"/>
          <w:jc w:val="center"/>
        </w:trPr>
        <w:tc>
          <w:tcPr>
            <w:tcW w:w="3254" w:type="dxa"/>
            <w:tcBorders>
              <w:bottom w:val="single" w:sz="4" w:space="0" w:color="0070AD" w:themeColor="accent1"/>
            </w:tcBorders>
            <w:vAlign w:val="center"/>
          </w:tcPr>
          <w:p w14:paraId="21907E59" w14:textId="77777777" w:rsidR="002872E7" w:rsidRPr="00F4191D" w:rsidRDefault="002872E7" w:rsidP="008E5363">
            <w:pPr>
              <w:keepNext/>
              <w:spacing w:line="276" w:lineRule="auto"/>
              <w:ind w:left="170"/>
              <w:rPr>
                <w:rFonts w:cs="Arial"/>
                <w:sz w:val="16"/>
              </w:rPr>
            </w:pPr>
            <w:r w:rsidRPr="00F4191D">
              <w:rPr>
                <w:sz w:val="16"/>
              </w:rPr>
              <w:t>Normalized earnings per share (</w:t>
            </w:r>
            <w:proofErr w:type="gramStart"/>
            <w:r w:rsidRPr="00F4191D">
              <w:rPr>
                <w:sz w:val="16"/>
              </w:rPr>
              <w:t>€)*</w:t>
            </w:r>
            <w:proofErr w:type="gramEnd"/>
          </w:p>
        </w:tc>
        <w:tc>
          <w:tcPr>
            <w:tcW w:w="1757" w:type="dxa"/>
            <w:tcBorders>
              <w:bottom w:val="single" w:sz="4" w:space="0" w:color="0070AD" w:themeColor="accent1"/>
            </w:tcBorders>
            <w:shd w:val="clear" w:color="auto" w:fill="auto"/>
            <w:vAlign w:val="center"/>
          </w:tcPr>
          <w:p w14:paraId="3F4BE2B1" w14:textId="0ECE2A53" w:rsidR="002872E7" w:rsidRPr="00F4191D" w:rsidRDefault="002872E7" w:rsidP="008E5363">
            <w:pPr>
              <w:keepNext/>
              <w:spacing w:line="276" w:lineRule="auto"/>
              <w:ind w:left="-170" w:right="259"/>
              <w:jc w:val="right"/>
              <w:rPr>
                <w:rFonts w:cs="Arial"/>
                <w:sz w:val="16"/>
              </w:rPr>
            </w:pPr>
            <w:r w:rsidRPr="00F4191D">
              <w:rPr>
                <w:rFonts w:ascii="Verdana" w:hAnsi="Verdana"/>
                <w:sz w:val="16"/>
              </w:rPr>
              <w:t>3.08</w:t>
            </w:r>
            <w:r w:rsidRPr="00F4191D">
              <w:rPr>
                <w:sz w:val="16"/>
                <w:vertAlign w:val="superscript"/>
              </w:rPr>
              <w:t xml:space="preserve"> a</w:t>
            </w:r>
          </w:p>
        </w:tc>
        <w:tc>
          <w:tcPr>
            <w:tcW w:w="1757" w:type="dxa"/>
            <w:tcBorders>
              <w:bottom w:val="single" w:sz="4" w:space="0" w:color="0070AD" w:themeColor="accent1"/>
            </w:tcBorders>
            <w:shd w:val="clear" w:color="auto" w:fill="BBE7FF" w:themeFill="accent1" w:themeFillTint="33"/>
            <w:vAlign w:val="center"/>
          </w:tcPr>
          <w:p w14:paraId="5D446948" w14:textId="514B942A" w:rsidR="002872E7" w:rsidRPr="00F4191D" w:rsidRDefault="00F92666" w:rsidP="008E5363">
            <w:pPr>
              <w:keepNext/>
              <w:spacing w:line="276" w:lineRule="auto"/>
              <w:ind w:left="-170" w:right="319"/>
              <w:jc w:val="right"/>
              <w:rPr>
                <w:rFonts w:cs="Arial"/>
                <w:sz w:val="16"/>
              </w:rPr>
            </w:pPr>
            <w:r w:rsidRPr="00F4191D">
              <w:rPr>
                <w:rFonts w:ascii="Verdana" w:hAnsi="Verdana"/>
                <w:sz w:val="16"/>
              </w:rPr>
              <w:t>2.95</w:t>
            </w:r>
            <w:r w:rsidRPr="00F4191D">
              <w:rPr>
                <w:sz w:val="16"/>
                <w:vertAlign w:val="superscript"/>
              </w:rPr>
              <w:t xml:space="preserve"> a</w:t>
            </w:r>
          </w:p>
        </w:tc>
        <w:tc>
          <w:tcPr>
            <w:tcW w:w="2588" w:type="dxa"/>
            <w:tcBorders>
              <w:bottom w:val="single" w:sz="4" w:space="0" w:color="0070AD" w:themeColor="accent1"/>
            </w:tcBorders>
            <w:shd w:val="clear" w:color="auto" w:fill="auto"/>
            <w:vAlign w:val="center"/>
          </w:tcPr>
          <w:p w14:paraId="2487C5DA" w14:textId="0E1CDE4B" w:rsidR="002872E7" w:rsidRPr="00F4191D" w:rsidRDefault="002872E7" w:rsidP="008E5363">
            <w:pPr>
              <w:keepNext/>
              <w:spacing w:line="276" w:lineRule="auto"/>
              <w:jc w:val="center"/>
              <w:rPr>
                <w:rFonts w:cs="Arial"/>
                <w:sz w:val="16"/>
              </w:rPr>
            </w:pPr>
            <w:r w:rsidRPr="00F4191D">
              <w:rPr>
                <w:sz w:val="16"/>
              </w:rPr>
              <w:t xml:space="preserve"> -4%</w:t>
            </w:r>
          </w:p>
        </w:tc>
      </w:tr>
      <w:tr w:rsidR="002872E7" w:rsidRPr="00F4191D" w14:paraId="7F7852A8" w14:textId="77777777" w:rsidTr="002872E7">
        <w:trPr>
          <w:trHeight w:val="284"/>
          <w:jc w:val="center"/>
        </w:trPr>
        <w:tc>
          <w:tcPr>
            <w:tcW w:w="3254" w:type="dxa"/>
            <w:tcBorders>
              <w:top w:val="single" w:sz="4" w:space="0" w:color="0070AD" w:themeColor="accent1"/>
            </w:tcBorders>
            <w:vAlign w:val="center"/>
          </w:tcPr>
          <w:p w14:paraId="1D8940AF" w14:textId="77777777" w:rsidR="002872E7" w:rsidRPr="00F4191D" w:rsidRDefault="002872E7" w:rsidP="008E5363">
            <w:pPr>
              <w:keepNext/>
              <w:spacing w:line="276" w:lineRule="auto"/>
              <w:rPr>
                <w:rFonts w:cs="Arial"/>
                <w:sz w:val="16"/>
              </w:rPr>
            </w:pPr>
            <w:r w:rsidRPr="00F4191D">
              <w:rPr>
                <w:b/>
                <w:bCs/>
                <w:sz w:val="16"/>
              </w:rPr>
              <w:t xml:space="preserve">Organic Free Cash Flow* </w:t>
            </w:r>
          </w:p>
        </w:tc>
        <w:tc>
          <w:tcPr>
            <w:tcW w:w="1757" w:type="dxa"/>
            <w:tcBorders>
              <w:top w:val="single" w:sz="4" w:space="0" w:color="0070AD" w:themeColor="accent1"/>
            </w:tcBorders>
            <w:shd w:val="clear" w:color="auto" w:fill="auto"/>
            <w:vAlign w:val="center"/>
          </w:tcPr>
          <w:p w14:paraId="35833811" w14:textId="5B36CDB1" w:rsidR="002872E7" w:rsidRPr="00F4191D" w:rsidRDefault="002872E7" w:rsidP="008E5363">
            <w:pPr>
              <w:keepNext/>
              <w:spacing w:line="276" w:lineRule="auto"/>
              <w:ind w:left="-170" w:right="366"/>
              <w:jc w:val="right"/>
              <w:rPr>
                <w:rFonts w:cs="Arial"/>
                <w:b/>
                <w:sz w:val="16"/>
              </w:rPr>
            </w:pPr>
            <w:r w:rsidRPr="00F4191D">
              <w:rPr>
                <w:b/>
                <w:sz w:val="16"/>
              </w:rPr>
              <w:t>90</w:t>
            </w:r>
          </w:p>
        </w:tc>
        <w:tc>
          <w:tcPr>
            <w:tcW w:w="1757" w:type="dxa"/>
            <w:tcBorders>
              <w:top w:val="single" w:sz="4" w:space="0" w:color="0070AD" w:themeColor="accent1"/>
            </w:tcBorders>
            <w:shd w:val="clear" w:color="auto" w:fill="BBE7FF" w:themeFill="accent1" w:themeFillTint="33"/>
            <w:vAlign w:val="center"/>
          </w:tcPr>
          <w:p w14:paraId="060AAA63" w14:textId="113BD1F9" w:rsidR="002872E7" w:rsidRPr="00F4191D" w:rsidRDefault="00F92666" w:rsidP="008E5363">
            <w:pPr>
              <w:keepNext/>
              <w:spacing w:line="276" w:lineRule="auto"/>
              <w:ind w:left="-170" w:right="429"/>
              <w:jc w:val="right"/>
              <w:rPr>
                <w:rFonts w:cs="Arial"/>
                <w:b/>
                <w:sz w:val="16"/>
              </w:rPr>
            </w:pPr>
            <w:r w:rsidRPr="00F4191D">
              <w:rPr>
                <w:b/>
                <w:sz w:val="16"/>
              </w:rPr>
              <w:t>106</w:t>
            </w:r>
          </w:p>
        </w:tc>
        <w:tc>
          <w:tcPr>
            <w:tcW w:w="2588" w:type="dxa"/>
            <w:tcBorders>
              <w:top w:val="single" w:sz="4" w:space="0" w:color="0070AD" w:themeColor="accent1"/>
            </w:tcBorders>
            <w:shd w:val="clear" w:color="auto" w:fill="auto"/>
            <w:vAlign w:val="center"/>
          </w:tcPr>
          <w:p w14:paraId="62375302" w14:textId="38ABC088" w:rsidR="002872E7" w:rsidRPr="00F4191D" w:rsidRDefault="002872E7" w:rsidP="008E5363">
            <w:pPr>
              <w:keepNext/>
              <w:spacing w:line="276" w:lineRule="auto"/>
              <w:jc w:val="center"/>
              <w:rPr>
                <w:rFonts w:cs="Arial"/>
                <w:b/>
                <w:sz w:val="16"/>
              </w:rPr>
            </w:pPr>
            <w:r w:rsidRPr="00F4191D">
              <w:rPr>
                <w:b/>
                <w:sz w:val="16"/>
              </w:rPr>
              <w:t>+€16 million</w:t>
            </w:r>
          </w:p>
        </w:tc>
      </w:tr>
      <w:tr w:rsidR="002872E7" w:rsidRPr="00F4191D" w14:paraId="0402A65E" w14:textId="77777777" w:rsidTr="002872E7">
        <w:trPr>
          <w:trHeight w:val="284"/>
          <w:jc w:val="center"/>
        </w:trPr>
        <w:tc>
          <w:tcPr>
            <w:tcW w:w="3254" w:type="dxa"/>
            <w:tcBorders>
              <w:bottom w:val="single" w:sz="4" w:space="0" w:color="0070AD" w:themeColor="accent1"/>
            </w:tcBorders>
            <w:vAlign w:val="center"/>
          </w:tcPr>
          <w:p w14:paraId="4607FC8E" w14:textId="128997E3" w:rsidR="002872E7" w:rsidRPr="00F4191D" w:rsidRDefault="002872E7" w:rsidP="008E5363">
            <w:pPr>
              <w:keepNext/>
              <w:spacing w:line="276" w:lineRule="auto"/>
              <w:rPr>
                <w:rFonts w:cs="Arial"/>
                <w:sz w:val="16"/>
              </w:rPr>
            </w:pPr>
            <w:r w:rsidRPr="00F4191D">
              <w:t>Net cash / (Net debt)</w:t>
            </w:r>
            <w:r w:rsidRPr="00F4191D">
              <w:rPr>
                <w:rFonts w:cs="Arial"/>
                <w:sz w:val="16"/>
                <w:vertAlign w:val="superscript"/>
              </w:rPr>
              <w:fldChar w:fldCharType="begin"/>
            </w:r>
            <w:r w:rsidRPr="00F4191D">
              <w:rPr>
                <w:rFonts w:cs="Arial"/>
                <w:sz w:val="16"/>
                <w:vertAlign w:val="superscript"/>
              </w:rPr>
              <w:instrText xml:space="preserve"> NOTEREF _Ref13738408 \h  \* MERGEFORMAT </w:instrText>
            </w:r>
            <w:r w:rsidRPr="00F4191D">
              <w:rPr>
                <w:rFonts w:cs="Arial"/>
                <w:sz w:val="16"/>
                <w:vertAlign w:val="superscript"/>
              </w:rPr>
            </w:r>
            <w:r w:rsidRPr="00F4191D">
              <w:rPr>
                <w:rFonts w:cs="Arial"/>
                <w:sz w:val="16"/>
                <w:vertAlign w:val="superscript"/>
              </w:rPr>
              <w:fldChar w:fldCharType="separate"/>
            </w:r>
            <w:r w:rsidR="00141EF2" w:rsidRPr="00141EF2">
              <w:t>*</w:t>
            </w:r>
            <w:r w:rsidRPr="00F4191D">
              <w:rPr>
                <w:rFonts w:cs="Arial"/>
                <w:sz w:val="16"/>
                <w:vertAlign w:val="superscript"/>
              </w:rPr>
              <w:fldChar w:fldCharType="end"/>
            </w:r>
          </w:p>
        </w:tc>
        <w:tc>
          <w:tcPr>
            <w:tcW w:w="1757" w:type="dxa"/>
            <w:tcBorders>
              <w:bottom w:val="single" w:sz="4" w:space="0" w:color="0070AD" w:themeColor="accent1"/>
            </w:tcBorders>
            <w:shd w:val="clear" w:color="auto" w:fill="auto"/>
            <w:vAlign w:val="center"/>
          </w:tcPr>
          <w:p w14:paraId="3B70A170" w14:textId="57E60167" w:rsidR="002872E7" w:rsidRPr="00F4191D" w:rsidRDefault="002872E7" w:rsidP="008E5363">
            <w:pPr>
              <w:keepNext/>
              <w:spacing w:line="276" w:lineRule="auto"/>
              <w:ind w:left="-170" w:right="366"/>
              <w:jc w:val="right"/>
              <w:rPr>
                <w:rFonts w:cs="Arial"/>
                <w:sz w:val="16"/>
              </w:rPr>
            </w:pPr>
            <w:r w:rsidRPr="00F4191D">
              <w:rPr>
                <w:rFonts w:ascii="Verdana" w:hAnsi="Verdana"/>
                <w:sz w:val="16"/>
              </w:rPr>
              <w:t>(1,621)</w:t>
            </w:r>
          </w:p>
        </w:tc>
        <w:tc>
          <w:tcPr>
            <w:tcW w:w="1757" w:type="dxa"/>
            <w:tcBorders>
              <w:bottom w:val="single" w:sz="4" w:space="0" w:color="0070AD" w:themeColor="accent1"/>
            </w:tcBorders>
            <w:shd w:val="clear" w:color="auto" w:fill="BBE7FF" w:themeFill="accent1" w:themeFillTint="33"/>
            <w:vAlign w:val="center"/>
          </w:tcPr>
          <w:p w14:paraId="6AEE14F6" w14:textId="62897415" w:rsidR="002872E7" w:rsidRPr="00F4191D" w:rsidRDefault="002872E7" w:rsidP="008E5363">
            <w:pPr>
              <w:keepNext/>
              <w:spacing w:line="276" w:lineRule="auto"/>
              <w:ind w:left="-170" w:right="429"/>
              <w:jc w:val="right"/>
              <w:rPr>
                <w:rFonts w:cs="Arial"/>
                <w:sz w:val="16"/>
              </w:rPr>
            </w:pPr>
            <w:r w:rsidRPr="00F4191D">
              <w:rPr>
                <w:rFonts w:ascii="Verdana" w:hAnsi="Verdana"/>
                <w:sz w:val="16"/>
              </w:rPr>
              <w:t>(6,008)</w:t>
            </w:r>
          </w:p>
        </w:tc>
        <w:tc>
          <w:tcPr>
            <w:tcW w:w="2588" w:type="dxa"/>
            <w:tcBorders>
              <w:bottom w:val="single" w:sz="4" w:space="0" w:color="0070AD" w:themeColor="accent1"/>
            </w:tcBorders>
            <w:shd w:val="clear" w:color="auto" w:fill="auto"/>
            <w:vAlign w:val="center"/>
          </w:tcPr>
          <w:p w14:paraId="4AA701F3" w14:textId="3005FB19" w:rsidR="002872E7" w:rsidRPr="00F4191D" w:rsidRDefault="002872E7" w:rsidP="008E5363">
            <w:pPr>
              <w:keepNext/>
              <w:spacing w:line="276" w:lineRule="auto"/>
              <w:jc w:val="center"/>
              <w:rPr>
                <w:rFonts w:cs="Arial"/>
                <w:sz w:val="16"/>
              </w:rPr>
            </w:pPr>
          </w:p>
        </w:tc>
      </w:tr>
      <w:tr w:rsidR="00D159DD" w:rsidRPr="00F4191D" w14:paraId="5F7B27C6" w14:textId="77777777" w:rsidTr="001E2E23">
        <w:trPr>
          <w:trHeight w:val="413"/>
          <w:jc w:val="center"/>
        </w:trPr>
        <w:tc>
          <w:tcPr>
            <w:tcW w:w="9356" w:type="dxa"/>
            <w:gridSpan w:val="4"/>
            <w:tcBorders>
              <w:top w:val="single" w:sz="4" w:space="0" w:color="0070AD" w:themeColor="accent1"/>
            </w:tcBorders>
            <w:vAlign w:val="center"/>
          </w:tcPr>
          <w:p w14:paraId="74B50484" w14:textId="61EB6334" w:rsidR="00D159DD" w:rsidRPr="00F4191D" w:rsidRDefault="00D159DD" w:rsidP="00F4191D">
            <w:pPr>
              <w:keepNext/>
              <w:spacing w:line="276" w:lineRule="auto"/>
              <w:jc w:val="left"/>
              <w:rPr>
                <w:rFonts w:cs="Arial"/>
                <w:sz w:val="16"/>
              </w:rPr>
            </w:pPr>
            <w:proofErr w:type="spellStart"/>
            <w:r w:rsidRPr="00F4191D">
              <w:rPr>
                <w:vertAlign w:val="superscript"/>
              </w:rPr>
              <w:t>a</w:t>
            </w:r>
            <w:proofErr w:type="spellEnd"/>
            <w:r w:rsidRPr="00F4191D">
              <w:t xml:space="preserve"> </w:t>
            </w:r>
            <w:r w:rsidRPr="0076068C">
              <w:rPr>
                <w:sz w:val="12"/>
                <w:szCs w:val="14"/>
              </w:rPr>
              <w:t>Excluding recognition of the income tax expense due to the transitional impact of the US tax reform of €30 million in H1 20</w:t>
            </w:r>
            <w:r w:rsidR="00F4191D" w:rsidRPr="0076068C">
              <w:rPr>
                <w:sz w:val="12"/>
                <w:szCs w:val="14"/>
              </w:rPr>
              <w:t>19</w:t>
            </w:r>
            <w:r w:rsidRPr="0076068C">
              <w:rPr>
                <w:sz w:val="12"/>
                <w:szCs w:val="14"/>
              </w:rPr>
              <w:t xml:space="preserve"> and €26 million in H1 2020.</w:t>
            </w:r>
          </w:p>
        </w:tc>
      </w:tr>
    </w:tbl>
    <w:p w14:paraId="5D075E09" w14:textId="6EDFB111" w:rsidR="003B4D96" w:rsidRPr="00F4191D" w:rsidRDefault="003B4D96" w:rsidP="008E5363">
      <w:pPr>
        <w:spacing w:before="120" w:after="120" w:line="276" w:lineRule="auto"/>
        <w:rPr>
          <w:rFonts w:ascii="Verdana" w:hAnsi="Verdana" w:cs="Arial"/>
        </w:rPr>
      </w:pPr>
    </w:p>
    <w:p w14:paraId="593C31EF" w14:textId="70CC55EA" w:rsidR="00570588" w:rsidRPr="00F4191D" w:rsidRDefault="00570588" w:rsidP="008E5363">
      <w:pPr>
        <w:keepNext/>
        <w:spacing w:before="120" w:after="120" w:line="276" w:lineRule="auto"/>
        <w:rPr>
          <w:rFonts w:ascii="Verdana" w:hAnsi="Verdana" w:cs="Arial"/>
        </w:rPr>
      </w:pPr>
      <w:r w:rsidRPr="00F4191D">
        <w:rPr>
          <w:rFonts w:ascii="Verdana" w:hAnsi="Verdana"/>
        </w:rPr>
        <w:t>During H1 2020, Capgemini successfully completed the friendly tender offer for Altran Technologies ("Altran")</w:t>
      </w:r>
      <w:r w:rsidR="00712265" w:rsidRPr="00F4191D">
        <w:rPr>
          <w:rFonts w:ascii="Verdana" w:hAnsi="Verdana"/>
        </w:rPr>
        <w:t xml:space="preserve">, which is </w:t>
      </w:r>
      <w:r w:rsidRPr="00F4191D">
        <w:rPr>
          <w:rFonts w:ascii="Verdana" w:hAnsi="Verdana"/>
        </w:rPr>
        <w:t>fully consolidated in the Group accounts from April 1, 2020. This major transaction positions the Group as the partner of choice for the digital transformation of industrial and</w:t>
      </w:r>
      <w:bookmarkStart w:id="3" w:name="_GoBack"/>
      <w:bookmarkEnd w:id="3"/>
      <w:r w:rsidRPr="00F4191D">
        <w:rPr>
          <w:rFonts w:ascii="Verdana" w:hAnsi="Verdana"/>
        </w:rPr>
        <w:t xml:space="preserve"> technology companies. </w:t>
      </w:r>
      <w:r w:rsidR="00712265" w:rsidRPr="00F4191D">
        <w:rPr>
          <w:rFonts w:ascii="Verdana" w:hAnsi="Verdana"/>
        </w:rPr>
        <w:t xml:space="preserve">Over </w:t>
      </w:r>
      <w:r w:rsidRPr="00F4191D">
        <w:rPr>
          <w:rFonts w:ascii="Verdana" w:hAnsi="Verdana"/>
        </w:rPr>
        <w:t xml:space="preserve">the same period, the Group also dealt with the </w:t>
      </w:r>
      <w:r w:rsidR="00712265" w:rsidRPr="00F4191D">
        <w:rPr>
          <w:rFonts w:ascii="Verdana" w:hAnsi="Verdana"/>
        </w:rPr>
        <w:t>impact o</w:t>
      </w:r>
      <w:r w:rsidRPr="00F4191D">
        <w:rPr>
          <w:rFonts w:ascii="Verdana" w:hAnsi="Verdana"/>
        </w:rPr>
        <w:t xml:space="preserve">f the </w:t>
      </w:r>
      <w:r w:rsidR="00712265" w:rsidRPr="00F4191D">
        <w:rPr>
          <w:rFonts w:ascii="Verdana" w:hAnsi="Verdana"/>
        </w:rPr>
        <w:t>Covid</w:t>
      </w:r>
      <w:r w:rsidRPr="00F4191D">
        <w:rPr>
          <w:rFonts w:ascii="Verdana" w:hAnsi="Verdana"/>
        </w:rPr>
        <w:t xml:space="preserve">-19 </w:t>
      </w:r>
      <w:r w:rsidR="00712265" w:rsidRPr="00F4191D">
        <w:rPr>
          <w:rFonts w:ascii="Verdana" w:hAnsi="Verdana"/>
        </w:rPr>
        <w:t xml:space="preserve">crisis on </w:t>
      </w:r>
      <w:r w:rsidRPr="00F4191D">
        <w:rPr>
          <w:rFonts w:ascii="Verdana" w:hAnsi="Verdana"/>
        </w:rPr>
        <w:t xml:space="preserve">its various markets, while ensuring the safety of its employees and the continuity of services to all its clients. </w:t>
      </w:r>
    </w:p>
    <w:p w14:paraId="2693C931" w14:textId="5BFAF6F3" w:rsidR="00570588" w:rsidRPr="00F4191D" w:rsidRDefault="00570588" w:rsidP="008E5363">
      <w:pPr>
        <w:keepNext/>
        <w:spacing w:before="120" w:after="120" w:line="276" w:lineRule="auto"/>
        <w:rPr>
          <w:rFonts w:ascii="Verdana" w:hAnsi="Verdana" w:cs="Arial"/>
        </w:rPr>
      </w:pPr>
      <w:r w:rsidRPr="00F4191D">
        <w:rPr>
          <w:rFonts w:ascii="Verdana" w:hAnsi="Verdana"/>
        </w:rPr>
        <w:t xml:space="preserve">In this unprecedented context, the Group demonstrated </w:t>
      </w:r>
      <w:r w:rsidR="00B36BDF" w:rsidRPr="00F4191D">
        <w:rPr>
          <w:rFonts w:ascii="Verdana" w:hAnsi="Verdana"/>
        </w:rPr>
        <w:t>r</w:t>
      </w:r>
      <w:r w:rsidR="0027005A" w:rsidRPr="00F4191D">
        <w:rPr>
          <w:rFonts w:ascii="Verdana" w:hAnsi="Verdana"/>
        </w:rPr>
        <w:t>emarkable</w:t>
      </w:r>
      <w:r w:rsidR="00B36BDF" w:rsidRPr="00F4191D">
        <w:rPr>
          <w:rFonts w:ascii="Verdana" w:hAnsi="Verdana"/>
        </w:rPr>
        <w:t xml:space="preserve"> </w:t>
      </w:r>
      <w:r w:rsidRPr="00F4191D">
        <w:rPr>
          <w:rFonts w:ascii="Verdana" w:hAnsi="Verdana"/>
        </w:rPr>
        <w:t xml:space="preserve">agility </w:t>
      </w:r>
      <w:r w:rsidR="0027005A" w:rsidRPr="00F4191D">
        <w:rPr>
          <w:rFonts w:ascii="Verdana" w:hAnsi="Verdana"/>
        </w:rPr>
        <w:t xml:space="preserve">as well as </w:t>
      </w:r>
      <w:r w:rsidRPr="00F4191D">
        <w:rPr>
          <w:rFonts w:ascii="Verdana" w:hAnsi="Verdana"/>
        </w:rPr>
        <w:t>the resilience of its operations and financial model. H1 20</w:t>
      </w:r>
      <w:r w:rsidR="002113F3" w:rsidRPr="00F4191D">
        <w:rPr>
          <w:rFonts w:ascii="Verdana" w:hAnsi="Verdana"/>
        </w:rPr>
        <w:t>20</w:t>
      </w:r>
      <w:r w:rsidRPr="00F4191D">
        <w:rPr>
          <w:rFonts w:ascii="Verdana" w:hAnsi="Verdana"/>
        </w:rPr>
        <w:t xml:space="preserve"> results clearly </w:t>
      </w:r>
      <w:r w:rsidR="00712265" w:rsidRPr="00F4191D">
        <w:rPr>
          <w:rFonts w:ascii="Verdana" w:hAnsi="Verdana"/>
        </w:rPr>
        <w:t xml:space="preserve">highlight </w:t>
      </w:r>
      <w:r w:rsidRPr="00F4191D">
        <w:rPr>
          <w:rFonts w:ascii="Verdana" w:hAnsi="Verdana"/>
        </w:rPr>
        <w:t>the quality of this resilience, which has been considerably reinforced since the 2009 crisis.</w:t>
      </w:r>
    </w:p>
    <w:p w14:paraId="677A4F47" w14:textId="0C216D48" w:rsidR="008C46B5" w:rsidRPr="00F4191D" w:rsidRDefault="00067458" w:rsidP="008E5363">
      <w:pPr>
        <w:spacing w:before="120" w:after="120" w:line="276" w:lineRule="auto"/>
        <w:rPr>
          <w:rFonts w:ascii="Verdana" w:hAnsi="Verdana" w:cs="Arial"/>
        </w:rPr>
      </w:pPr>
      <w:r w:rsidRPr="00F4191D">
        <w:rPr>
          <w:rFonts w:ascii="Verdana" w:hAnsi="Verdana"/>
        </w:rPr>
        <w:t xml:space="preserve">Capgemini generated </w:t>
      </w:r>
      <w:r w:rsidRPr="00F4191D">
        <w:rPr>
          <w:rFonts w:ascii="Verdana" w:hAnsi="Verdana"/>
          <w:b/>
          <w:bCs/>
        </w:rPr>
        <w:t>revenues</w:t>
      </w:r>
      <w:r w:rsidRPr="00F4191D">
        <w:rPr>
          <w:rFonts w:ascii="Verdana" w:hAnsi="Verdana"/>
        </w:rPr>
        <w:t xml:space="preserve"> of €7,581 million in H1 2020. After a </w:t>
      </w:r>
      <w:r w:rsidR="00381305" w:rsidRPr="00F4191D">
        <w:rPr>
          <w:rFonts w:ascii="Verdana" w:hAnsi="Verdana"/>
        </w:rPr>
        <w:t xml:space="preserve">Q1 2020 </w:t>
      </w:r>
      <w:r w:rsidR="005C3665">
        <w:rPr>
          <w:rFonts w:ascii="Verdana" w:hAnsi="Verdana"/>
        </w:rPr>
        <w:t xml:space="preserve">that was </w:t>
      </w:r>
      <w:r w:rsidRPr="00F4191D">
        <w:rPr>
          <w:rFonts w:ascii="Verdana" w:hAnsi="Verdana"/>
        </w:rPr>
        <w:t xml:space="preserve">broadly in line with Q4 2019 trends, the </w:t>
      </w:r>
      <w:r w:rsidR="00381305" w:rsidRPr="00F4191D">
        <w:rPr>
          <w:rFonts w:ascii="Verdana" w:hAnsi="Verdana"/>
        </w:rPr>
        <w:t xml:space="preserve">impact of the </w:t>
      </w:r>
      <w:r w:rsidRPr="00F4191D">
        <w:rPr>
          <w:rFonts w:ascii="Verdana" w:hAnsi="Verdana"/>
        </w:rPr>
        <w:t xml:space="preserve">pandemic </w:t>
      </w:r>
      <w:r w:rsidR="00381305" w:rsidRPr="00F4191D">
        <w:rPr>
          <w:rFonts w:ascii="Verdana" w:hAnsi="Verdana"/>
        </w:rPr>
        <w:t>is clearly visible but</w:t>
      </w:r>
      <w:r w:rsidR="004B6AE4">
        <w:rPr>
          <w:rFonts w:ascii="Verdana" w:hAnsi="Verdana"/>
        </w:rPr>
        <w:t>,</w:t>
      </w:r>
      <w:r w:rsidR="00381305" w:rsidRPr="00F4191D">
        <w:rPr>
          <w:rFonts w:ascii="Verdana" w:hAnsi="Verdana"/>
        </w:rPr>
        <w:t xml:space="preserve"> all things considered</w:t>
      </w:r>
      <w:r w:rsidR="00AC341F">
        <w:rPr>
          <w:rFonts w:ascii="Verdana" w:hAnsi="Verdana"/>
        </w:rPr>
        <w:t>,</w:t>
      </w:r>
      <w:r w:rsidR="00381305" w:rsidRPr="00F4191D">
        <w:rPr>
          <w:rFonts w:ascii="Verdana" w:hAnsi="Verdana"/>
        </w:rPr>
        <w:t xml:space="preserve"> contained </w:t>
      </w:r>
      <w:r w:rsidRPr="00F4191D">
        <w:rPr>
          <w:rFonts w:ascii="Verdana" w:hAnsi="Verdana"/>
        </w:rPr>
        <w:t xml:space="preserve">in </w:t>
      </w:r>
      <w:r w:rsidR="00381305" w:rsidRPr="00F4191D">
        <w:rPr>
          <w:rFonts w:ascii="Verdana" w:hAnsi="Verdana"/>
        </w:rPr>
        <w:t>Q2 2020</w:t>
      </w:r>
      <w:r w:rsidRPr="00F4191D">
        <w:rPr>
          <w:rFonts w:ascii="Verdana" w:hAnsi="Verdana"/>
        </w:rPr>
        <w:t xml:space="preserve">. </w:t>
      </w:r>
      <w:r w:rsidR="00494607">
        <w:rPr>
          <w:rFonts w:ascii="Verdana" w:hAnsi="Verdana"/>
        </w:rPr>
        <w:t>T</w:t>
      </w:r>
      <w:r w:rsidRPr="00F4191D">
        <w:rPr>
          <w:rFonts w:ascii="Verdana" w:hAnsi="Verdana"/>
        </w:rPr>
        <w:t xml:space="preserve">he consolidation of Altran </w:t>
      </w:r>
      <w:r w:rsidR="00396F9F">
        <w:rPr>
          <w:rFonts w:ascii="Verdana" w:hAnsi="Verdana"/>
        </w:rPr>
        <w:t xml:space="preserve">had a </w:t>
      </w:r>
      <w:r w:rsidR="008235FB">
        <w:rPr>
          <w:rFonts w:ascii="Verdana" w:hAnsi="Verdana"/>
        </w:rPr>
        <w:t xml:space="preserve">material impact on </w:t>
      </w:r>
      <w:r w:rsidRPr="00F4191D">
        <w:rPr>
          <w:rFonts w:ascii="Verdana" w:hAnsi="Verdana"/>
        </w:rPr>
        <w:t xml:space="preserve">Q2 </w:t>
      </w:r>
      <w:r w:rsidR="008235FB">
        <w:rPr>
          <w:rFonts w:ascii="Verdana" w:hAnsi="Verdana"/>
        </w:rPr>
        <w:t>revenues</w:t>
      </w:r>
      <w:r w:rsidRPr="00F4191D">
        <w:rPr>
          <w:rFonts w:ascii="Verdana" w:hAnsi="Verdana"/>
        </w:rPr>
        <w:t xml:space="preserve">. </w:t>
      </w:r>
      <w:r w:rsidR="00CF5615" w:rsidRPr="00F4191D">
        <w:rPr>
          <w:rFonts w:ascii="Verdana" w:hAnsi="Verdana"/>
        </w:rPr>
        <w:t>For the whole</w:t>
      </w:r>
      <w:r w:rsidR="0041125A" w:rsidRPr="00F4191D">
        <w:rPr>
          <w:rFonts w:ascii="Verdana" w:hAnsi="Verdana"/>
        </w:rPr>
        <w:t xml:space="preserve"> of</w:t>
      </w:r>
      <w:r w:rsidR="00CF5615" w:rsidRPr="00F4191D">
        <w:rPr>
          <w:rFonts w:ascii="Verdana" w:hAnsi="Verdana"/>
        </w:rPr>
        <w:t xml:space="preserve"> H1</w:t>
      </w:r>
      <w:r w:rsidRPr="00F4191D">
        <w:rPr>
          <w:rFonts w:ascii="Verdana" w:hAnsi="Verdana"/>
        </w:rPr>
        <w:t xml:space="preserve">, growth reached +8.2% </w:t>
      </w:r>
      <w:r w:rsidR="00CF5615" w:rsidRPr="00F4191D">
        <w:rPr>
          <w:rFonts w:ascii="Verdana" w:hAnsi="Verdana"/>
        </w:rPr>
        <w:t xml:space="preserve">on a reported basis </w:t>
      </w:r>
      <w:r w:rsidRPr="00F4191D">
        <w:rPr>
          <w:rFonts w:ascii="Verdana" w:hAnsi="Verdana"/>
        </w:rPr>
        <w:t xml:space="preserve">and +7.9% at constant exchange rates. “Organic” growth (adjusted for scope and exchange rate impacts) </w:t>
      </w:r>
      <w:r w:rsidR="00CF5615" w:rsidRPr="00F4191D">
        <w:rPr>
          <w:rFonts w:ascii="Verdana" w:hAnsi="Verdana"/>
        </w:rPr>
        <w:t xml:space="preserve">for the combined Group </w:t>
      </w:r>
      <w:r w:rsidR="005C3665">
        <w:rPr>
          <w:rFonts w:ascii="Verdana" w:hAnsi="Verdana"/>
        </w:rPr>
        <w:t>saw</w:t>
      </w:r>
      <w:r w:rsidR="005C3665" w:rsidRPr="00F4191D">
        <w:rPr>
          <w:rFonts w:ascii="Verdana" w:hAnsi="Verdana"/>
        </w:rPr>
        <w:t xml:space="preserve"> </w:t>
      </w:r>
      <w:r w:rsidR="00BE2ADC" w:rsidRPr="00F4191D">
        <w:rPr>
          <w:rFonts w:ascii="Verdana" w:hAnsi="Verdana"/>
        </w:rPr>
        <w:t xml:space="preserve">a </w:t>
      </w:r>
      <w:r w:rsidR="00CF5615" w:rsidRPr="00F4191D">
        <w:rPr>
          <w:rFonts w:ascii="Verdana" w:hAnsi="Verdana"/>
        </w:rPr>
        <w:t xml:space="preserve">limited decline of </w:t>
      </w:r>
      <w:r w:rsidRPr="00F4191D">
        <w:rPr>
          <w:rFonts w:ascii="Verdana" w:hAnsi="Verdana"/>
        </w:rPr>
        <w:t xml:space="preserve">-3.4%. The sector and geographic diversification of the client base </w:t>
      </w:r>
      <w:r w:rsidR="00BE2ADC" w:rsidRPr="00F4191D">
        <w:rPr>
          <w:rFonts w:ascii="Verdana" w:hAnsi="Verdana"/>
        </w:rPr>
        <w:t xml:space="preserve">combined with </w:t>
      </w:r>
      <w:r w:rsidRPr="00F4191D">
        <w:rPr>
          <w:rFonts w:ascii="Verdana" w:hAnsi="Verdana"/>
        </w:rPr>
        <w:t xml:space="preserve">the </w:t>
      </w:r>
      <w:proofErr w:type="gramStart"/>
      <w:r w:rsidRPr="00F4191D">
        <w:rPr>
          <w:rFonts w:ascii="Verdana" w:hAnsi="Verdana"/>
        </w:rPr>
        <w:t>high quality</w:t>
      </w:r>
      <w:proofErr w:type="gramEnd"/>
      <w:r w:rsidRPr="00F4191D">
        <w:rPr>
          <w:rFonts w:ascii="Verdana" w:hAnsi="Verdana"/>
        </w:rPr>
        <w:t xml:space="preserve"> offer portfolio developed in recent years have clearly reinforced the resilience of Capgemini’s revenues. </w:t>
      </w:r>
      <w:proofErr w:type="gramStart"/>
      <w:r w:rsidRPr="00F4191D">
        <w:rPr>
          <w:rFonts w:ascii="Verdana" w:hAnsi="Verdana"/>
        </w:rPr>
        <w:t>In particular, momentum</w:t>
      </w:r>
      <w:proofErr w:type="gramEnd"/>
      <w:r w:rsidRPr="00F4191D">
        <w:rPr>
          <w:rFonts w:ascii="Verdana" w:hAnsi="Verdana"/>
        </w:rPr>
        <w:t xml:space="preserve"> remains strong for </w:t>
      </w:r>
      <w:r w:rsidRPr="00F4191D">
        <w:rPr>
          <w:rFonts w:ascii="Verdana" w:hAnsi="Verdana"/>
          <w:b/>
          <w:bCs/>
        </w:rPr>
        <w:t>Digital</w:t>
      </w:r>
      <w:r w:rsidRPr="00F4191D">
        <w:rPr>
          <w:rFonts w:ascii="Verdana" w:hAnsi="Verdana"/>
        </w:rPr>
        <w:t xml:space="preserve"> and </w:t>
      </w:r>
      <w:r w:rsidRPr="00F4191D">
        <w:rPr>
          <w:rFonts w:ascii="Verdana" w:hAnsi="Verdana"/>
          <w:b/>
          <w:bCs/>
        </w:rPr>
        <w:t>Cloud</w:t>
      </w:r>
      <w:r w:rsidRPr="00F4191D">
        <w:rPr>
          <w:rFonts w:ascii="Verdana" w:hAnsi="Verdana"/>
        </w:rPr>
        <w:t xml:space="preserve"> services, which increased over 10%</w:t>
      </w:r>
      <w:bookmarkStart w:id="4" w:name="_Ref48598760"/>
      <w:r w:rsidR="00E35020" w:rsidRPr="00F4191D">
        <w:rPr>
          <w:rStyle w:val="FootnoteReference"/>
          <w:rFonts w:ascii="Verdana" w:hAnsi="Verdana" w:cs="Arial"/>
        </w:rPr>
        <w:footnoteReference w:id="4"/>
      </w:r>
      <w:bookmarkEnd w:id="4"/>
      <w:r w:rsidRPr="00F4191D">
        <w:rPr>
          <w:rFonts w:ascii="Verdana" w:hAnsi="Verdana"/>
        </w:rPr>
        <w:t xml:space="preserve"> in </w:t>
      </w:r>
      <w:r w:rsidR="00BE2ADC" w:rsidRPr="00F4191D">
        <w:rPr>
          <w:rFonts w:ascii="Verdana" w:hAnsi="Verdana"/>
        </w:rPr>
        <w:t>H1</w:t>
      </w:r>
      <w:r w:rsidRPr="00F4191D">
        <w:rPr>
          <w:rFonts w:ascii="Verdana" w:hAnsi="Verdana"/>
        </w:rPr>
        <w:t>, illustrating the structural nature of demand for these services.</w:t>
      </w:r>
    </w:p>
    <w:p w14:paraId="721D2AB2" w14:textId="306589E0" w:rsidR="00B00202" w:rsidRPr="00F4191D" w:rsidRDefault="00B00202" w:rsidP="008E5363">
      <w:pPr>
        <w:spacing w:before="120" w:after="120" w:line="276" w:lineRule="auto"/>
        <w:rPr>
          <w:rFonts w:ascii="Verdana" w:hAnsi="Verdana" w:cs="Arial"/>
          <w:bCs/>
        </w:rPr>
      </w:pPr>
      <w:r w:rsidRPr="00F4191D">
        <w:rPr>
          <w:rFonts w:ascii="Verdana" w:hAnsi="Verdana"/>
          <w:b/>
          <w:bCs/>
        </w:rPr>
        <w:t>Bookings</w:t>
      </w:r>
      <w:r w:rsidRPr="00F4191D">
        <w:rPr>
          <w:rFonts w:ascii="Verdana" w:hAnsi="Verdana"/>
          <w:bCs/>
        </w:rPr>
        <w:t xml:space="preserve"> totaled €7,841 million in the first six months of 2020, a +10.3% increase at constant exchange rates year-on-year. At </w:t>
      </w:r>
      <w:r w:rsidR="00D3313E" w:rsidRPr="00F4191D">
        <w:rPr>
          <w:rFonts w:ascii="Verdana" w:hAnsi="Verdana"/>
          <w:bCs/>
        </w:rPr>
        <w:t>103</w:t>
      </w:r>
      <w:r w:rsidRPr="00F4191D">
        <w:rPr>
          <w:rFonts w:ascii="Verdana" w:hAnsi="Verdana"/>
          <w:bCs/>
        </w:rPr>
        <w:t>%, the book-to-bill ratio exceeds the 2019 ratio for the same period, demonstrating the strength of commercial activity in the context of the pandemic.</w:t>
      </w:r>
    </w:p>
    <w:p w14:paraId="1FB92214" w14:textId="4E6630CB" w:rsidR="00B80015" w:rsidRPr="00F4191D" w:rsidRDefault="00B00202" w:rsidP="008E5363">
      <w:pPr>
        <w:spacing w:before="120" w:after="120" w:line="276" w:lineRule="auto"/>
        <w:rPr>
          <w:rFonts w:ascii="Verdana" w:hAnsi="Verdana" w:cs="Arial"/>
          <w:color w:val="FF0000"/>
        </w:rPr>
      </w:pPr>
      <w:r w:rsidRPr="00F4191D">
        <w:rPr>
          <w:rFonts w:ascii="Verdana" w:hAnsi="Verdana"/>
        </w:rPr>
        <w:t>The</w:t>
      </w:r>
      <w:r w:rsidRPr="00F4191D">
        <w:rPr>
          <w:rFonts w:ascii="Verdana" w:hAnsi="Verdana"/>
          <w:b/>
        </w:rPr>
        <w:t xml:space="preserve"> operating margin</w:t>
      </w:r>
      <w:r w:rsidR="00701F43" w:rsidRPr="00F4191D">
        <w:rPr>
          <w:rFonts w:ascii="Verdana" w:hAnsi="Verdana" w:cs="Arial"/>
          <w:bCs/>
          <w:vertAlign w:val="superscript"/>
        </w:rPr>
        <w:fldChar w:fldCharType="begin"/>
      </w:r>
      <w:r w:rsidR="00701F43" w:rsidRPr="00F4191D">
        <w:rPr>
          <w:rFonts w:ascii="Verdana" w:hAnsi="Verdana" w:cs="Arial"/>
          <w:bCs/>
          <w:vertAlign w:val="superscript"/>
        </w:rPr>
        <w:instrText xml:space="preserve"> NOTEREF _Ref13738408 \h  \* MERGEFORMAT </w:instrText>
      </w:r>
      <w:r w:rsidR="00701F43" w:rsidRPr="00F4191D">
        <w:rPr>
          <w:rFonts w:ascii="Verdana" w:hAnsi="Verdana" w:cs="Arial"/>
          <w:bCs/>
          <w:vertAlign w:val="superscript"/>
        </w:rPr>
      </w:r>
      <w:r w:rsidR="00701F43" w:rsidRPr="00F4191D">
        <w:rPr>
          <w:rFonts w:ascii="Verdana" w:hAnsi="Verdana" w:cs="Arial"/>
          <w:bCs/>
          <w:vertAlign w:val="superscript"/>
        </w:rPr>
        <w:fldChar w:fldCharType="separate"/>
      </w:r>
      <w:r w:rsidR="00141EF2" w:rsidRPr="00141EF2">
        <w:rPr>
          <w:bCs/>
        </w:rPr>
        <w:t>*</w:t>
      </w:r>
      <w:r w:rsidR="00701F43" w:rsidRPr="00F4191D">
        <w:rPr>
          <w:rFonts w:ascii="Verdana" w:hAnsi="Verdana" w:cs="Arial"/>
          <w:bCs/>
          <w:vertAlign w:val="superscript"/>
        </w:rPr>
        <w:fldChar w:fldCharType="end"/>
      </w:r>
      <w:r w:rsidRPr="00F4191D">
        <w:rPr>
          <w:rFonts w:ascii="Verdana" w:hAnsi="Verdana"/>
        </w:rPr>
        <w:t xml:space="preserve"> increased by +3% in value to €818 million, representing 10.8% of revenues. The year-on-year decrease in the operating margin rate is limited to 60 basis points, in line with the Group’s plan to demonstrate</w:t>
      </w:r>
      <w:r w:rsidR="003B141E">
        <w:rPr>
          <w:rFonts w:ascii="Verdana" w:hAnsi="Verdana"/>
        </w:rPr>
        <w:t xml:space="preserve"> in 2020</w:t>
      </w:r>
      <w:r w:rsidRPr="00F4191D">
        <w:rPr>
          <w:rFonts w:ascii="Verdana" w:hAnsi="Verdana"/>
        </w:rPr>
        <w:t xml:space="preserve"> its </w:t>
      </w:r>
      <w:r w:rsidR="003B141E">
        <w:rPr>
          <w:rFonts w:ascii="Verdana" w:hAnsi="Verdana"/>
        </w:rPr>
        <w:t xml:space="preserve">enhanced </w:t>
      </w:r>
      <w:r w:rsidRPr="00F4191D">
        <w:rPr>
          <w:rFonts w:ascii="Verdana" w:hAnsi="Verdana"/>
        </w:rPr>
        <w:t>resilience.</w:t>
      </w:r>
    </w:p>
    <w:p w14:paraId="535808C6" w14:textId="45E0B54C" w:rsidR="00B00202" w:rsidRPr="00F4191D" w:rsidRDefault="00B00202" w:rsidP="008E5363">
      <w:pPr>
        <w:spacing w:before="120" w:after="120" w:line="276" w:lineRule="auto"/>
        <w:rPr>
          <w:rFonts w:ascii="Verdana" w:hAnsi="Verdana" w:cs="Arial"/>
        </w:rPr>
      </w:pPr>
      <w:r w:rsidRPr="00F4191D">
        <w:rPr>
          <w:rFonts w:ascii="Verdana" w:hAnsi="Verdana"/>
          <w:b/>
          <w:bCs/>
        </w:rPr>
        <w:t>Other operating income and expenses</w:t>
      </w:r>
      <w:r w:rsidRPr="00F4191D">
        <w:rPr>
          <w:rFonts w:ascii="Verdana" w:hAnsi="Verdana"/>
        </w:rPr>
        <w:t xml:space="preserve"> represent a net expense of €241 million, up €102 million year-on</w:t>
      </w:r>
      <w:r w:rsidR="006F149E">
        <w:rPr>
          <w:rFonts w:ascii="Verdana" w:hAnsi="Verdana"/>
        </w:rPr>
        <w:noBreakHyphen/>
      </w:r>
      <w:r w:rsidRPr="00F4191D">
        <w:rPr>
          <w:rFonts w:ascii="Verdana" w:hAnsi="Verdana"/>
        </w:rPr>
        <w:t xml:space="preserve">year. This significant increase is mainly due to </w:t>
      </w:r>
      <w:r w:rsidR="0050163E">
        <w:rPr>
          <w:rFonts w:ascii="Verdana" w:hAnsi="Verdana"/>
        </w:rPr>
        <w:t xml:space="preserve">the </w:t>
      </w:r>
      <w:r w:rsidRPr="00F4191D">
        <w:rPr>
          <w:rFonts w:ascii="Verdana" w:hAnsi="Verdana"/>
        </w:rPr>
        <w:t>Altran acquisition and integration costs, the inclusion of restructuring expenses specific to Altran and greater seasonality of restructuring costs in the first half of 2020.</w:t>
      </w:r>
    </w:p>
    <w:p w14:paraId="735573FC" w14:textId="6894168D" w:rsidR="00B00202" w:rsidRPr="00F4191D" w:rsidRDefault="00272F99" w:rsidP="008E5363">
      <w:pPr>
        <w:spacing w:before="120" w:after="120" w:line="276" w:lineRule="auto"/>
        <w:rPr>
          <w:rFonts w:ascii="Verdana" w:hAnsi="Verdana" w:cs="Arial"/>
        </w:rPr>
      </w:pPr>
      <w:r w:rsidRPr="00F4191D">
        <w:rPr>
          <w:rFonts w:ascii="Verdana" w:hAnsi="Verdana"/>
          <w:b/>
        </w:rPr>
        <w:t>Capgemini operating profit</w:t>
      </w:r>
      <w:r w:rsidRPr="00F4191D">
        <w:rPr>
          <w:rFonts w:ascii="Verdana" w:hAnsi="Verdana"/>
        </w:rPr>
        <w:t xml:space="preserve"> is therefore down -12% to €577 million, or 7.6% of revenues. </w:t>
      </w:r>
    </w:p>
    <w:p w14:paraId="61D003C3" w14:textId="07959430" w:rsidR="006F678E" w:rsidRPr="00F4191D" w:rsidRDefault="00B00202" w:rsidP="008E5363">
      <w:pPr>
        <w:spacing w:before="120" w:after="120" w:line="276" w:lineRule="auto"/>
        <w:rPr>
          <w:rFonts w:ascii="Verdana" w:hAnsi="Verdana" w:cs="Arial"/>
        </w:rPr>
      </w:pPr>
      <w:bookmarkStart w:id="5" w:name="_Hlk519508497"/>
      <w:r w:rsidRPr="00F4191D">
        <w:rPr>
          <w:rFonts w:ascii="Verdana" w:hAnsi="Verdana"/>
          <w:b/>
          <w:bCs/>
        </w:rPr>
        <w:t>The net financial expense</w:t>
      </w:r>
      <w:r w:rsidRPr="00F4191D">
        <w:rPr>
          <w:rFonts w:ascii="Verdana" w:hAnsi="Verdana"/>
        </w:rPr>
        <w:t xml:space="preserve"> is €64 million, compared with €39 million for the same period in 2019. This increase is due to the cost of financing the acquisition and </w:t>
      </w:r>
      <w:r w:rsidR="001F489E" w:rsidRPr="00F4191D">
        <w:rPr>
          <w:rFonts w:ascii="Verdana" w:hAnsi="Verdana"/>
        </w:rPr>
        <w:t xml:space="preserve">the </w:t>
      </w:r>
      <w:r w:rsidRPr="00F4191D">
        <w:rPr>
          <w:rFonts w:ascii="Verdana" w:hAnsi="Verdana"/>
        </w:rPr>
        <w:t xml:space="preserve">debt </w:t>
      </w:r>
      <w:r w:rsidR="00621FA6" w:rsidRPr="00F4191D">
        <w:rPr>
          <w:rFonts w:ascii="Verdana" w:hAnsi="Verdana"/>
        </w:rPr>
        <w:t xml:space="preserve">carried </w:t>
      </w:r>
      <w:r w:rsidRPr="00F4191D">
        <w:rPr>
          <w:rFonts w:ascii="Verdana" w:hAnsi="Verdana"/>
        </w:rPr>
        <w:t xml:space="preserve">by </w:t>
      </w:r>
      <w:r w:rsidR="00777035" w:rsidRPr="00F4191D">
        <w:rPr>
          <w:rFonts w:ascii="Verdana" w:hAnsi="Verdana"/>
        </w:rPr>
        <w:t>Altran</w:t>
      </w:r>
      <w:r w:rsidRPr="00F4191D">
        <w:rPr>
          <w:rFonts w:ascii="Verdana" w:hAnsi="Verdana"/>
        </w:rPr>
        <w:t xml:space="preserve">. </w:t>
      </w:r>
      <w:bookmarkStart w:id="6" w:name="_Hlk519774751"/>
      <w:bookmarkEnd w:id="5"/>
    </w:p>
    <w:p w14:paraId="6388DFA2" w14:textId="091EC427" w:rsidR="00076691" w:rsidRPr="00F4191D" w:rsidRDefault="00076691" w:rsidP="008E5363">
      <w:pPr>
        <w:spacing w:before="120" w:after="120" w:line="276" w:lineRule="auto"/>
        <w:rPr>
          <w:rFonts w:ascii="Verdana" w:hAnsi="Verdana" w:cs="Arial"/>
        </w:rPr>
      </w:pPr>
      <w:r w:rsidRPr="00F4191D">
        <w:rPr>
          <w:rFonts w:ascii="Verdana" w:hAnsi="Verdana"/>
        </w:rPr>
        <w:t xml:space="preserve">The </w:t>
      </w:r>
      <w:r w:rsidRPr="00F4191D">
        <w:rPr>
          <w:rFonts w:ascii="Verdana" w:hAnsi="Verdana"/>
          <w:b/>
          <w:bCs/>
        </w:rPr>
        <w:t>income tax</w:t>
      </w:r>
      <w:r w:rsidRPr="00F4191D">
        <w:rPr>
          <w:rFonts w:ascii="Verdana" w:hAnsi="Verdana"/>
        </w:rPr>
        <w:t xml:space="preserve"> expense is €204 million and includes €26 million due to the transitional impact of the US tax reform, compared with €30 million last year. Adjusted for this transitional expense, the effective tax rate is 34.6%, compared with 32.6% in H1 2019 and FY 2019. This increase in the effective tax rate is mainly due to the temporary consequences of the consolidation of Altran</w:t>
      </w:r>
      <w:r w:rsidR="001F489E" w:rsidRPr="00F4191D">
        <w:rPr>
          <w:rFonts w:ascii="Verdana" w:hAnsi="Verdana"/>
        </w:rPr>
        <w:t xml:space="preserve"> </w:t>
      </w:r>
      <w:r w:rsidR="0041125A" w:rsidRPr="00F4191D">
        <w:rPr>
          <w:rFonts w:ascii="Verdana" w:hAnsi="Verdana"/>
        </w:rPr>
        <w:t>in the</w:t>
      </w:r>
      <w:r w:rsidR="001F489E" w:rsidRPr="00F4191D">
        <w:rPr>
          <w:rFonts w:ascii="Verdana" w:hAnsi="Verdana"/>
        </w:rPr>
        <w:t xml:space="preserve"> Group scope</w:t>
      </w:r>
      <w:r w:rsidRPr="00F4191D">
        <w:rPr>
          <w:rFonts w:ascii="Verdana" w:hAnsi="Verdana"/>
        </w:rPr>
        <w:t>.</w:t>
      </w:r>
    </w:p>
    <w:p w14:paraId="1BBA2927" w14:textId="34C205A4" w:rsidR="00B00202" w:rsidRPr="00F4191D" w:rsidRDefault="00B00202" w:rsidP="008E5363">
      <w:pPr>
        <w:spacing w:line="276" w:lineRule="auto"/>
        <w:rPr>
          <w:rFonts w:ascii="Verdana" w:hAnsi="Verdana" w:cs="Arial"/>
        </w:rPr>
      </w:pPr>
      <w:r w:rsidRPr="00F4191D">
        <w:rPr>
          <w:rFonts w:ascii="Verdana" w:hAnsi="Verdana"/>
          <w:b/>
          <w:bCs/>
        </w:rPr>
        <w:t>Net profit (Group share)</w:t>
      </w:r>
      <w:r w:rsidRPr="00F4191D">
        <w:rPr>
          <w:rFonts w:ascii="Verdana" w:hAnsi="Verdana"/>
        </w:rPr>
        <w:t xml:space="preserve"> is down -20% year-on-year to €311 million for the first six months of the year. </w:t>
      </w:r>
      <w:r w:rsidRPr="00F4191D">
        <w:rPr>
          <w:rFonts w:ascii="Verdana" w:hAnsi="Verdana"/>
          <w:b/>
        </w:rPr>
        <w:t>Basic earnings per share</w:t>
      </w:r>
      <w:r w:rsidRPr="00F4191D">
        <w:rPr>
          <w:rFonts w:ascii="Verdana" w:hAnsi="Verdana"/>
        </w:rPr>
        <w:t xml:space="preserve"> fell by -21% year-on-year to €1.86, while </w:t>
      </w:r>
      <w:r w:rsidRPr="00F4191D">
        <w:rPr>
          <w:rFonts w:ascii="Verdana" w:hAnsi="Verdana"/>
          <w:b/>
        </w:rPr>
        <w:t>normalized earnings per share</w:t>
      </w:r>
      <w:r w:rsidR="00701F43" w:rsidRPr="00913390">
        <w:rPr>
          <w:rFonts w:ascii="Verdana" w:hAnsi="Verdana" w:cs="Arial"/>
          <w:bCs/>
          <w:vertAlign w:val="superscript"/>
        </w:rPr>
        <w:fldChar w:fldCharType="begin"/>
      </w:r>
      <w:r w:rsidR="00701F43" w:rsidRPr="00913390">
        <w:rPr>
          <w:rFonts w:ascii="Verdana" w:hAnsi="Verdana" w:cs="Arial"/>
          <w:bCs/>
          <w:vertAlign w:val="superscript"/>
        </w:rPr>
        <w:instrText xml:space="preserve"> NOTEREF _Ref13738408 \h  \* MERGEFORMAT </w:instrText>
      </w:r>
      <w:r w:rsidR="00701F43" w:rsidRPr="00913390">
        <w:rPr>
          <w:rFonts w:ascii="Verdana" w:hAnsi="Verdana" w:cs="Arial"/>
          <w:bCs/>
          <w:vertAlign w:val="superscript"/>
        </w:rPr>
      </w:r>
      <w:r w:rsidR="00701F43" w:rsidRPr="00913390">
        <w:rPr>
          <w:rFonts w:ascii="Verdana" w:hAnsi="Verdana" w:cs="Arial"/>
          <w:bCs/>
          <w:vertAlign w:val="superscript"/>
        </w:rPr>
        <w:fldChar w:fldCharType="separate"/>
      </w:r>
      <w:r w:rsidR="00141EF2" w:rsidRPr="00913390">
        <w:rPr>
          <w:bCs/>
          <w:vertAlign w:val="superscript"/>
        </w:rPr>
        <w:t>*</w:t>
      </w:r>
      <w:r w:rsidR="00701F43" w:rsidRPr="00913390">
        <w:rPr>
          <w:rFonts w:ascii="Verdana" w:hAnsi="Verdana" w:cs="Arial"/>
          <w:bCs/>
          <w:vertAlign w:val="superscript"/>
        </w:rPr>
        <w:fldChar w:fldCharType="end"/>
      </w:r>
      <w:r w:rsidRPr="00F4191D">
        <w:rPr>
          <w:rFonts w:ascii="Verdana" w:hAnsi="Verdana"/>
        </w:rPr>
        <w:t xml:space="preserve"> withstood well with a moderate decline of -4% to €2.80. Normalized earnings per share adjusted for the transitional tax expense also fell -4% to €2.95.</w:t>
      </w:r>
    </w:p>
    <w:bookmarkEnd w:id="6"/>
    <w:p w14:paraId="78D3F7DC" w14:textId="0F5898C6" w:rsidR="00216752" w:rsidRPr="00F4191D" w:rsidRDefault="00E06107" w:rsidP="008E5363">
      <w:pPr>
        <w:spacing w:before="120" w:after="120" w:line="276" w:lineRule="auto"/>
        <w:rPr>
          <w:rFonts w:ascii="Verdana" w:hAnsi="Verdana" w:cs="Arial"/>
        </w:rPr>
      </w:pPr>
      <w:r w:rsidRPr="00F4191D">
        <w:rPr>
          <w:rFonts w:ascii="Verdana" w:hAnsi="Verdana"/>
        </w:rPr>
        <w:t xml:space="preserve">The Group generated </w:t>
      </w:r>
      <w:r w:rsidRPr="00F4191D">
        <w:rPr>
          <w:rFonts w:ascii="Verdana" w:hAnsi="Verdana"/>
          <w:b/>
          <w:bCs/>
        </w:rPr>
        <w:t>organic free cash flow</w:t>
      </w:r>
      <w:r w:rsidR="00701F43" w:rsidRPr="00F4191D">
        <w:rPr>
          <w:rFonts w:ascii="Verdana" w:hAnsi="Verdana" w:cs="Arial"/>
          <w:bCs/>
          <w:vertAlign w:val="superscript"/>
        </w:rPr>
        <w:fldChar w:fldCharType="begin"/>
      </w:r>
      <w:r w:rsidR="00701F43" w:rsidRPr="00F4191D">
        <w:rPr>
          <w:rFonts w:ascii="Verdana" w:hAnsi="Verdana" w:cs="Arial"/>
          <w:bCs/>
          <w:vertAlign w:val="superscript"/>
        </w:rPr>
        <w:instrText xml:space="preserve"> NOTEREF _Ref13738408 \h  \* MERGEFORMAT </w:instrText>
      </w:r>
      <w:r w:rsidR="00701F43" w:rsidRPr="00F4191D">
        <w:rPr>
          <w:rFonts w:ascii="Verdana" w:hAnsi="Verdana" w:cs="Arial"/>
          <w:bCs/>
          <w:vertAlign w:val="superscript"/>
        </w:rPr>
      </w:r>
      <w:r w:rsidR="00701F43" w:rsidRPr="00F4191D">
        <w:rPr>
          <w:rFonts w:ascii="Verdana" w:hAnsi="Verdana" w:cs="Arial"/>
          <w:bCs/>
          <w:vertAlign w:val="superscript"/>
        </w:rPr>
        <w:fldChar w:fldCharType="separate"/>
      </w:r>
      <w:r w:rsidR="00141EF2" w:rsidRPr="00141EF2">
        <w:rPr>
          <w:bCs/>
        </w:rPr>
        <w:t>*</w:t>
      </w:r>
      <w:r w:rsidR="00701F43" w:rsidRPr="00F4191D">
        <w:rPr>
          <w:rFonts w:ascii="Verdana" w:hAnsi="Verdana" w:cs="Arial"/>
          <w:bCs/>
          <w:vertAlign w:val="superscript"/>
        </w:rPr>
        <w:fldChar w:fldCharType="end"/>
      </w:r>
      <w:r w:rsidRPr="00F4191D">
        <w:rPr>
          <w:rFonts w:ascii="Verdana" w:hAnsi="Verdana"/>
        </w:rPr>
        <w:t xml:space="preserve"> of €106 million, compared with €90 million in 2019, despite the increase in financial and other operating expenses related to the acquisition of Altran.</w:t>
      </w:r>
    </w:p>
    <w:p w14:paraId="4FC96D0C" w14:textId="4430E36E" w:rsidR="00B00202" w:rsidRPr="00F4191D" w:rsidRDefault="00807252" w:rsidP="008E5363">
      <w:pPr>
        <w:spacing w:before="120" w:after="120" w:line="276" w:lineRule="auto"/>
        <w:rPr>
          <w:rFonts w:ascii="Verdana" w:hAnsi="Verdana" w:cs="Arial"/>
        </w:rPr>
      </w:pPr>
      <w:r w:rsidRPr="00F4191D">
        <w:rPr>
          <w:rFonts w:ascii="Verdana" w:hAnsi="Verdana"/>
        </w:rPr>
        <w:t xml:space="preserve">Return to shareholders totaled €426 million in H1 2020, with €200 million allocated to the multi-year Capgemini SE share buyback program and €226 million allocated to the payment of dividends (€1.35 per share, after a 29% reduction on the initial proposal decided by the Board of Directors as part of solidarity measures). In addition, the Group disbursed </w:t>
      </w:r>
      <w:r w:rsidR="0000143E" w:rsidRPr="00F4191D">
        <w:rPr>
          <w:rFonts w:ascii="Verdana" w:hAnsi="Verdana"/>
        </w:rPr>
        <w:t xml:space="preserve">a net amount of </w:t>
      </w:r>
      <w:r w:rsidRPr="00F4191D">
        <w:rPr>
          <w:rFonts w:ascii="Verdana" w:hAnsi="Verdana"/>
        </w:rPr>
        <w:t>€3,234 million</w:t>
      </w:r>
      <w:r w:rsidR="0000143E" w:rsidRPr="00F4191D">
        <w:rPr>
          <w:rFonts w:ascii="Verdana" w:hAnsi="Verdana"/>
        </w:rPr>
        <w:t xml:space="preserve"> </w:t>
      </w:r>
      <w:r w:rsidRPr="00F4191D">
        <w:rPr>
          <w:rFonts w:ascii="Verdana" w:hAnsi="Verdana"/>
        </w:rPr>
        <w:t xml:space="preserve">for external growth transactions during the period, mainly comprising 2020 outflows for the acquisition of Altran (see specific </w:t>
      </w:r>
      <w:r w:rsidR="00FF187B" w:rsidRPr="00F4191D">
        <w:rPr>
          <w:rFonts w:ascii="Verdana" w:hAnsi="Verdana"/>
        </w:rPr>
        <w:t xml:space="preserve">section </w:t>
      </w:r>
      <w:r w:rsidRPr="00F4191D">
        <w:rPr>
          <w:rFonts w:ascii="Verdana" w:hAnsi="Verdana"/>
        </w:rPr>
        <w:t>below).</w:t>
      </w:r>
    </w:p>
    <w:p w14:paraId="4E1FAD3D" w14:textId="12A69B21" w:rsidR="00042751" w:rsidRPr="00F4191D" w:rsidRDefault="00042751" w:rsidP="008E5363">
      <w:pPr>
        <w:spacing w:before="120" w:after="120" w:line="276" w:lineRule="auto"/>
        <w:rPr>
          <w:rFonts w:ascii="Verdana" w:hAnsi="Verdana" w:cs="Arial"/>
        </w:rPr>
      </w:pPr>
    </w:p>
    <w:p w14:paraId="69D75CC6" w14:textId="7547F66C" w:rsidR="00042751" w:rsidRPr="00F4191D" w:rsidRDefault="00325F27" w:rsidP="008E5363">
      <w:pPr>
        <w:keepNext/>
        <w:spacing w:before="120" w:after="120" w:line="276" w:lineRule="auto"/>
        <w:jc w:val="left"/>
        <w:rPr>
          <w:rFonts w:ascii="Verdana" w:hAnsi="Verdana" w:cs="Arial"/>
          <w:b/>
          <w:bCs/>
        </w:rPr>
      </w:pPr>
      <w:r w:rsidRPr="00F4191D">
        <w:rPr>
          <w:rFonts w:ascii="Verdana" w:hAnsi="Verdana"/>
          <w:b/>
          <w:bCs/>
        </w:rPr>
        <w:t>OPERATIONS BY REGION</w:t>
      </w:r>
    </w:p>
    <w:tbl>
      <w:tblPr>
        <w:tblW w:w="8280" w:type="dxa"/>
        <w:jc w:val="center"/>
        <w:tblLayout w:type="fixed"/>
        <w:tblCellMar>
          <w:left w:w="0" w:type="dxa"/>
          <w:right w:w="0" w:type="dxa"/>
        </w:tblCellMar>
        <w:tblLook w:val="01E0" w:firstRow="1" w:lastRow="1" w:firstColumn="1" w:lastColumn="1" w:noHBand="0" w:noVBand="0"/>
      </w:tblPr>
      <w:tblGrid>
        <w:gridCol w:w="3261"/>
        <w:gridCol w:w="57"/>
        <w:gridCol w:w="1502"/>
        <w:gridCol w:w="1644"/>
        <w:gridCol w:w="1559"/>
        <w:gridCol w:w="257"/>
      </w:tblGrid>
      <w:tr w:rsidR="00042751" w:rsidRPr="00F4191D" w14:paraId="1A80548E" w14:textId="77777777" w:rsidTr="00E33335">
        <w:trPr>
          <w:trHeight w:hRule="exact" w:val="620"/>
          <w:jc w:val="center"/>
        </w:trPr>
        <w:tc>
          <w:tcPr>
            <w:tcW w:w="3261" w:type="dxa"/>
          </w:tcPr>
          <w:p w14:paraId="667DEB96" w14:textId="77777777" w:rsidR="00042751" w:rsidRPr="00F4191D" w:rsidRDefault="00042751" w:rsidP="008E5363">
            <w:pPr>
              <w:keepNext/>
              <w:spacing w:line="276" w:lineRule="auto"/>
              <w:rPr>
                <w:sz w:val="16"/>
                <w:szCs w:val="16"/>
              </w:rPr>
            </w:pPr>
          </w:p>
        </w:tc>
        <w:tc>
          <w:tcPr>
            <w:tcW w:w="57" w:type="dxa"/>
          </w:tcPr>
          <w:p w14:paraId="07C3BB94" w14:textId="77777777" w:rsidR="00042751" w:rsidRPr="00F4191D" w:rsidRDefault="00042751" w:rsidP="008E5363">
            <w:pPr>
              <w:pStyle w:val="TableParagraph"/>
              <w:keepNext/>
              <w:spacing w:line="276" w:lineRule="auto"/>
              <w:ind w:right="105"/>
              <w:jc w:val="center"/>
              <w:rPr>
                <w:b/>
                <w:sz w:val="16"/>
                <w:szCs w:val="16"/>
              </w:rPr>
            </w:pPr>
          </w:p>
        </w:tc>
        <w:tc>
          <w:tcPr>
            <w:tcW w:w="4962" w:type="dxa"/>
            <w:gridSpan w:val="4"/>
            <w:tcBorders>
              <w:bottom w:val="single" w:sz="8" w:space="0" w:color="0070AD" w:themeColor="accent1"/>
            </w:tcBorders>
            <w:vAlign w:val="center"/>
          </w:tcPr>
          <w:p w14:paraId="7AFFC752" w14:textId="77777777" w:rsidR="00042751" w:rsidRPr="00F4191D" w:rsidRDefault="00042751" w:rsidP="008E5363">
            <w:pPr>
              <w:pStyle w:val="TableParagraph"/>
              <w:keepNext/>
              <w:spacing w:line="276" w:lineRule="auto"/>
              <w:ind w:right="-1"/>
              <w:jc w:val="center"/>
              <w:rPr>
                <w:b/>
                <w:sz w:val="16"/>
                <w:szCs w:val="16"/>
              </w:rPr>
            </w:pPr>
            <w:r w:rsidRPr="00F4191D">
              <w:rPr>
                <w:b/>
                <w:sz w:val="16"/>
                <w:szCs w:val="16"/>
              </w:rPr>
              <w:t xml:space="preserve">Change in revenues vs. 2019 </w:t>
            </w:r>
            <w:r w:rsidRPr="00F4191D">
              <w:rPr>
                <w:b/>
                <w:sz w:val="16"/>
                <w:szCs w:val="16"/>
              </w:rPr>
              <w:br/>
              <w:t xml:space="preserve">at constant exchange rates </w:t>
            </w:r>
          </w:p>
          <w:p w14:paraId="16F39AA4" w14:textId="653F26AA" w:rsidR="00042751" w:rsidRPr="00F4191D" w:rsidRDefault="00042751" w:rsidP="008E5363">
            <w:pPr>
              <w:pStyle w:val="TableParagraph"/>
              <w:keepNext/>
              <w:spacing w:line="276" w:lineRule="auto"/>
              <w:ind w:right="-1"/>
              <w:jc w:val="center"/>
              <w:rPr>
                <w:b/>
                <w:sz w:val="16"/>
                <w:szCs w:val="16"/>
              </w:rPr>
            </w:pPr>
          </w:p>
        </w:tc>
      </w:tr>
      <w:tr w:rsidR="00042751" w:rsidRPr="00F4191D" w14:paraId="5515E81D" w14:textId="77777777" w:rsidTr="006B1196">
        <w:trPr>
          <w:trHeight w:hRule="exact" w:val="498"/>
          <w:jc w:val="center"/>
        </w:trPr>
        <w:tc>
          <w:tcPr>
            <w:tcW w:w="3261" w:type="dxa"/>
            <w:tcBorders>
              <w:bottom w:val="single" w:sz="8" w:space="0" w:color="0070AD" w:themeColor="accent1"/>
            </w:tcBorders>
          </w:tcPr>
          <w:p w14:paraId="4838904C" w14:textId="77777777" w:rsidR="00042751" w:rsidRPr="00F4191D" w:rsidRDefault="00042751" w:rsidP="008E5363">
            <w:pPr>
              <w:keepNext/>
              <w:spacing w:line="276" w:lineRule="auto"/>
              <w:rPr>
                <w:sz w:val="16"/>
                <w:szCs w:val="16"/>
              </w:rPr>
            </w:pPr>
          </w:p>
        </w:tc>
        <w:tc>
          <w:tcPr>
            <w:tcW w:w="57" w:type="dxa"/>
            <w:tcBorders>
              <w:bottom w:val="single" w:sz="8" w:space="0" w:color="0070AD" w:themeColor="accent1"/>
            </w:tcBorders>
          </w:tcPr>
          <w:p w14:paraId="3D047CBD" w14:textId="77777777" w:rsidR="00042751" w:rsidRPr="00F4191D" w:rsidRDefault="00042751" w:rsidP="008E5363">
            <w:pPr>
              <w:pStyle w:val="TableParagraph"/>
              <w:keepNext/>
              <w:spacing w:before="27" w:line="276" w:lineRule="auto"/>
              <w:ind w:right="162" w:firstLine="26"/>
              <w:jc w:val="center"/>
              <w:rPr>
                <w:b/>
                <w:sz w:val="16"/>
                <w:szCs w:val="16"/>
              </w:rPr>
            </w:pPr>
          </w:p>
        </w:tc>
        <w:tc>
          <w:tcPr>
            <w:tcW w:w="1502" w:type="dxa"/>
            <w:tcBorders>
              <w:top w:val="single" w:sz="8" w:space="0" w:color="0070AD" w:themeColor="accent1"/>
              <w:bottom w:val="single" w:sz="8" w:space="0" w:color="0070AD" w:themeColor="accent1"/>
            </w:tcBorders>
            <w:vAlign w:val="center"/>
          </w:tcPr>
          <w:p w14:paraId="70324349" w14:textId="77777777" w:rsidR="00042751" w:rsidRPr="00F4191D" w:rsidRDefault="00042751" w:rsidP="008E5363">
            <w:pPr>
              <w:pStyle w:val="TableParagraph"/>
              <w:keepNext/>
              <w:spacing w:before="27" w:line="276" w:lineRule="auto"/>
              <w:jc w:val="center"/>
              <w:rPr>
                <w:rFonts w:eastAsia="Arial" w:cs="Arial"/>
                <w:b/>
                <w:sz w:val="16"/>
                <w:szCs w:val="16"/>
              </w:rPr>
            </w:pPr>
            <w:r w:rsidRPr="00F4191D">
              <w:rPr>
                <w:b/>
                <w:sz w:val="16"/>
                <w:szCs w:val="16"/>
              </w:rPr>
              <w:t>Q1 2020</w:t>
            </w:r>
          </w:p>
        </w:tc>
        <w:tc>
          <w:tcPr>
            <w:tcW w:w="1644" w:type="dxa"/>
            <w:tcBorders>
              <w:top w:val="single" w:sz="8" w:space="0" w:color="0070AD" w:themeColor="accent1"/>
              <w:bottom w:val="single" w:sz="8" w:space="0" w:color="0070AD" w:themeColor="accent1"/>
            </w:tcBorders>
            <w:shd w:val="clear" w:color="auto" w:fill="auto"/>
            <w:vAlign w:val="center"/>
          </w:tcPr>
          <w:p w14:paraId="534C458C" w14:textId="77777777" w:rsidR="00042751" w:rsidRPr="00F4191D" w:rsidRDefault="00042751" w:rsidP="008E5363">
            <w:pPr>
              <w:pStyle w:val="TableParagraph"/>
              <w:keepNext/>
              <w:spacing w:before="27" w:line="276" w:lineRule="auto"/>
              <w:ind w:right="-1"/>
              <w:jc w:val="center"/>
              <w:rPr>
                <w:b/>
                <w:sz w:val="16"/>
                <w:szCs w:val="16"/>
              </w:rPr>
            </w:pPr>
            <w:r w:rsidRPr="00F4191D">
              <w:rPr>
                <w:b/>
                <w:sz w:val="16"/>
                <w:szCs w:val="16"/>
              </w:rPr>
              <w:t>Q2 2020</w:t>
            </w:r>
          </w:p>
        </w:tc>
        <w:tc>
          <w:tcPr>
            <w:tcW w:w="1559" w:type="dxa"/>
            <w:tcBorders>
              <w:top w:val="single" w:sz="8" w:space="0" w:color="0070AD" w:themeColor="accent1"/>
              <w:bottom w:val="single" w:sz="8" w:space="0" w:color="0070AD" w:themeColor="accent1"/>
            </w:tcBorders>
            <w:shd w:val="clear" w:color="auto" w:fill="BBE7FF" w:themeFill="accent1" w:themeFillTint="33"/>
            <w:vAlign w:val="center"/>
          </w:tcPr>
          <w:p w14:paraId="3014F9C8" w14:textId="77777777" w:rsidR="00042751" w:rsidRPr="00F4191D" w:rsidRDefault="00042751" w:rsidP="008E5363">
            <w:pPr>
              <w:pStyle w:val="TableParagraph"/>
              <w:keepNext/>
              <w:spacing w:before="27" w:line="276" w:lineRule="auto"/>
              <w:ind w:right="-1"/>
              <w:jc w:val="center"/>
              <w:rPr>
                <w:b/>
                <w:sz w:val="16"/>
                <w:szCs w:val="16"/>
              </w:rPr>
            </w:pPr>
            <w:r w:rsidRPr="00F4191D">
              <w:rPr>
                <w:b/>
                <w:sz w:val="16"/>
                <w:szCs w:val="16"/>
              </w:rPr>
              <w:t>H1 2020</w:t>
            </w:r>
          </w:p>
        </w:tc>
        <w:tc>
          <w:tcPr>
            <w:tcW w:w="257" w:type="dxa"/>
            <w:tcBorders>
              <w:top w:val="single" w:sz="8" w:space="0" w:color="0070AD" w:themeColor="accent1"/>
              <w:bottom w:val="single" w:sz="8" w:space="0" w:color="0070AD" w:themeColor="accent1"/>
            </w:tcBorders>
          </w:tcPr>
          <w:p w14:paraId="2FBF330B" w14:textId="77777777" w:rsidR="00042751" w:rsidRPr="00F4191D" w:rsidRDefault="00042751" w:rsidP="008E5363">
            <w:pPr>
              <w:pStyle w:val="TableParagraph"/>
              <w:keepNext/>
              <w:spacing w:before="27" w:line="276" w:lineRule="auto"/>
              <w:ind w:right="-1"/>
              <w:jc w:val="center"/>
              <w:rPr>
                <w:b/>
                <w:sz w:val="16"/>
                <w:szCs w:val="16"/>
              </w:rPr>
            </w:pPr>
          </w:p>
        </w:tc>
      </w:tr>
      <w:tr w:rsidR="00042751" w:rsidRPr="00F4191D" w14:paraId="1ABFD47E" w14:textId="77777777" w:rsidTr="006B1196">
        <w:trPr>
          <w:trHeight w:val="227"/>
          <w:jc w:val="center"/>
        </w:trPr>
        <w:tc>
          <w:tcPr>
            <w:tcW w:w="3261" w:type="dxa"/>
            <w:tcBorders>
              <w:top w:val="single" w:sz="8" w:space="0" w:color="0070AD" w:themeColor="accent1"/>
            </w:tcBorders>
            <w:vAlign w:val="center"/>
          </w:tcPr>
          <w:p w14:paraId="44768670" w14:textId="77777777" w:rsidR="00042751" w:rsidRPr="00F4191D" w:rsidRDefault="00042751" w:rsidP="008E5363">
            <w:pPr>
              <w:pStyle w:val="TableParagraph"/>
              <w:keepNext/>
              <w:spacing w:before="100" w:beforeAutospacing="1" w:after="100" w:afterAutospacing="1" w:line="276" w:lineRule="auto"/>
              <w:ind w:left="142"/>
              <w:rPr>
                <w:sz w:val="16"/>
                <w:szCs w:val="16"/>
              </w:rPr>
            </w:pPr>
            <w:r w:rsidRPr="00F4191D">
              <w:rPr>
                <w:sz w:val="16"/>
                <w:szCs w:val="16"/>
              </w:rPr>
              <w:t>North America</w:t>
            </w:r>
          </w:p>
        </w:tc>
        <w:tc>
          <w:tcPr>
            <w:tcW w:w="57" w:type="dxa"/>
            <w:tcBorders>
              <w:top w:val="single" w:sz="8" w:space="0" w:color="0070AD"/>
              <w:left w:val="nil"/>
              <w:bottom w:val="nil"/>
              <w:right w:val="nil"/>
            </w:tcBorders>
            <w:shd w:val="clear" w:color="auto" w:fill="auto"/>
            <w:vAlign w:val="center"/>
          </w:tcPr>
          <w:p w14:paraId="121051BA" w14:textId="77777777" w:rsidR="00042751" w:rsidRPr="00F4191D" w:rsidRDefault="00042751" w:rsidP="008E5363">
            <w:pPr>
              <w:pStyle w:val="TableParagraph"/>
              <w:keepNext/>
              <w:spacing w:before="100" w:beforeAutospacing="1" w:after="100" w:afterAutospacing="1" w:line="276" w:lineRule="auto"/>
              <w:ind w:left="1" w:right="537"/>
              <w:jc w:val="right"/>
              <w:rPr>
                <w:sz w:val="16"/>
                <w:szCs w:val="16"/>
              </w:rPr>
            </w:pPr>
            <w:r w:rsidRPr="00F4191D">
              <w:rPr>
                <w:sz w:val="16"/>
                <w:szCs w:val="16"/>
              </w:rPr>
              <w:t> </w:t>
            </w:r>
          </w:p>
        </w:tc>
        <w:tc>
          <w:tcPr>
            <w:tcW w:w="1502" w:type="dxa"/>
            <w:tcBorders>
              <w:top w:val="single" w:sz="8" w:space="0" w:color="0070AD"/>
              <w:left w:val="nil"/>
              <w:bottom w:val="nil"/>
              <w:right w:val="nil"/>
            </w:tcBorders>
            <w:shd w:val="clear" w:color="auto" w:fill="auto"/>
            <w:vAlign w:val="center"/>
          </w:tcPr>
          <w:p w14:paraId="171C1AA6"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-0.6%</w:t>
            </w:r>
          </w:p>
        </w:tc>
        <w:tc>
          <w:tcPr>
            <w:tcW w:w="1644" w:type="dxa"/>
            <w:tcBorders>
              <w:top w:val="single" w:sz="8" w:space="0" w:color="0070AD"/>
              <w:left w:val="nil"/>
              <w:bottom w:val="nil"/>
              <w:right w:val="nil"/>
            </w:tcBorders>
            <w:shd w:val="clear" w:color="auto" w:fill="auto"/>
            <w:vAlign w:val="center"/>
          </w:tcPr>
          <w:p w14:paraId="2C37101F"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+9.0%</w:t>
            </w:r>
          </w:p>
        </w:tc>
        <w:tc>
          <w:tcPr>
            <w:tcW w:w="1559" w:type="dxa"/>
            <w:tcBorders>
              <w:top w:val="single" w:sz="8" w:space="0" w:color="0070AD"/>
              <w:left w:val="nil"/>
              <w:bottom w:val="nil"/>
              <w:right w:val="nil"/>
            </w:tcBorders>
            <w:shd w:val="clear" w:color="auto" w:fill="BBE7FF" w:themeFill="accent1" w:themeFillTint="33"/>
            <w:vAlign w:val="center"/>
          </w:tcPr>
          <w:p w14:paraId="5772497B"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+4.2%</w:t>
            </w:r>
          </w:p>
        </w:tc>
        <w:tc>
          <w:tcPr>
            <w:tcW w:w="257" w:type="dxa"/>
            <w:tcBorders>
              <w:top w:val="single" w:sz="8" w:space="0" w:color="0070AD"/>
              <w:left w:val="nil"/>
              <w:bottom w:val="nil"/>
              <w:right w:val="nil"/>
            </w:tcBorders>
          </w:tcPr>
          <w:p w14:paraId="5679D3D1"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p>
        </w:tc>
      </w:tr>
      <w:tr w:rsidR="00042751" w:rsidRPr="00F4191D" w14:paraId="33B236CF" w14:textId="77777777" w:rsidTr="006B1196">
        <w:trPr>
          <w:trHeight w:val="227"/>
          <w:jc w:val="center"/>
        </w:trPr>
        <w:tc>
          <w:tcPr>
            <w:tcW w:w="3261" w:type="dxa"/>
            <w:vAlign w:val="center"/>
          </w:tcPr>
          <w:p w14:paraId="4C4797E6" w14:textId="77777777" w:rsidR="00042751" w:rsidRPr="00F4191D" w:rsidRDefault="00042751" w:rsidP="008E5363">
            <w:pPr>
              <w:pStyle w:val="TableParagraph"/>
              <w:keepNext/>
              <w:spacing w:before="100" w:beforeAutospacing="1" w:after="100" w:afterAutospacing="1" w:line="276" w:lineRule="auto"/>
              <w:ind w:left="142"/>
              <w:rPr>
                <w:sz w:val="16"/>
                <w:szCs w:val="16"/>
              </w:rPr>
            </w:pPr>
            <w:r w:rsidRPr="00F4191D">
              <w:rPr>
                <w:sz w:val="16"/>
                <w:szCs w:val="16"/>
              </w:rPr>
              <w:t>United Kingdom and Ireland</w:t>
            </w:r>
          </w:p>
        </w:tc>
        <w:tc>
          <w:tcPr>
            <w:tcW w:w="57" w:type="dxa"/>
            <w:tcBorders>
              <w:top w:val="nil"/>
              <w:left w:val="nil"/>
              <w:bottom w:val="nil"/>
              <w:right w:val="nil"/>
            </w:tcBorders>
            <w:shd w:val="clear" w:color="auto" w:fill="auto"/>
            <w:vAlign w:val="center"/>
          </w:tcPr>
          <w:p w14:paraId="719B403F" w14:textId="77777777" w:rsidR="00042751" w:rsidRPr="00F4191D" w:rsidRDefault="00042751" w:rsidP="008E5363">
            <w:pPr>
              <w:pStyle w:val="TableParagraph"/>
              <w:keepNext/>
              <w:spacing w:before="100" w:beforeAutospacing="1" w:after="100" w:afterAutospacing="1" w:line="276" w:lineRule="auto"/>
              <w:ind w:left="1" w:right="537"/>
              <w:jc w:val="right"/>
              <w:rPr>
                <w:sz w:val="16"/>
                <w:szCs w:val="16"/>
              </w:rPr>
            </w:pPr>
          </w:p>
        </w:tc>
        <w:tc>
          <w:tcPr>
            <w:tcW w:w="1502" w:type="dxa"/>
            <w:tcBorders>
              <w:top w:val="nil"/>
              <w:left w:val="nil"/>
              <w:bottom w:val="nil"/>
              <w:right w:val="nil"/>
            </w:tcBorders>
            <w:shd w:val="clear" w:color="auto" w:fill="auto"/>
            <w:vAlign w:val="center"/>
          </w:tcPr>
          <w:p w14:paraId="6BFCAE17"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-2.6%</w:t>
            </w:r>
          </w:p>
        </w:tc>
        <w:tc>
          <w:tcPr>
            <w:tcW w:w="1644" w:type="dxa"/>
            <w:tcBorders>
              <w:top w:val="nil"/>
              <w:left w:val="nil"/>
              <w:bottom w:val="nil"/>
              <w:right w:val="nil"/>
            </w:tcBorders>
            <w:shd w:val="clear" w:color="auto" w:fill="auto"/>
            <w:vAlign w:val="center"/>
          </w:tcPr>
          <w:p w14:paraId="57AF9646"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+3.7%</w:t>
            </w:r>
          </w:p>
        </w:tc>
        <w:tc>
          <w:tcPr>
            <w:tcW w:w="1559" w:type="dxa"/>
            <w:tcBorders>
              <w:top w:val="nil"/>
              <w:left w:val="nil"/>
              <w:bottom w:val="nil"/>
              <w:right w:val="nil"/>
            </w:tcBorders>
            <w:shd w:val="clear" w:color="auto" w:fill="BBE7FF" w:themeFill="accent1" w:themeFillTint="33"/>
            <w:vAlign w:val="center"/>
          </w:tcPr>
          <w:p w14:paraId="0624E741"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+0.6%</w:t>
            </w:r>
          </w:p>
        </w:tc>
        <w:tc>
          <w:tcPr>
            <w:tcW w:w="257" w:type="dxa"/>
            <w:tcBorders>
              <w:top w:val="nil"/>
              <w:left w:val="nil"/>
              <w:bottom w:val="nil"/>
              <w:right w:val="nil"/>
            </w:tcBorders>
          </w:tcPr>
          <w:p w14:paraId="50C86AB3"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p>
        </w:tc>
      </w:tr>
      <w:tr w:rsidR="00042751" w:rsidRPr="00F4191D" w14:paraId="1A612BC4" w14:textId="77777777" w:rsidTr="006B1196">
        <w:trPr>
          <w:trHeight w:val="227"/>
          <w:jc w:val="center"/>
        </w:trPr>
        <w:tc>
          <w:tcPr>
            <w:tcW w:w="3261" w:type="dxa"/>
            <w:vAlign w:val="center"/>
          </w:tcPr>
          <w:p w14:paraId="56ED7E9C" w14:textId="77777777" w:rsidR="00042751" w:rsidRPr="00F4191D" w:rsidRDefault="00042751" w:rsidP="008E5363">
            <w:pPr>
              <w:pStyle w:val="TableParagraph"/>
              <w:keepNext/>
              <w:spacing w:before="100" w:beforeAutospacing="1" w:after="100" w:afterAutospacing="1" w:line="276" w:lineRule="auto"/>
              <w:ind w:left="142"/>
              <w:rPr>
                <w:rFonts w:eastAsia="Arial" w:cs="Arial"/>
                <w:sz w:val="16"/>
                <w:szCs w:val="16"/>
              </w:rPr>
            </w:pPr>
            <w:r w:rsidRPr="00F4191D">
              <w:rPr>
                <w:sz w:val="16"/>
                <w:szCs w:val="16"/>
              </w:rPr>
              <w:t>France</w:t>
            </w:r>
          </w:p>
        </w:tc>
        <w:tc>
          <w:tcPr>
            <w:tcW w:w="57" w:type="dxa"/>
            <w:tcBorders>
              <w:top w:val="nil"/>
              <w:left w:val="nil"/>
              <w:bottom w:val="nil"/>
              <w:right w:val="nil"/>
            </w:tcBorders>
            <w:shd w:val="clear" w:color="auto" w:fill="auto"/>
            <w:vAlign w:val="center"/>
          </w:tcPr>
          <w:p w14:paraId="701F1796" w14:textId="77777777" w:rsidR="00042751" w:rsidRPr="00F4191D" w:rsidRDefault="00042751" w:rsidP="008E5363">
            <w:pPr>
              <w:pStyle w:val="TableParagraph"/>
              <w:keepNext/>
              <w:spacing w:before="100" w:beforeAutospacing="1" w:after="100" w:afterAutospacing="1" w:line="276" w:lineRule="auto"/>
              <w:ind w:left="1" w:right="537"/>
              <w:jc w:val="right"/>
              <w:rPr>
                <w:sz w:val="16"/>
                <w:szCs w:val="16"/>
              </w:rPr>
            </w:pPr>
          </w:p>
        </w:tc>
        <w:tc>
          <w:tcPr>
            <w:tcW w:w="1502" w:type="dxa"/>
            <w:tcBorders>
              <w:top w:val="nil"/>
              <w:left w:val="nil"/>
              <w:bottom w:val="nil"/>
              <w:right w:val="nil"/>
            </w:tcBorders>
            <w:shd w:val="clear" w:color="auto" w:fill="auto"/>
            <w:vAlign w:val="center"/>
          </w:tcPr>
          <w:p w14:paraId="73D8CB6D"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+3.3%</w:t>
            </w:r>
          </w:p>
        </w:tc>
        <w:tc>
          <w:tcPr>
            <w:tcW w:w="1644" w:type="dxa"/>
            <w:tcBorders>
              <w:top w:val="nil"/>
              <w:left w:val="nil"/>
              <w:bottom w:val="nil"/>
              <w:right w:val="nil"/>
            </w:tcBorders>
            <w:shd w:val="clear" w:color="auto" w:fill="auto"/>
            <w:vAlign w:val="center"/>
          </w:tcPr>
          <w:p w14:paraId="5F011134"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+11.8%</w:t>
            </w:r>
          </w:p>
        </w:tc>
        <w:tc>
          <w:tcPr>
            <w:tcW w:w="1559" w:type="dxa"/>
            <w:tcBorders>
              <w:top w:val="nil"/>
              <w:left w:val="nil"/>
              <w:bottom w:val="nil"/>
              <w:right w:val="nil"/>
            </w:tcBorders>
            <w:shd w:val="clear" w:color="auto" w:fill="BBE7FF" w:themeFill="accent1" w:themeFillTint="33"/>
            <w:vAlign w:val="center"/>
          </w:tcPr>
          <w:p w14:paraId="46FDD46D"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+7.6%</w:t>
            </w:r>
          </w:p>
        </w:tc>
        <w:tc>
          <w:tcPr>
            <w:tcW w:w="257" w:type="dxa"/>
            <w:tcBorders>
              <w:top w:val="nil"/>
              <w:left w:val="nil"/>
              <w:bottom w:val="nil"/>
              <w:right w:val="nil"/>
            </w:tcBorders>
          </w:tcPr>
          <w:p w14:paraId="12CB3FF4"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p>
        </w:tc>
      </w:tr>
      <w:tr w:rsidR="00042751" w:rsidRPr="00F4191D" w14:paraId="09C6861A" w14:textId="77777777" w:rsidTr="006B1196">
        <w:trPr>
          <w:trHeight w:val="227"/>
          <w:jc w:val="center"/>
        </w:trPr>
        <w:tc>
          <w:tcPr>
            <w:tcW w:w="3261" w:type="dxa"/>
            <w:vAlign w:val="center"/>
          </w:tcPr>
          <w:p w14:paraId="1CD8B38E" w14:textId="77777777" w:rsidR="00042751" w:rsidRPr="00F4191D" w:rsidRDefault="00042751" w:rsidP="008E5363">
            <w:pPr>
              <w:pStyle w:val="TableParagraph"/>
              <w:keepNext/>
              <w:spacing w:before="100" w:beforeAutospacing="1" w:after="100" w:afterAutospacing="1" w:line="276" w:lineRule="auto"/>
              <w:ind w:left="142"/>
              <w:rPr>
                <w:sz w:val="16"/>
                <w:szCs w:val="16"/>
              </w:rPr>
            </w:pPr>
            <w:r w:rsidRPr="00F4191D">
              <w:rPr>
                <w:sz w:val="16"/>
                <w:szCs w:val="16"/>
              </w:rPr>
              <w:t>Rest of Europe</w:t>
            </w:r>
          </w:p>
        </w:tc>
        <w:tc>
          <w:tcPr>
            <w:tcW w:w="57" w:type="dxa"/>
            <w:tcBorders>
              <w:top w:val="nil"/>
              <w:left w:val="nil"/>
              <w:bottom w:val="nil"/>
              <w:right w:val="nil"/>
            </w:tcBorders>
            <w:shd w:val="clear" w:color="auto" w:fill="auto"/>
            <w:vAlign w:val="center"/>
          </w:tcPr>
          <w:p w14:paraId="406D0EA6" w14:textId="77777777" w:rsidR="00042751" w:rsidRPr="00F4191D" w:rsidRDefault="00042751" w:rsidP="008E5363">
            <w:pPr>
              <w:pStyle w:val="TableParagraph"/>
              <w:keepNext/>
              <w:spacing w:before="100" w:beforeAutospacing="1" w:after="100" w:afterAutospacing="1" w:line="276" w:lineRule="auto"/>
              <w:ind w:left="1" w:right="537"/>
              <w:jc w:val="right"/>
              <w:rPr>
                <w:sz w:val="16"/>
                <w:szCs w:val="16"/>
              </w:rPr>
            </w:pPr>
          </w:p>
        </w:tc>
        <w:tc>
          <w:tcPr>
            <w:tcW w:w="1502" w:type="dxa"/>
            <w:tcBorders>
              <w:top w:val="nil"/>
              <w:left w:val="nil"/>
              <w:bottom w:val="nil"/>
              <w:right w:val="nil"/>
            </w:tcBorders>
            <w:shd w:val="clear" w:color="auto" w:fill="auto"/>
            <w:vAlign w:val="center"/>
          </w:tcPr>
          <w:p w14:paraId="32D7DBC2"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+5.1%</w:t>
            </w:r>
          </w:p>
        </w:tc>
        <w:tc>
          <w:tcPr>
            <w:tcW w:w="1644" w:type="dxa"/>
            <w:tcBorders>
              <w:top w:val="nil"/>
              <w:left w:val="nil"/>
              <w:bottom w:val="nil"/>
              <w:right w:val="nil"/>
            </w:tcBorders>
            <w:shd w:val="clear" w:color="auto" w:fill="auto"/>
            <w:vAlign w:val="center"/>
          </w:tcPr>
          <w:p w14:paraId="1E167912"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+24.9%</w:t>
            </w:r>
          </w:p>
        </w:tc>
        <w:tc>
          <w:tcPr>
            <w:tcW w:w="1559" w:type="dxa"/>
            <w:tcBorders>
              <w:top w:val="nil"/>
              <w:left w:val="nil"/>
              <w:bottom w:val="nil"/>
              <w:right w:val="nil"/>
            </w:tcBorders>
            <w:shd w:val="clear" w:color="auto" w:fill="BBE7FF" w:themeFill="accent1" w:themeFillTint="33"/>
            <w:vAlign w:val="center"/>
          </w:tcPr>
          <w:p w14:paraId="5F2F67FA"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+15.1%</w:t>
            </w:r>
          </w:p>
        </w:tc>
        <w:tc>
          <w:tcPr>
            <w:tcW w:w="257" w:type="dxa"/>
            <w:tcBorders>
              <w:top w:val="nil"/>
              <w:left w:val="nil"/>
              <w:bottom w:val="nil"/>
              <w:right w:val="nil"/>
            </w:tcBorders>
          </w:tcPr>
          <w:p w14:paraId="38B4C3C1"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p>
        </w:tc>
      </w:tr>
      <w:tr w:rsidR="00042751" w:rsidRPr="00F4191D" w14:paraId="11FD53E1" w14:textId="77777777" w:rsidTr="006B1196">
        <w:trPr>
          <w:trHeight w:val="227"/>
          <w:jc w:val="center"/>
        </w:trPr>
        <w:tc>
          <w:tcPr>
            <w:tcW w:w="3261" w:type="dxa"/>
            <w:tcBorders>
              <w:bottom w:val="single" w:sz="8" w:space="0" w:color="0070AD" w:themeColor="accent1"/>
            </w:tcBorders>
            <w:vAlign w:val="center"/>
          </w:tcPr>
          <w:p w14:paraId="201355C2" w14:textId="58980976" w:rsidR="00042751" w:rsidRPr="00F4191D" w:rsidRDefault="00042751" w:rsidP="008E5363">
            <w:pPr>
              <w:pStyle w:val="TableParagraph"/>
              <w:keepNext/>
              <w:spacing w:before="100" w:beforeAutospacing="1" w:after="100" w:afterAutospacing="1" w:line="276" w:lineRule="auto"/>
              <w:ind w:left="142"/>
              <w:rPr>
                <w:sz w:val="16"/>
                <w:szCs w:val="16"/>
              </w:rPr>
            </w:pPr>
            <w:bookmarkStart w:id="7" w:name="_Hlk48292655"/>
            <w:r w:rsidRPr="00F4191D">
              <w:rPr>
                <w:sz w:val="16"/>
                <w:szCs w:val="16"/>
              </w:rPr>
              <w:t>Asia</w:t>
            </w:r>
            <w:r w:rsidR="006F149E">
              <w:rPr>
                <w:sz w:val="16"/>
                <w:szCs w:val="16"/>
              </w:rPr>
              <w:t>-</w:t>
            </w:r>
            <w:r w:rsidRPr="00F4191D">
              <w:rPr>
                <w:sz w:val="16"/>
                <w:szCs w:val="16"/>
              </w:rPr>
              <w:t>Pacific and Latin America</w:t>
            </w:r>
            <w:bookmarkEnd w:id="7"/>
          </w:p>
        </w:tc>
        <w:tc>
          <w:tcPr>
            <w:tcW w:w="57" w:type="dxa"/>
            <w:tcBorders>
              <w:top w:val="nil"/>
              <w:left w:val="nil"/>
              <w:bottom w:val="single" w:sz="8" w:space="0" w:color="0070AD"/>
              <w:right w:val="nil"/>
            </w:tcBorders>
            <w:shd w:val="clear" w:color="auto" w:fill="auto"/>
            <w:vAlign w:val="center"/>
          </w:tcPr>
          <w:p w14:paraId="20CDC3CD" w14:textId="77777777" w:rsidR="00042751" w:rsidRPr="00F4191D" w:rsidRDefault="00042751" w:rsidP="008E5363">
            <w:pPr>
              <w:pStyle w:val="TableParagraph"/>
              <w:keepNext/>
              <w:spacing w:before="100" w:beforeAutospacing="1" w:after="100" w:afterAutospacing="1" w:line="276" w:lineRule="auto"/>
              <w:ind w:left="1" w:right="537"/>
              <w:jc w:val="right"/>
              <w:rPr>
                <w:sz w:val="16"/>
                <w:szCs w:val="16"/>
              </w:rPr>
            </w:pPr>
            <w:r w:rsidRPr="00F4191D">
              <w:rPr>
                <w:sz w:val="16"/>
                <w:szCs w:val="16"/>
              </w:rPr>
              <w:t> </w:t>
            </w:r>
          </w:p>
        </w:tc>
        <w:tc>
          <w:tcPr>
            <w:tcW w:w="1502" w:type="dxa"/>
            <w:tcBorders>
              <w:top w:val="nil"/>
              <w:left w:val="nil"/>
              <w:bottom w:val="single" w:sz="8" w:space="0" w:color="0070AD"/>
              <w:right w:val="nil"/>
            </w:tcBorders>
            <w:shd w:val="clear" w:color="auto" w:fill="auto"/>
            <w:vAlign w:val="center"/>
          </w:tcPr>
          <w:p w14:paraId="10DD5E86"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+11.2%</w:t>
            </w:r>
          </w:p>
        </w:tc>
        <w:tc>
          <w:tcPr>
            <w:tcW w:w="1644" w:type="dxa"/>
            <w:tcBorders>
              <w:top w:val="nil"/>
              <w:left w:val="nil"/>
              <w:bottom w:val="single" w:sz="8" w:space="0" w:color="0070AD"/>
              <w:right w:val="nil"/>
            </w:tcBorders>
            <w:shd w:val="clear" w:color="auto" w:fill="auto"/>
            <w:vAlign w:val="center"/>
          </w:tcPr>
          <w:p w14:paraId="1780065C"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+11.7%</w:t>
            </w:r>
          </w:p>
        </w:tc>
        <w:tc>
          <w:tcPr>
            <w:tcW w:w="1559" w:type="dxa"/>
            <w:tcBorders>
              <w:top w:val="nil"/>
              <w:left w:val="nil"/>
              <w:bottom w:val="single" w:sz="8" w:space="0" w:color="0070AD"/>
              <w:right w:val="nil"/>
            </w:tcBorders>
            <w:shd w:val="clear" w:color="auto" w:fill="BBE7FF" w:themeFill="accent1" w:themeFillTint="33"/>
            <w:vAlign w:val="center"/>
          </w:tcPr>
          <w:p w14:paraId="2580BC6F"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r w:rsidRPr="00F4191D">
              <w:rPr>
                <w:sz w:val="16"/>
                <w:szCs w:val="16"/>
              </w:rPr>
              <w:t>+11.4%</w:t>
            </w:r>
          </w:p>
        </w:tc>
        <w:tc>
          <w:tcPr>
            <w:tcW w:w="257" w:type="dxa"/>
            <w:tcBorders>
              <w:top w:val="nil"/>
              <w:left w:val="nil"/>
              <w:bottom w:val="single" w:sz="8" w:space="0" w:color="0070AD"/>
              <w:right w:val="nil"/>
            </w:tcBorders>
          </w:tcPr>
          <w:p w14:paraId="56C9ACF7" w14:textId="77777777" w:rsidR="00042751" w:rsidRPr="00F4191D" w:rsidRDefault="00042751" w:rsidP="008E5363">
            <w:pPr>
              <w:keepNext/>
              <w:widowControl w:val="0"/>
              <w:spacing w:before="100" w:beforeAutospacing="1" w:after="100" w:afterAutospacing="1" w:line="276" w:lineRule="auto"/>
              <w:ind w:right="452"/>
              <w:jc w:val="right"/>
              <w:rPr>
                <w:rFonts w:eastAsia="Arial" w:cs="Arial"/>
                <w:sz w:val="16"/>
                <w:szCs w:val="16"/>
              </w:rPr>
            </w:pPr>
          </w:p>
        </w:tc>
      </w:tr>
      <w:tr w:rsidR="00042751" w:rsidRPr="00F4191D" w14:paraId="64BAFDF7" w14:textId="77777777" w:rsidTr="006B1196">
        <w:trPr>
          <w:trHeight w:val="227"/>
          <w:jc w:val="center"/>
        </w:trPr>
        <w:tc>
          <w:tcPr>
            <w:tcW w:w="3261" w:type="dxa"/>
            <w:tcBorders>
              <w:top w:val="single" w:sz="8" w:space="0" w:color="0070AD" w:themeColor="accent1"/>
              <w:bottom w:val="single" w:sz="8" w:space="0" w:color="0070AD" w:themeColor="accent1"/>
            </w:tcBorders>
            <w:vAlign w:val="center"/>
          </w:tcPr>
          <w:p w14:paraId="3E87918A" w14:textId="77777777" w:rsidR="00042751" w:rsidRPr="00F4191D" w:rsidRDefault="00042751" w:rsidP="008E5363">
            <w:pPr>
              <w:pStyle w:val="TableParagraph"/>
              <w:keepNext/>
              <w:spacing w:before="100" w:beforeAutospacing="1" w:after="100" w:afterAutospacing="1" w:line="276" w:lineRule="auto"/>
              <w:ind w:left="63"/>
              <w:rPr>
                <w:b/>
                <w:color w:val="0070AD" w:themeColor="accent1"/>
                <w:sz w:val="16"/>
                <w:szCs w:val="16"/>
              </w:rPr>
            </w:pPr>
            <w:r w:rsidRPr="00F4191D">
              <w:rPr>
                <w:b/>
                <w:color w:val="0070AD" w:themeColor="accent1"/>
                <w:sz w:val="16"/>
                <w:szCs w:val="16"/>
              </w:rPr>
              <w:t>TOTAL</w:t>
            </w:r>
          </w:p>
        </w:tc>
        <w:tc>
          <w:tcPr>
            <w:tcW w:w="57" w:type="dxa"/>
            <w:tcBorders>
              <w:top w:val="nil"/>
              <w:left w:val="nil"/>
              <w:bottom w:val="single" w:sz="8" w:space="0" w:color="0070AD"/>
              <w:right w:val="nil"/>
            </w:tcBorders>
            <w:shd w:val="clear" w:color="auto" w:fill="auto"/>
            <w:vAlign w:val="center"/>
          </w:tcPr>
          <w:p w14:paraId="71E73AD0" w14:textId="77777777" w:rsidR="00042751" w:rsidRPr="00F4191D" w:rsidRDefault="00042751" w:rsidP="008E5363">
            <w:pPr>
              <w:pStyle w:val="TableParagraph"/>
              <w:keepNext/>
              <w:spacing w:before="100" w:beforeAutospacing="1" w:after="100" w:afterAutospacing="1" w:line="276" w:lineRule="auto"/>
              <w:ind w:left="1" w:right="537"/>
              <w:jc w:val="right"/>
              <w:rPr>
                <w:b/>
                <w:color w:val="0070AD" w:themeColor="accent1"/>
                <w:sz w:val="16"/>
                <w:szCs w:val="16"/>
              </w:rPr>
            </w:pPr>
            <w:r w:rsidRPr="00F4191D">
              <w:rPr>
                <w:b/>
                <w:color w:val="0070AD" w:themeColor="accent1"/>
                <w:sz w:val="16"/>
                <w:szCs w:val="16"/>
              </w:rPr>
              <w:t> </w:t>
            </w:r>
          </w:p>
        </w:tc>
        <w:tc>
          <w:tcPr>
            <w:tcW w:w="1502" w:type="dxa"/>
            <w:tcBorders>
              <w:top w:val="nil"/>
              <w:left w:val="nil"/>
              <w:bottom w:val="single" w:sz="8" w:space="0" w:color="0070AD"/>
              <w:right w:val="nil"/>
            </w:tcBorders>
            <w:shd w:val="clear" w:color="auto" w:fill="auto"/>
            <w:vAlign w:val="center"/>
          </w:tcPr>
          <w:p w14:paraId="4EC83C0A" w14:textId="77777777" w:rsidR="00042751" w:rsidRPr="00F4191D" w:rsidRDefault="00042751" w:rsidP="008E5363">
            <w:pPr>
              <w:pStyle w:val="TableParagraph"/>
              <w:keepNext/>
              <w:spacing w:before="100" w:beforeAutospacing="1" w:after="100" w:afterAutospacing="1" w:line="276" w:lineRule="auto"/>
              <w:ind w:left="1" w:right="452"/>
              <w:jc w:val="right"/>
              <w:rPr>
                <w:b/>
                <w:color w:val="0070AD" w:themeColor="accent1"/>
                <w:sz w:val="16"/>
                <w:szCs w:val="16"/>
              </w:rPr>
            </w:pPr>
            <w:r w:rsidRPr="00F4191D">
              <w:rPr>
                <w:b/>
                <w:color w:val="0070AD" w:themeColor="accent1"/>
                <w:sz w:val="16"/>
                <w:szCs w:val="16"/>
              </w:rPr>
              <w:t>+2.3%</w:t>
            </w:r>
          </w:p>
        </w:tc>
        <w:tc>
          <w:tcPr>
            <w:tcW w:w="1644" w:type="dxa"/>
            <w:tcBorders>
              <w:top w:val="nil"/>
              <w:left w:val="nil"/>
              <w:bottom w:val="single" w:sz="8" w:space="0" w:color="0070AD"/>
              <w:right w:val="nil"/>
            </w:tcBorders>
            <w:shd w:val="clear" w:color="auto" w:fill="auto"/>
            <w:vAlign w:val="center"/>
          </w:tcPr>
          <w:p w14:paraId="72B43CD9" w14:textId="77777777" w:rsidR="00042751" w:rsidRPr="00F4191D" w:rsidRDefault="00042751" w:rsidP="008E5363">
            <w:pPr>
              <w:pStyle w:val="TableParagraph"/>
              <w:keepNext/>
              <w:spacing w:before="100" w:beforeAutospacing="1" w:after="100" w:afterAutospacing="1" w:line="276" w:lineRule="auto"/>
              <w:ind w:left="1" w:right="452"/>
              <w:jc w:val="right"/>
              <w:rPr>
                <w:b/>
                <w:color w:val="0070AD" w:themeColor="accent1"/>
                <w:sz w:val="16"/>
                <w:szCs w:val="16"/>
              </w:rPr>
            </w:pPr>
            <w:r w:rsidRPr="00F4191D">
              <w:rPr>
                <w:b/>
                <w:color w:val="0070AD" w:themeColor="accent1"/>
                <w:sz w:val="16"/>
                <w:szCs w:val="16"/>
              </w:rPr>
              <w:t>+13.4%</w:t>
            </w:r>
          </w:p>
        </w:tc>
        <w:tc>
          <w:tcPr>
            <w:tcW w:w="1559" w:type="dxa"/>
            <w:tcBorders>
              <w:top w:val="nil"/>
              <w:left w:val="nil"/>
              <w:bottom w:val="single" w:sz="8" w:space="0" w:color="0070AD"/>
              <w:right w:val="nil"/>
            </w:tcBorders>
            <w:shd w:val="clear" w:color="auto" w:fill="BBE7FF" w:themeFill="accent1" w:themeFillTint="33"/>
            <w:vAlign w:val="center"/>
          </w:tcPr>
          <w:p w14:paraId="078F3C48" w14:textId="77777777" w:rsidR="00042751" w:rsidRPr="00F4191D" w:rsidRDefault="00042751" w:rsidP="008E5363">
            <w:pPr>
              <w:pStyle w:val="TableParagraph"/>
              <w:keepNext/>
              <w:spacing w:before="100" w:beforeAutospacing="1" w:after="100" w:afterAutospacing="1" w:line="276" w:lineRule="auto"/>
              <w:ind w:left="1" w:right="452"/>
              <w:jc w:val="right"/>
              <w:rPr>
                <w:b/>
                <w:color w:val="0070AD" w:themeColor="accent1"/>
                <w:sz w:val="16"/>
                <w:szCs w:val="16"/>
              </w:rPr>
            </w:pPr>
            <w:r w:rsidRPr="00F4191D">
              <w:rPr>
                <w:b/>
                <w:color w:val="0070AD" w:themeColor="accent1"/>
                <w:sz w:val="16"/>
                <w:szCs w:val="16"/>
              </w:rPr>
              <w:t>+7.9%</w:t>
            </w:r>
          </w:p>
        </w:tc>
        <w:tc>
          <w:tcPr>
            <w:tcW w:w="257" w:type="dxa"/>
            <w:tcBorders>
              <w:top w:val="nil"/>
              <w:left w:val="nil"/>
              <w:bottom w:val="single" w:sz="8" w:space="0" w:color="0070AD"/>
              <w:right w:val="nil"/>
            </w:tcBorders>
          </w:tcPr>
          <w:p w14:paraId="1D085BEB" w14:textId="77777777" w:rsidR="00042751" w:rsidRPr="00F4191D" w:rsidRDefault="00042751" w:rsidP="008E5363">
            <w:pPr>
              <w:pStyle w:val="TableParagraph"/>
              <w:keepNext/>
              <w:spacing w:before="100" w:beforeAutospacing="1" w:after="100" w:afterAutospacing="1" w:line="276" w:lineRule="auto"/>
              <w:ind w:left="1" w:right="452"/>
              <w:jc w:val="right"/>
              <w:rPr>
                <w:b/>
                <w:color w:val="0070AD" w:themeColor="accent1"/>
                <w:sz w:val="16"/>
                <w:szCs w:val="16"/>
              </w:rPr>
            </w:pPr>
          </w:p>
        </w:tc>
      </w:tr>
    </w:tbl>
    <w:p w14:paraId="3465AEE7" w14:textId="77777777" w:rsidR="0065741E" w:rsidRPr="00F4191D" w:rsidRDefault="0065741E" w:rsidP="008E5363">
      <w:pPr>
        <w:pStyle w:val="BodyText"/>
        <w:spacing w:line="276" w:lineRule="auto"/>
      </w:pPr>
    </w:p>
    <w:p w14:paraId="2585C68C" w14:textId="41B0D504" w:rsidR="00E33335" w:rsidRPr="00F4191D" w:rsidRDefault="0000143E" w:rsidP="008E5363">
      <w:pPr>
        <w:pStyle w:val="BodyText"/>
        <w:spacing w:line="276" w:lineRule="auto"/>
        <w:rPr>
          <w:rFonts w:ascii="Verdana" w:hAnsi="Verdana"/>
        </w:rPr>
      </w:pPr>
      <w:r w:rsidRPr="00F4191D">
        <w:rPr>
          <w:rFonts w:ascii="Verdana" w:hAnsi="Verdana"/>
        </w:rPr>
        <w:t xml:space="preserve">Given </w:t>
      </w:r>
      <w:r w:rsidR="00E33335" w:rsidRPr="00F4191D">
        <w:rPr>
          <w:rFonts w:ascii="Verdana" w:hAnsi="Verdana"/>
        </w:rPr>
        <w:t xml:space="preserve">the relatively comparable geographic </w:t>
      </w:r>
      <w:r w:rsidRPr="00F4191D">
        <w:rPr>
          <w:rFonts w:ascii="Verdana" w:hAnsi="Verdana"/>
        </w:rPr>
        <w:t xml:space="preserve">mix </w:t>
      </w:r>
      <w:r w:rsidR="00E33335" w:rsidRPr="00F4191D">
        <w:rPr>
          <w:rFonts w:ascii="Verdana" w:hAnsi="Verdana"/>
        </w:rPr>
        <w:t xml:space="preserve">of the two companies, Altran’s consolidation does not significantly alter the breakdown of </w:t>
      </w:r>
      <w:r w:rsidRPr="00F4191D">
        <w:rPr>
          <w:rFonts w:ascii="Verdana" w:hAnsi="Verdana"/>
        </w:rPr>
        <w:t xml:space="preserve">Capgemini </w:t>
      </w:r>
      <w:r w:rsidR="00E33335" w:rsidRPr="00F4191D">
        <w:rPr>
          <w:rFonts w:ascii="Verdana" w:hAnsi="Verdana"/>
        </w:rPr>
        <w:t>revenues by region. On a combined basis, North America remains the Group’s leading region</w:t>
      </w:r>
      <w:r w:rsidRPr="00F4191D">
        <w:rPr>
          <w:rFonts w:ascii="Verdana" w:hAnsi="Verdana"/>
        </w:rPr>
        <w:t xml:space="preserve"> (31% of Group revenues)</w:t>
      </w:r>
      <w:r w:rsidR="00E33335" w:rsidRPr="00F4191D">
        <w:rPr>
          <w:rFonts w:ascii="Verdana" w:hAnsi="Verdana"/>
        </w:rPr>
        <w:t xml:space="preserve"> in Q2 2020, followed by the Rest of Europe (30%), Fr</w:t>
      </w:r>
      <w:r w:rsidR="002113F3" w:rsidRPr="00F4191D">
        <w:rPr>
          <w:rFonts w:ascii="Verdana" w:hAnsi="Verdana"/>
        </w:rPr>
        <w:t>ance (21%), the United Kingdom and</w:t>
      </w:r>
      <w:r w:rsidR="00E33335" w:rsidRPr="00F4191D">
        <w:rPr>
          <w:rFonts w:ascii="Verdana" w:hAnsi="Verdana"/>
        </w:rPr>
        <w:t xml:space="preserve"> Ireland (11%) and Asia-Pacific and Latin America (7%).</w:t>
      </w:r>
    </w:p>
    <w:p w14:paraId="5715BF3C" w14:textId="336BBB24" w:rsidR="001B627F" w:rsidRPr="00F4191D" w:rsidRDefault="001B627F" w:rsidP="008E5363">
      <w:pPr>
        <w:pStyle w:val="ListParagraph"/>
        <w:keepNext/>
        <w:numPr>
          <w:ilvl w:val="0"/>
          <w:numId w:val="13"/>
        </w:numPr>
        <w:spacing w:before="120" w:after="120" w:line="276" w:lineRule="auto"/>
        <w:rPr>
          <w:rFonts w:ascii="Verdana" w:hAnsi="Verdana" w:cs="Arial"/>
          <w:b/>
          <w:bCs/>
        </w:rPr>
      </w:pPr>
      <w:r w:rsidRPr="00F4191D">
        <w:rPr>
          <w:rFonts w:ascii="Verdana" w:hAnsi="Verdana"/>
          <w:b/>
          <w:bCs/>
        </w:rPr>
        <w:t>Q2 2020:</w:t>
      </w:r>
    </w:p>
    <w:p w14:paraId="30FABB16" w14:textId="7836A929" w:rsidR="00F70D7D" w:rsidRPr="00F4191D" w:rsidRDefault="00770F9D" w:rsidP="008E5363">
      <w:pPr>
        <w:spacing w:before="120" w:after="120" w:line="276" w:lineRule="auto"/>
        <w:rPr>
          <w:rFonts w:ascii="Verdana" w:hAnsi="Verdana" w:cs="Arial"/>
        </w:rPr>
      </w:pPr>
      <w:r w:rsidRPr="00F4191D">
        <w:rPr>
          <w:rFonts w:ascii="Verdana" w:hAnsi="Verdana"/>
        </w:rPr>
        <w:t xml:space="preserve">Q2 revenues totaled €4,034 million, up +13.4% at constant exchange rates. As mentioned above, the second quarter benefited from the consolidation of Altran in the Group scope from April 1, 2020, </w:t>
      </w:r>
      <w:r w:rsidR="00AA4C2F" w:rsidRPr="00F4191D">
        <w:rPr>
          <w:rFonts w:ascii="Verdana" w:hAnsi="Verdana"/>
        </w:rPr>
        <w:t xml:space="preserve">which </w:t>
      </w:r>
      <w:r w:rsidRPr="00F4191D">
        <w:rPr>
          <w:rFonts w:ascii="Verdana" w:hAnsi="Verdana"/>
        </w:rPr>
        <w:t>more than offset the pandemic’s impact on revenues.</w:t>
      </w:r>
    </w:p>
    <w:p w14:paraId="4E824870" w14:textId="690F9AD5" w:rsidR="00627542" w:rsidRPr="00F4191D" w:rsidRDefault="004A241C" w:rsidP="008E5363">
      <w:pPr>
        <w:spacing w:before="120" w:after="120" w:line="276" w:lineRule="auto"/>
        <w:rPr>
          <w:rFonts w:ascii="Verdana" w:hAnsi="Verdana" w:cs="Arial"/>
        </w:rPr>
      </w:pPr>
      <w:r w:rsidRPr="00F4191D">
        <w:rPr>
          <w:rFonts w:ascii="Verdana" w:hAnsi="Verdana"/>
        </w:rPr>
        <w:t>Group organic growth in Q2</w:t>
      </w:r>
      <w:r w:rsidR="00AA4C2F" w:rsidRPr="00F4191D">
        <w:rPr>
          <w:rFonts w:ascii="Verdana" w:hAnsi="Verdana"/>
        </w:rPr>
        <w:t>, down -7.7%,</w:t>
      </w:r>
      <w:r w:rsidRPr="00F4191D">
        <w:rPr>
          <w:rFonts w:ascii="Verdana" w:hAnsi="Verdana"/>
        </w:rPr>
        <w:t xml:space="preserve"> reflects the impact of the pandemic on the activities of the new </w:t>
      </w:r>
      <w:r w:rsidR="00CB340B">
        <w:rPr>
          <w:rFonts w:ascii="Verdana" w:hAnsi="Verdana"/>
        </w:rPr>
        <w:t xml:space="preserve">combined </w:t>
      </w:r>
      <w:r w:rsidRPr="00F4191D">
        <w:rPr>
          <w:rFonts w:ascii="Verdana" w:hAnsi="Verdana"/>
        </w:rPr>
        <w:t xml:space="preserve">entity. This comprises a decrease of -6.9% for Capgemini’s </w:t>
      </w:r>
      <w:r w:rsidR="00AA4C2F" w:rsidRPr="00F4191D">
        <w:rPr>
          <w:rFonts w:ascii="Verdana" w:hAnsi="Verdana"/>
        </w:rPr>
        <w:t xml:space="preserve">legacy </w:t>
      </w:r>
      <w:r w:rsidRPr="00F4191D">
        <w:rPr>
          <w:rFonts w:ascii="Verdana" w:hAnsi="Verdana"/>
        </w:rPr>
        <w:t xml:space="preserve">scope and of </w:t>
      </w:r>
      <w:r w:rsidR="00AA4C2F" w:rsidRPr="00F4191D">
        <w:rPr>
          <w:rFonts w:ascii="Verdana" w:hAnsi="Verdana"/>
        </w:rPr>
        <w:t xml:space="preserve">-11.6% for </w:t>
      </w:r>
      <w:r w:rsidRPr="00F4191D">
        <w:rPr>
          <w:rFonts w:ascii="Verdana" w:hAnsi="Verdana"/>
        </w:rPr>
        <w:t xml:space="preserve">Altran’s scope. Organic growth therefore slowed in the second quarter compared with +2.0% in Q1 2020. </w:t>
      </w:r>
      <w:r w:rsidR="00AA03BF" w:rsidRPr="00F4191D">
        <w:rPr>
          <w:rFonts w:ascii="Verdana" w:hAnsi="Verdana"/>
        </w:rPr>
        <w:t>Digital and Cloud activities showed good resilience, growing over 7%</w:t>
      </w:r>
      <w:r w:rsidR="00AA03BF" w:rsidRPr="00F4191D">
        <w:rPr>
          <w:rFonts w:ascii="Verdana" w:hAnsi="Verdana" w:cs="Arial"/>
          <w:vertAlign w:val="superscript"/>
        </w:rPr>
        <w:fldChar w:fldCharType="begin"/>
      </w:r>
      <w:r w:rsidR="00AA03BF" w:rsidRPr="00F4191D">
        <w:rPr>
          <w:rFonts w:ascii="Verdana" w:hAnsi="Verdana" w:cs="Arial"/>
          <w:vertAlign w:val="superscript"/>
        </w:rPr>
        <w:instrText xml:space="preserve"> NOTEREF _Ref48598760 \h  \* MERGEFORMAT </w:instrText>
      </w:r>
      <w:r w:rsidR="00AA03BF" w:rsidRPr="00F4191D">
        <w:rPr>
          <w:rFonts w:ascii="Verdana" w:hAnsi="Verdana" w:cs="Arial"/>
          <w:vertAlign w:val="superscript"/>
        </w:rPr>
      </w:r>
      <w:r w:rsidR="00AA03BF" w:rsidRPr="00F4191D">
        <w:rPr>
          <w:rFonts w:ascii="Verdana" w:hAnsi="Verdana" w:cs="Arial"/>
          <w:vertAlign w:val="superscript"/>
        </w:rPr>
        <w:fldChar w:fldCharType="separate"/>
      </w:r>
      <w:r w:rsidR="00141EF2">
        <w:rPr>
          <w:rFonts w:ascii="Verdana" w:hAnsi="Verdana" w:cs="Arial"/>
          <w:vertAlign w:val="superscript"/>
        </w:rPr>
        <w:t>2</w:t>
      </w:r>
      <w:r w:rsidR="00AA03BF" w:rsidRPr="00F4191D">
        <w:rPr>
          <w:rFonts w:ascii="Verdana" w:hAnsi="Verdana" w:cs="Arial"/>
          <w:vertAlign w:val="superscript"/>
        </w:rPr>
        <w:fldChar w:fldCharType="end"/>
      </w:r>
      <w:r w:rsidR="00AA03BF" w:rsidRPr="00F4191D">
        <w:rPr>
          <w:rFonts w:ascii="Verdana" w:hAnsi="Verdana"/>
        </w:rPr>
        <w:t xml:space="preserve"> in the quarter.</w:t>
      </w:r>
    </w:p>
    <w:p w14:paraId="3C0759CF" w14:textId="43BF8335" w:rsidR="00AF4002" w:rsidRPr="00F4191D" w:rsidRDefault="008E63A6" w:rsidP="008E5363">
      <w:pPr>
        <w:spacing w:before="120" w:after="120" w:line="276" w:lineRule="auto"/>
        <w:rPr>
          <w:rFonts w:ascii="Verdana" w:hAnsi="Verdana" w:cs="Arial"/>
        </w:rPr>
      </w:pPr>
      <w:r w:rsidRPr="00F4191D">
        <w:rPr>
          <w:rFonts w:ascii="Verdana" w:hAnsi="Verdana"/>
        </w:rPr>
        <w:t xml:space="preserve">Geographically, organic growth slowed significantly in </w:t>
      </w:r>
      <w:r w:rsidRPr="00F4191D">
        <w:rPr>
          <w:rFonts w:ascii="Verdana" w:hAnsi="Verdana"/>
          <w:b/>
          <w:bCs/>
        </w:rPr>
        <w:t>France</w:t>
      </w:r>
      <w:r w:rsidRPr="00F4191D">
        <w:rPr>
          <w:rFonts w:ascii="Verdana" w:hAnsi="Verdana"/>
        </w:rPr>
        <w:t xml:space="preserve"> in Q2 compared with Q1. Despite strong momentum at the beginning of the year, France recorded the Group’s greatest decline in organic growth in the second quarter. By contrast, the </w:t>
      </w:r>
      <w:r w:rsidRPr="00F4191D">
        <w:rPr>
          <w:rFonts w:ascii="Verdana" w:hAnsi="Verdana"/>
          <w:b/>
          <w:bCs/>
        </w:rPr>
        <w:t>North America</w:t>
      </w:r>
      <w:r w:rsidRPr="00F4191D">
        <w:rPr>
          <w:rFonts w:ascii="Verdana" w:hAnsi="Verdana"/>
        </w:rPr>
        <w:t>,</w:t>
      </w:r>
      <w:r w:rsidRPr="00F4191D">
        <w:rPr>
          <w:rFonts w:ascii="Verdana" w:hAnsi="Verdana"/>
          <w:b/>
          <w:bCs/>
        </w:rPr>
        <w:t xml:space="preserve"> United Kingdom and Ireland</w:t>
      </w:r>
      <w:r w:rsidRPr="00F4191D">
        <w:rPr>
          <w:rFonts w:ascii="Verdana" w:hAnsi="Verdana"/>
        </w:rPr>
        <w:t xml:space="preserve">, and </w:t>
      </w:r>
      <w:r w:rsidRPr="00F4191D">
        <w:rPr>
          <w:rFonts w:ascii="Verdana" w:hAnsi="Verdana"/>
          <w:b/>
          <w:bCs/>
        </w:rPr>
        <w:t>Asia</w:t>
      </w:r>
      <w:r w:rsidR="006F149E">
        <w:rPr>
          <w:rFonts w:ascii="Verdana" w:hAnsi="Verdana"/>
          <w:b/>
          <w:bCs/>
        </w:rPr>
        <w:t>-</w:t>
      </w:r>
      <w:r w:rsidRPr="00F4191D">
        <w:rPr>
          <w:rFonts w:ascii="Verdana" w:hAnsi="Verdana"/>
          <w:b/>
          <w:bCs/>
        </w:rPr>
        <w:t>Pacific and Latin America</w:t>
      </w:r>
      <w:r w:rsidRPr="00F4191D">
        <w:rPr>
          <w:rFonts w:ascii="Verdana" w:hAnsi="Verdana"/>
        </w:rPr>
        <w:t xml:space="preserve"> regions weathered much better, with Q2 organic growth rates </w:t>
      </w:r>
      <w:r w:rsidR="00AA03BF" w:rsidRPr="00F4191D">
        <w:rPr>
          <w:rFonts w:ascii="Verdana" w:hAnsi="Verdana"/>
        </w:rPr>
        <w:t xml:space="preserve">comparatively </w:t>
      </w:r>
      <w:r w:rsidRPr="00F4191D">
        <w:rPr>
          <w:rFonts w:ascii="Verdana" w:hAnsi="Verdana"/>
        </w:rPr>
        <w:t xml:space="preserve">closer to those recorded </w:t>
      </w:r>
      <w:r w:rsidR="00AA03BF" w:rsidRPr="00F4191D">
        <w:rPr>
          <w:rFonts w:ascii="Verdana" w:hAnsi="Verdana"/>
        </w:rPr>
        <w:t>in Q1</w:t>
      </w:r>
      <w:r w:rsidRPr="00F4191D">
        <w:rPr>
          <w:rFonts w:ascii="Verdana" w:hAnsi="Verdana"/>
        </w:rPr>
        <w:t>. This disparity may be attributed to differences in the duration and severity of lockdown measures and the sector mix in different countries.</w:t>
      </w:r>
    </w:p>
    <w:p w14:paraId="72B1D3E1" w14:textId="3C5DA525" w:rsidR="00AF4002" w:rsidRPr="00F4191D" w:rsidRDefault="0041125A" w:rsidP="008E5363">
      <w:pPr>
        <w:spacing w:before="120" w:after="120" w:line="276" w:lineRule="auto"/>
        <w:rPr>
          <w:rFonts w:ascii="Verdana" w:hAnsi="Verdana" w:cs="Arial"/>
        </w:rPr>
      </w:pPr>
      <w:r w:rsidRPr="00F4191D">
        <w:rPr>
          <w:rFonts w:ascii="Verdana" w:hAnsi="Verdana"/>
        </w:rPr>
        <w:t>The s</w:t>
      </w:r>
      <w:r w:rsidR="005A59DD" w:rsidRPr="00F4191D">
        <w:rPr>
          <w:rFonts w:ascii="Verdana" w:hAnsi="Verdana"/>
        </w:rPr>
        <w:t>ector</w:t>
      </w:r>
      <w:r w:rsidR="00C84C54" w:rsidRPr="00F4191D">
        <w:rPr>
          <w:rFonts w:ascii="Verdana" w:hAnsi="Verdana"/>
        </w:rPr>
        <w:t>s</w:t>
      </w:r>
      <w:r w:rsidR="005A59DD" w:rsidRPr="00F4191D">
        <w:rPr>
          <w:rFonts w:ascii="Verdana" w:hAnsi="Verdana"/>
        </w:rPr>
        <w:t xml:space="preserve"> also </w:t>
      </w:r>
      <w:r w:rsidR="00C84C54" w:rsidRPr="00F4191D">
        <w:rPr>
          <w:rFonts w:ascii="Verdana" w:hAnsi="Verdana"/>
        </w:rPr>
        <w:t xml:space="preserve">reveal </w:t>
      </w:r>
      <w:r w:rsidR="005A59DD" w:rsidRPr="00F4191D">
        <w:rPr>
          <w:rFonts w:ascii="Verdana" w:hAnsi="Verdana"/>
        </w:rPr>
        <w:t>highly contrasted</w:t>
      </w:r>
      <w:r w:rsidR="00C84C54" w:rsidRPr="00F4191D">
        <w:rPr>
          <w:rFonts w:ascii="Verdana" w:hAnsi="Verdana"/>
        </w:rPr>
        <w:t xml:space="preserve"> trends</w:t>
      </w:r>
      <w:r w:rsidR="005A59DD" w:rsidRPr="00F4191D">
        <w:rPr>
          <w:rFonts w:ascii="Verdana" w:hAnsi="Verdana"/>
        </w:rPr>
        <w:t xml:space="preserve">, </w:t>
      </w:r>
      <w:r w:rsidR="00D33AB3" w:rsidRPr="00F4191D">
        <w:rPr>
          <w:rFonts w:ascii="Verdana" w:hAnsi="Verdana"/>
        </w:rPr>
        <w:t>al</w:t>
      </w:r>
      <w:r w:rsidR="00C84C54" w:rsidRPr="00F4191D">
        <w:rPr>
          <w:rFonts w:ascii="Verdana" w:hAnsi="Verdana"/>
        </w:rPr>
        <w:t xml:space="preserve">though </w:t>
      </w:r>
      <w:r w:rsidRPr="00F4191D">
        <w:rPr>
          <w:rFonts w:ascii="Verdana" w:hAnsi="Verdana"/>
        </w:rPr>
        <w:t>comparable across</w:t>
      </w:r>
      <w:r w:rsidR="00D33AB3" w:rsidRPr="00F4191D">
        <w:rPr>
          <w:rFonts w:ascii="Verdana" w:hAnsi="Verdana"/>
        </w:rPr>
        <w:t xml:space="preserve"> </w:t>
      </w:r>
      <w:r w:rsidR="005A59DD" w:rsidRPr="00F4191D">
        <w:rPr>
          <w:rFonts w:ascii="Verdana" w:hAnsi="Verdana"/>
        </w:rPr>
        <w:t>most regions. Growth in the Public sector (13% of the new Group’s revenues) accelerated in the second quarter. Financial Services (</w:t>
      </w:r>
      <w:r w:rsidR="008C4BCB">
        <w:rPr>
          <w:rFonts w:ascii="Verdana" w:hAnsi="Verdana"/>
        </w:rPr>
        <w:t xml:space="preserve">the </w:t>
      </w:r>
      <w:r w:rsidR="00D33AB3" w:rsidRPr="00F4191D">
        <w:rPr>
          <w:rFonts w:ascii="Verdana" w:hAnsi="Verdana"/>
        </w:rPr>
        <w:t xml:space="preserve">largest </w:t>
      </w:r>
      <w:r w:rsidR="005A59DD" w:rsidRPr="00F4191D">
        <w:rPr>
          <w:rFonts w:ascii="Verdana" w:hAnsi="Verdana"/>
        </w:rPr>
        <w:t>sector generating 24% of Group revenues) and TMT (</w:t>
      </w:r>
      <w:r w:rsidR="005A59DD" w:rsidRPr="00F4191D">
        <w:t>Telecom, Media &amp; Technology</w:t>
      </w:r>
      <w:r w:rsidR="005A59DD" w:rsidRPr="00F4191D">
        <w:rPr>
          <w:rFonts w:ascii="Verdana" w:hAnsi="Verdana"/>
        </w:rPr>
        <w:t xml:space="preserve">, significantly strengthened by the acquisition of Altran to 13% of Group revenues) showed good resilience, well above the Group average. Conversely, Manufacturing (22% of Group revenues, including Altran) and the Services sector (5% of Group revenues, </w:t>
      </w:r>
      <w:r w:rsidR="00C074C9">
        <w:rPr>
          <w:rFonts w:ascii="Verdana" w:hAnsi="Verdana"/>
        </w:rPr>
        <w:t xml:space="preserve">which notably </w:t>
      </w:r>
      <w:r w:rsidR="003B3FF9">
        <w:rPr>
          <w:rFonts w:ascii="Verdana" w:hAnsi="Verdana"/>
        </w:rPr>
        <w:t>includ</w:t>
      </w:r>
      <w:r w:rsidR="00C074C9">
        <w:rPr>
          <w:rFonts w:ascii="Verdana" w:hAnsi="Verdana"/>
        </w:rPr>
        <w:t>e</w:t>
      </w:r>
      <w:r w:rsidR="00D84CBB">
        <w:rPr>
          <w:rFonts w:ascii="Verdana" w:hAnsi="Verdana"/>
        </w:rPr>
        <w:t>s</w:t>
      </w:r>
      <w:r w:rsidR="005A59DD" w:rsidRPr="00F4191D">
        <w:rPr>
          <w:rFonts w:ascii="Verdana" w:hAnsi="Verdana"/>
        </w:rPr>
        <w:t xml:space="preserve"> transport</w:t>
      </w:r>
      <w:r w:rsidR="00AF65C4">
        <w:rPr>
          <w:rFonts w:ascii="Verdana" w:hAnsi="Verdana"/>
        </w:rPr>
        <w:t>ation services and</w:t>
      </w:r>
      <w:r w:rsidR="00AF65C4" w:rsidRPr="00F4191D">
        <w:rPr>
          <w:rFonts w:ascii="Verdana" w:hAnsi="Verdana"/>
        </w:rPr>
        <w:t xml:space="preserve"> </w:t>
      </w:r>
      <w:r w:rsidR="005A59DD" w:rsidRPr="00F4191D">
        <w:rPr>
          <w:rFonts w:ascii="Verdana" w:hAnsi="Verdana"/>
        </w:rPr>
        <w:t>hospitality) were the most affected.</w:t>
      </w:r>
    </w:p>
    <w:p w14:paraId="2D8A0A48" w14:textId="0726A0B6" w:rsidR="00770F9D" w:rsidRPr="00F4191D" w:rsidRDefault="00770F9D" w:rsidP="008E5363">
      <w:pPr>
        <w:spacing w:before="120" w:after="120" w:line="276" w:lineRule="auto"/>
        <w:rPr>
          <w:rFonts w:ascii="Verdana" w:hAnsi="Verdana" w:cs="Arial"/>
        </w:rPr>
      </w:pPr>
      <w:r w:rsidRPr="00F4191D">
        <w:rPr>
          <w:rFonts w:ascii="Verdana" w:hAnsi="Verdana"/>
          <w:b/>
          <w:bCs/>
        </w:rPr>
        <w:t>Bookings</w:t>
      </w:r>
      <w:r w:rsidRPr="00F4191D">
        <w:rPr>
          <w:rFonts w:ascii="Verdana" w:hAnsi="Verdana"/>
        </w:rPr>
        <w:t xml:space="preserve"> increased significantly in Q2 2020 to €4,438 million, a surge of +18.</w:t>
      </w:r>
      <w:r w:rsidR="00DB6C59" w:rsidRPr="00F4191D">
        <w:rPr>
          <w:rFonts w:ascii="Verdana" w:hAnsi="Verdana"/>
        </w:rPr>
        <w:t>8</w:t>
      </w:r>
      <w:r w:rsidRPr="00F4191D">
        <w:rPr>
          <w:rFonts w:ascii="Verdana" w:hAnsi="Verdana"/>
        </w:rPr>
        <w:t>% at constant exchange rates year-on-year. The book-to-bill ratio is 110% in Q2, reflecting an encouraging level of client demand for the coming quarters.</w:t>
      </w:r>
    </w:p>
    <w:p w14:paraId="770F54FD" w14:textId="2F148C62" w:rsidR="001B627F" w:rsidRPr="00F4191D" w:rsidRDefault="001B627F" w:rsidP="008E5363">
      <w:pPr>
        <w:pStyle w:val="BodyText"/>
        <w:numPr>
          <w:ilvl w:val="0"/>
          <w:numId w:val="12"/>
        </w:numPr>
        <w:spacing w:line="276" w:lineRule="auto"/>
        <w:rPr>
          <w:b/>
          <w:bCs/>
        </w:rPr>
      </w:pPr>
      <w:bookmarkStart w:id="8" w:name="_Hlk519835484"/>
      <w:r w:rsidRPr="00F4191D">
        <w:rPr>
          <w:b/>
          <w:bCs/>
        </w:rPr>
        <w:t>H1 2020:</w:t>
      </w:r>
    </w:p>
    <w:p w14:paraId="6D2E5619" w14:textId="193BE88A" w:rsidR="00D56D62" w:rsidRPr="00F4191D" w:rsidRDefault="00483BFD" w:rsidP="008E5363">
      <w:pPr>
        <w:spacing w:before="120" w:after="120" w:line="276" w:lineRule="auto"/>
      </w:pPr>
      <w:r w:rsidRPr="00F4191D">
        <w:t xml:space="preserve">Given the magnitude of the </w:t>
      </w:r>
      <w:r w:rsidR="00D33AB3" w:rsidRPr="00F4191D">
        <w:t xml:space="preserve">key </w:t>
      </w:r>
      <w:r w:rsidRPr="00F4191D">
        <w:t xml:space="preserve">movements and trends observed in </w:t>
      </w:r>
      <w:r w:rsidR="00D33AB3" w:rsidRPr="00F4191D">
        <w:t>Q2</w:t>
      </w:r>
      <w:r w:rsidRPr="00F4191D">
        <w:t xml:space="preserve">, </w:t>
      </w:r>
      <w:r w:rsidR="00D33AB3" w:rsidRPr="00F4191D">
        <w:t xml:space="preserve">these remain applicable </w:t>
      </w:r>
      <w:r w:rsidRPr="00F4191D">
        <w:t xml:space="preserve">to the </w:t>
      </w:r>
      <w:r w:rsidR="00D33AB3" w:rsidRPr="00F4191D">
        <w:t xml:space="preserve">analysis </w:t>
      </w:r>
      <w:r w:rsidRPr="00F4191D">
        <w:t xml:space="preserve">for </w:t>
      </w:r>
      <w:proofErr w:type="gramStart"/>
      <w:r w:rsidR="00D33AB3" w:rsidRPr="00F4191D">
        <w:t>H1</w:t>
      </w:r>
      <w:r w:rsidRPr="00F4191D">
        <w:t xml:space="preserve"> as a whole</w:t>
      </w:r>
      <w:proofErr w:type="gramEnd"/>
      <w:r w:rsidRPr="00F4191D">
        <w:t xml:space="preserve">. </w:t>
      </w:r>
    </w:p>
    <w:p w14:paraId="7F513D78" w14:textId="1E1F68D7" w:rsidR="00B00202" w:rsidRPr="00F4191D" w:rsidRDefault="00230C70" w:rsidP="008E5363">
      <w:pPr>
        <w:spacing w:before="120" w:after="120" w:line="276" w:lineRule="auto"/>
        <w:rPr>
          <w:rFonts w:ascii="Verdana" w:hAnsi="Verdana" w:cs="Arial"/>
          <w:b/>
        </w:rPr>
      </w:pPr>
      <w:r w:rsidRPr="00F4191D">
        <w:t xml:space="preserve">Revenues in </w:t>
      </w:r>
      <w:r w:rsidRPr="00F4191D">
        <w:rPr>
          <w:b/>
          <w:bCs/>
        </w:rPr>
        <w:t>North America</w:t>
      </w:r>
      <w:r w:rsidRPr="00F4191D">
        <w:t xml:space="preserve"> grew by +4.2% at constant exchange rates. This increase was driven by Altran’s contribution to revenues, mainly in the TMT</w:t>
      </w:r>
      <w:bookmarkStart w:id="9" w:name="_Hlk48293079"/>
      <w:r w:rsidRPr="00F4191D">
        <w:t xml:space="preserve"> sector. Financial Services also continued to recover and even experienced slight organic growth</w:t>
      </w:r>
      <w:bookmarkEnd w:id="9"/>
      <w:r w:rsidRPr="00F4191D">
        <w:t xml:space="preserve">. </w:t>
      </w:r>
      <w:r w:rsidRPr="00F4191D">
        <w:rPr>
          <w:rFonts w:ascii="Verdana" w:hAnsi="Verdana"/>
        </w:rPr>
        <w:t xml:space="preserve">The operating margin rate improved further to 14.4%, compared with 12.9% in the first half of 2019. </w:t>
      </w:r>
    </w:p>
    <w:p w14:paraId="6AB03308" w14:textId="0C0D0215" w:rsidR="00B00202" w:rsidRPr="00F4191D" w:rsidRDefault="00230C70" w:rsidP="008E5363">
      <w:pPr>
        <w:spacing w:before="120" w:after="120" w:line="276" w:lineRule="auto"/>
        <w:rPr>
          <w:rFonts w:cs="Arial"/>
        </w:rPr>
      </w:pPr>
      <w:r w:rsidRPr="00F4191D">
        <w:rPr>
          <w:rFonts w:ascii="Verdana" w:hAnsi="Verdana"/>
        </w:rPr>
        <w:t xml:space="preserve">The </w:t>
      </w:r>
      <w:r w:rsidRPr="00F4191D">
        <w:rPr>
          <w:rFonts w:ascii="Verdana" w:hAnsi="Verdana"/>
          <w:b/>
          <w:bCs/>
        </w:rPr>
        <w:t xml:space="preserve">United Kingdom </w:t>
      </w:r>
      <w:r w:rsidR="002113F3" w:rsidRPr="00F4191D">
        <w:rPr>
          <w:rFonts w:ascii="Verdana" w:hAnsi="Verdana"/>
          <w:b/>
          <w:bCs/>
        </w:rPr>
        <w:t>and</w:t>
      </w:r>
      <w:r w:rsidRPr="00F4191D">
        <w:rPr>
          <w:rFonts w:ascii="Verdana" w:hAnsi="Verdana"/>
          <w:b/>
          <w:bCs/>
        </w:rPr>
        <w:t xml:space="preserve"> Ireland</w:t>
      </w:r>
      <w:r w:rsidRPr="00F4191D">
        <w:rPr>
          <w:rFonts w:ascii="Verdana" w:hAnsi="Verdana"/>
        </w:rPr>
        <w:t xml:space="preserve"> region reported a slight increase in revenues, growing +0.6% at constant exchange rates, supported by Altran’s contribution (mainly in the Manufacturing and TMT sectors) and favorable Public sector momentum on an organic basis.</w:t>
      </w:r>
      <w:r w:rsidRPr="00F4191D">
        <w:t xml:space="preserve"> </w:t>
      </w:r>
      <w:r w:rsidR="00D33AB3" w:rsidRPr="00F4191D">
        <w:t>Although declining</w:t>
      </w:r>
      <w:r w:rsidRPr="00F4191D">
        <w:t>, the operating margin remained high at 14.3%, compared with 15.9% a year earlier.</w:t>
      </w:r>
    </w:p>
    <w:p w14:paraId="04A29F4A" w14:textId="1E380BAA" w:rsidR="00B00202" w:rsidRPr="00F4191D" w:rsidRDefault="00EF35B7" w:rsidP="008E5363">
      <w:pPr>
        <w:spacing w:before="120" w:after="120" w:line="276" w:lineRule="auto"/>
        <w:rPr>
          <w:rFonts w:ascii="Verdana" w:hAnsi="Verdana" w:cs="Arial"/>
        </w:rPr>
      </w:pPr>
      <w:r w:rsidRPr="00F4191D">
        <w:rPr>
          <w:b/>
          <w:bCs/>
        </w:rPr>
        <w:t>France</w:t>
      </w:r>
      <w:r w:rsidRPr="00F4191D">
        <w:t xml:space="preserve"> reported revenue growth of +7.6% at constant exchange rates following the consolidation of Altran revenues</w:t>
      </w:r>
      <w:r w:rsidR="009A7CBF" w:rsidRPr="00F4191D">
        <w:t xml:space="preserve"> (</w:t>
      </w:r>
      <w:r w:rsidRPr="00F4191D">
        <w:t>particularly in Manufacturing</w:t>
      </w:r>
      <w:bookmarkStart w:id="10" w:name="_Hlk48146955"/>
      <w:r w:rsidRPr="00F4191D">
        <w:t>, TMT and the Energy &amp; Utilities sector</w:t>
      </w:r>
      <w:bookmarkEnd w:id="10"/>
      <w:r w:rsidR="009A7CBF" w:rsidRPr="00F4191D">
        <w:t>s)</w:t>
      </w:r>
      <w:r w:rsidRPr="00F4191D">
        <w:t xml:space="preserve">. </w:t>
      </w:r>
      <w:r w:rsidR="009A7CBF" w:rsidRPr="00F4191D">
        <w:t>On a like-for-like basis, t</w:t>
      </w:r>
      <w:r w:rsidRPr="00F4191D">
        <w:t xml:space="preserve">he Manufacturing sector was by far the most affected by the slowdown. By contrast, the Public sector continued its strong growth, while the Energy &amp; Utilities sector showed great resilience. Within the Group, however, France was the hardest hit by the pandemic. Both revenues at constant scope and operating margin contracted sharply, with the latter falling 270 basis points </w:t>
      </w:r>
      <w:r w:rsidRPr="00F4191D">
        <w:rPr>
          <w:rFonts w:ascii="Verdana" w:hAnsi="Verdana"/>
        </w:rPr>
        <w:t xml:space="preserve">year-on-year to 6.9%. </w:t>
      </w:r>
    </w:p>
    <w:p w14:paraId="6DC58424" w14:textId="0147C6EA" w:rsidR="00B00202" w:rsidRPr="00F4191D" w:rsidRDefault="00230C70" w:rsidP="008E5363">
      <w:pPr>
        <w:spacing w:before="120" w:after="120" w:line="276" w:lineRule="auto"/>
        <w:rPr>
          <w:rFonts w:ascii="Verdana" w:hAnsi="Verdana" w:cs="Arial"/>
        </w:rPr>
      </w:pPr>
      <w:r w:rsidRPr="00F4191D">
        <w:t xml:space="preserve">The </w:t>
      </w:r>
      <w:r w:rsidRPr="00F4191D">
        <w:rPr>
          <w:b/>
          <w:bCs/>
        </w:rPr>
        <w:t>Rest of Europe</w:t>
      </w:r>
      <w:r w:rsidRPr="00F4191D">
        <w:t xml:space="preserve"> region grew +15.1% at constant exchange rates, including Altran revenues. Organically, regional dynamics demonstrated strong resilience consistent with that of the Group, driven by organic growth in the Public sector and Energy &amp; Utilities. The region reported a slightly lower operating margin of 10.2%, compared with 11.3% a year earlier.</w:t>
      </w:r>
    </w:p>
    <w:p w14:paraId="4D6B4400" w14:textId="4D8C114F" w:rsidR="00B00202" w:rsidRPr="00F4191D" w:rsidRDefault="00230C70" w:rsidP="008E5363">
      <w:pPr>
        <w:spacing w:before="120" w:after="120" w:line="276" w:lineRule="auto"/>
        <w:rPr>
          <w:rFonts w:ascii="Verdana" w:hAnsi="Verdana" w:cs="Arial"/>
        </w:rPr>
      </w:pPr>
      <w:r w:rsidRPr="00F4191D">
        <w:t xml:space="preserve">Finally, momentum remained strong in the </w:t>
      </w:r>
      <w:bookmarkStart w:id="11" w:name="_Hlk48146369"/>
      <w:r w:rsidRPr="00F4191D">
        <w:rPr>
          <w:b/>
        </w:rPr>
        <w:t>Asia-Pacific and Latin America</w:t>
      </w:r>
      <w:r w:rsidRPr="00F4191D">
        <w:t xml:space="preserve"> </w:t>
      </w:r>
      <w:bookmarkEnd w:id="11"/>
      <w:r w:rsidRPr="00F4191D">
        <w:t>region, with revenues increasing +11.4% at constant exchange rates. This performance is particularly noteworthy as the Altran acquisition had a more limited impact in this region. Organic growth was sustained, boosted particularly by Financial services, as well as the Services sector and, to a lesser extent, Energy &amp; Utilities. The region's operating margin reported a limited decline to 10.5%, from 11.4% in H1 2019.</w:t>
      </w:r>
    </w:p>
    <w:bookmarkEnd w:id="8"/>
    <w:p w14:paraId="271C95A2" w14:textId="77777777" w:rsidR="00B00202" w:rsidRPr="00F4191D" w:rsidRDefault="00B00202" w:rsidP="008E5363">
      <w:pPr>
        <w:spacing w:before="120" w:after="120" w:line="276" w:lineRule="auto"/>
        <w:rPr>
          <w:rFonts w:ascii="Verdana" w:hAnsi="Verdana" w:cs="Arial"/>
        </w:rPr>
      </w:pPr>
    </w:p>
    <w:p w14:paraId="255929BA" w14:textId="2DAB6F15" w:rsidR="00D159DD" w:rsidRPr="00F4191D" w:rsidRDefault="00921A82" w:rsidP="008E5363">
      <w:pPr>
        <w:pStyle w:val="Heading1"/>
        <w:spacing w:line="276" w:lineRule="auto"/>
        <w:jc w:val="left"/>
        <w:rPr>
          <w:caps w:val="0"/>
        </w:rPr>
      </w:pPr>
      <w:r w:rsidRPr="00F4191D">
        <w:rPr>
          <w:caps w:val="0"/>
        </w:rPr>
        <w:t>OPERATIONS BY BUSINESS</w:t>
      </w:r>
    </w:p>
    <w:tbl>
      <w:tblPr>
        <w:tblW w:w="8280" w:type="dxa"/>
        <w:jc w:val="center"/>
        <w:tblLayout w:type="fixed"/>
        <w:tblCellMar>
          <w:left w:w="0" w:type="dxa"/>
          <w:right w:w="0" w:type="dxa"/>
        </w:tblCellMar>
        <w:tblLook w:val="01E0" w:firstRow="1" w:lastRow="1" w:firstColumn="1" w:lastColumn="1" w:noHBand="0" w:noVBand="0"/>
      </w:tblPr>
      <w:tblGrid>
        <w:gridCol w:w="3261"/>
        <w:gridCol w:w="57"/>
        <w:gridCol w:w="1502"/>
        <w:gridCol w:w="1644"/>
        <w:gridCol w:w="1559"/>
        <w:gridCol w:w="257"/>
      </w:tblGrid>
      <w:tr w:rsidR="00775468" w:rsidRPr="00F4191D" w14:paraId="1C5634A7" w14:textId="77777777" w:rsidTr="00F34A82">
        <w:trPr>
          <w:trHeight w:hRule="exact" w:val="620"/>
          <w:jc w:val="center"/>
        </w:trPr>
        <w:tc>
          <w:tcPr>
            <w:tcW w:w="3261" w:type="dxa"/>
          </w:tcPr>
          <w:p w14:paraId="42657062" w14:textId="77777777" w:rsidR="00775468" w:rsidRPr="00F4191D" w:rsidRDefault="00775468" w:rsidP="008E5363">
            <w:pPr>
              <w:keepNext/>
              <w:spacing w:line="276" w:lineRule="auto"/>
              <w:rPr>
                <w:sz w:val="16"/>
                <w:szCs w:val="16"/>
              </w:rPr>
            </w:pPr>
          </w:p>
        </w:tc>
        <w:tc>
          <w:tcPr>
            <w:tcW w:w="57" w:type="dxa"/>
          </w:tcPr>
          <w:p w14:paraId="48954009" w14:textId="77777777" w:rsidR="00775468" w:rsidRPr="00F4191D" w:rsidRDefault="00775468" w:rsidP="008E5363">
            <w:pPr>
              <w:pStyle w:val="TableParagraph"/>
              <w:keepNext/>
              <w:spacing w:line="276" w:lineRule="auto"/>
              <w:ind w:right="105"/>
              <w:jc w:val="center"/>
              <w:rPr>
                <w:b/>
                <w:sz w:val="16"/>
                <w:szCs w:val="16"/>
              </w:rPr>
            </w:pPr>
          </w:p>
        </w:tc>
        <w:tc>
          <w:tcPr>
            <w:tcW w:w="4962" w:type="dxa"/>
            <w:gridSpan w:val="4"/>
            <w:tcBorders>
              <w:bottom w:val="single" w:sz="8" w:space="0" w:color="0070AD" w:themeColor="accent1"/>
            </w:tcBorders>
            <w:vAlign w:val="center"/>
          </w:tcPr>
          <w:p w14:paraId="76EA79F9" w14:textId="32E851D6" w:rsidR="00775468" w:rsidRPr="00F4191D" w:rsidRDefault="00775468" w:rsidP="008E5363">
            <w:pPr>
              <w:pStyle w:val="TableParagraph"/>
              <w:keepNext/>
              <w:spacing w:line="276" w:lineRule="auto"/>
              <w:ind w:right="-1"/>
              <w:jc w:val="center"/>
              <w:rPr>
                <w:b/>
                <w:sz w:val="16"/>
                <w:szCs w:val="16"/>
              </w:rPr>
            </w:pPr>
            <w:r w:rsidRPr="00F4191D">
              <w:rPr>
                <w:b/>
                <w:sz w:val="16"/>
                <w:szCs w:val="16"/>
              </w:rPr>
              <w:t xml:space="preserve">Change in total revenues* by business vs. 2019 </w:t>
            </w:r>
            <w:r w:rsidRPr="00F4191D">
              <w:rPr>
                <w:b/>
                <w:sz w:val="16"/>
                <w:szCs w:val="16"/>
              </w:rPr>
              <w:br/>
              <w:t>at constant exchange rates</w:t>
            </w:r>
          </w:p>
        </w:tc>
      </w:tr>
      <w:tr w:rsidR="00775468" w:rsidRPr="00F4191D" w14:paraId="231F9599" w14:textId="77777777" w:rsidTr="006B1196">
        <w:trPr>
          <w:trHeight w:hRule="exact" w:val="498"/>
          <w:jc w:val="center"/>
        </w:trPr>
        <w:tc>
          <w:tcPr>
            <w:tcW w:w="3261" w:type="dxa"/>
            <w:tcBorders>
              <w:bottom w:val="single" w:sz="8" w:space="0" w:color="0070AD" w:themeColor="accent1"/>
            </w:tcBorders>
          </w:tcPr>
          <w:p w14:paraId="322EB36D" w14:textId="77777777" w:rsidR="00775468" w:rsidRPr="00F4191D" w:rsidRDefault="00775468" w:rsidP="008E5363">
            <w:pPr>
              <w:keepNext/>
              <w:spacing w:line="276" w:lineRule="auto"/>
              <w:rPr>
                <w:sz w:val="16"/>
                <w:szCs w:val="16"/>
              </w:rPr>
            </w:pPr>
          </w:p>
        </w:tc>
        <w:tc>
          <w:tcPr>
            <w:tcW w:w="57" w:type="dxa"/>
            <w:tcBorders>
              <w:bottom w:val="single" w:sz="8" w:space="0" w:color="0070AD" w:themeColor="accent1"/>
            </w:tcBorders>
          </w:tcPr>
          <w:p w14:paraId="44A61E62" w14:textId="77777777" w:rsidR="00775468" w:rsidRPr="00F4191D" w:rsidRDefault="00775468" w:rsidP="008E5363">
            <w:pPr>
              <w:pStyle w:val="TableParagraph"/>
              <w:keepNext/>
              <w:spacing w:before="27" w:line="276" w:lineRule="auto"/>
              <w:ind w:right="162" w:firstLine="26"/>
              <w:jc w:val="center"/>
              <w:rPr>
                <w:b/>
                <w:sz w:val="16"/>
                <w:szCs w:val="16"/>
              </w:rPr>
            </w:pPr>
          </w:p>
        </w:tc>
        <w:tc>
          <w:tcPr>
            <w:tcW w:w="1502" w:type="dxa"/>
            <w:tcBorders>
              <w:top w:val="single" w:sz="8" w:space="0" w:color="0070AD" w:themeColor="accent1"/>
              <w:bottom w:val="single" w:sz="8" w:space="0" w:color="0070AD" w:themeColor="accent1"/>
            </w:tcBorders>
            <w:vAlign w:val="center"/>
          </w:tcPr>
          <w:p w14:paraId="33E881E0" w14:textId="77777777" w:rsidR="00775468" w:rsidRPr="00F4191D" w:rsidRDefault="00775468" w:rsidP="008E5363">
            <w:pPr>
              <w:pStyle w:val="TableParagraph"/>
              <w:keepNext/>
              <w:spacing w:before="27" w:line="276" w:lineRule="auto"/>
              <w:jc w:val="center"/>
              <w:rPr>
                <w:rFonts w:eastAsia="Arial" w:cs="Arial"/>
                <w:b/>
                <w:sz w:val="16"/>
                <w:szCs w:val="16"/>
              </w:rPr>
            </w:pPr>
            <w:r w:rsidRPr="00F4191D">
              <w:rPr>
                <w:b/>
                <w:sz w:val="16"/>
                <w:szCs w:val="16"/>
              </w:rPr>
              <w:t>Q1 2020</w:t>
            </w:r>
          </w:p>
        </w:tc>
        <w:tc>
          <w:tcPr>
            <w:tcW w:w="1644" w:type="dxa"/>
            <w:tcBorders>
              <w:top w:val="single" w:sz="8" w:space="0" w:color="0070AD" w:themeColor="accent1"/>
              <w:bottom w:val="single" w:sz="8" w:space="0" w:color="0070AD" w:themeColor="accent1"/>
            </w:tcBorders>
            <w:shd w:val="clear" w:color="auto" w:fill="FFFFFF" w:themeFill="background1"/>
            <w:vAlign w:val="center"/>
          </w:tcPr>
          <w:p w14:paraId="79CB33E8" w14:textId="77777777" w:rsidR="00775468" w:rsidRPr="00F4191D" w:rsidRDefault="00775468" w:rsidP="008E5363">
            <w:pPr>
              <w:pStyle w:val="TableParagraph"/>
              <w:keepNext/>
              <w:spacing w:before="27" w:line="276" w:lineRule="auto"/>
              <w:ind w:right="-1"/>
              <w:jc w:val="center"/>
              <w:rPr>
                <w:b/>
                <w:sz w:val="16"/>
                <w:szCs w:val="16"/>
              </w:rPr>
            </w:pPr>
            <w:r w:rsidRPr="00F4191D">
              <w:rPr>
                <w:b/>
                <w:sz w:val="16"/>
                <w:szCs w:val="16"/>
              </w:rPr>
              <w:t>Q2 2020</w:t>
            </w:r>
          </w:p>
        </w:tc>
        <w:tc>
          <w:tcPr>
            <w:tcW w:w="1559" w:type="dxa"/>
            <w:tcBorders>
              <w:top w:val="single" w:sz="8" w:space="0" w:color="0070AD" w:themeColor="accent1"/>
              <w:bottom w:val="single" w:sz="8" w:space="0" w:color="0070AD" w:themeColor="accent1"/>
            </w:tcBorders>
            <w:shd w:val="clear" w:color="auto" w:fill="BBE7FF" w:themeFill="accent1" w:themeFillTint="33"/>
            <w:vAlign w:val="center"/>
          </w:tcPr>
          <w:p w14:paraId="03933AB4" w14:textId="77777777" w:rsidR="00775468" w:rsidRPr="00F4191D" w:rsidRDefault="00775468" w:rsidP="008E5363">
            <w:pPr>
              <w:pStyle w:val="TableParagraph"/>
              <w:keepNext/>
              <w:spacing w:before="27" w:line="276" w:lineRule="auto"/>
              <w:ind w:right="-1"/>
              <w:jc w:val="center"/>
              <w:rPr>
                <w:b/>
                <w:sz w:val="16"/>
                <w:szCs w:val="16"/>
              </w:rPr>
            </w:pPr>
            <w:r w:rsidRPr="00F4191D">
              <w:rPr>
                <w:b/>
                <w:sz w:val="16"/>
                <w:szCs w:val="16"/>
              </w:rPr>
              <w:t>H1 2020</w:t>
            </w:r>
          </w:p>
        </w:tc>
        <w:tc>
          <w:tcPr>
            <w:tcW w:w="257" w:type="dxa"/>
            <w:tcBorders>
              <w:top w:val="single" w:sz="8" w:space="0" w:color="0070AD" w:themeColor="accent1"/>
              <w:bottom w:val="single" w:sz="8" w:space="0" w:color="0070AD" w:themeColor="accent1"/>
            </w:tcBorders>
          </w:tcPr>
          <w:p w14:paraId="423FC2C3" w14:textId="77777777" w:rsidR="00775468" w:rsidRPr="00F4191D" w:rsidRDefault="00775468" w:rsidP="008E5363">
            <w:pPr>
              <w:pStyle w:val="TableParagraph"/>
              <w:keepNext/>
              <w:spacing w:before="27" w:line="276" w:lineRule="auto"/>
              <w:ind w:right="-1"/>
              <w:jc w:val="center"/>
              <w:rPr>
                <w:b/>
                <w:sz w:val="16"/>
                <w:szCs w:val="16"/>
              </w:rPr>
            </w:pPr>
          </w:p>
        </w:tc>
      </w:tr>
      <w:tr w:rsidR="00BF3BCD" w:rsidRPr="00F4191D" w14:paraId="1139CB88" w14:textId="77777777" w:rsidTr="006B1196">
        <w:trPr>
          <w:trHeight w:val="227"/>
          <w:jc w:val="center"/>
        </w:trPr>
        <w:tc>
          <w:tcPr>
            <w:tcW w:w="3261" w:type="dxa"/>
            <w:tcBorders>
              <w:top w:val="single" w:sz="8" w:space="0" w:color="0070AD" w:themeColor="accent1"/>
            </w:tcBorders>
          </w:tcPr>
          <w:p w14:paraId="0DBAD17F" w14:textId="7039EB19" w:rsidR="00BF3BCD" w:rsidRPr="00F4191D" w:rsidRDefault="00BF3BCD" w:rsidP="008E5363">
            <w:pPr>
              <w:pStyle w:val="TableParagraph"/>
              <w:keepNext/>
              <w:spacing w:before="100" w:beforeAutospacing="1" w:after="100" w:afterAutospacing="1" w:line="276" w:lineRule="auto"/>
              <w:ind w:left="142"/>
              <w:rPr>
                <w:sz w:val="16"/>
                <w:szCs w:val="16"/>
              </w:rPr>
            </w:pPr>
            <w:r w:rsidRPr="00F4191D">
              <w:rPr>
                <w:sz w:val="16"/>
                <w:szCs w:val="16"/>
              </w:rPr>
              <w:t>Strategy &amp; Transformation</w:t>
            </w:r>
          </w:p>
        </w:tc>
        <w:tc>
          <w:tcPr>
            <w:tcW w:w="57" w:type="dxa"/>
            <w:tcBorders>
              <w:top w:val="single" w:sz="8" w:space="0" w:color="0070AD"/>
              <w:left w:val="nil"/>
              <w:bottom w:val="nil"/>
              <w:right w:val="nil"/>
            </w:tcBorders>
            <w:shd w:val="clear" w:color="auto" w:fill="auto"/>
            <w:vAlign w:val="center"/>
          </w:tcPr>
          <w:p w14:paraId="5303B07B" w14:textId="77777777" w:rsidR="00BF3BCD" w:rsidRPr="00F4191D" w:rsidRDefault="00BF3BCD" w:rsidP="008E5363">
            <w:pPr>
              <w:pStyle w:val="TableParagraph"/>
              <w:keepNext/>
              <w:spacing w:before="100" w:beforeAutospacing="1" w:after="100" w:afterAutospacing="1" w:line="276" w:lineRule="auto"/>
              <w:ind w:left="1" w:right="537"/>
              <w:jc w:val="right"/>
              <w:rPr>
                <w:sz w:val="16"/>
                <w:szCs w:val="16"/>
              </w:rPr>
            </w:pPr>
            <w:r w:rsidRPr="00F4191D">
              <w:rPr>
                <w:sz w:val="16"/>
                <w:szCs w:val="16"/>
              </w:rPr>
              <w:t> </w:t>
            </w:r>
          </w:p>
        </w:tc>
        <w:tc>
          <w:tcPr>
            <w:tcW w:w="1502" w:type="dxa"/>
            <w:tcBorders>
              <w:top w:val="single" w:sz="8" w:space="0" w:color="0070AD"/>
              <w:left w:val="nil"/>
              <w:bottom w:val="nil"/>
              <w:right w:val="nil"/>
            </w:tcBorders>
            <w:shd w:val="clear" w:color="auto" w:fill="auto"/>
          </w:tcPr>
          <w:p w14:paraId="4F963321" w14:textId="0C9AE62B" w:rsidR="00BF3BCD" w:rsidRPr="00F4191D" w:rsidRDefault="00BF3BCD" w:rsidP="008E5363">
            <w:pPr>
              <w:keepNext/>
              <w:widowControl w:val="0"/>
              <w:spacing w:before="100" w:beforeAutospacing="1" w:after="100" w:afterAutospacing="1" w:line="276" w:lineRule="auto"/>
              <w:ind w:right="452"/>
              <w:jc w:val="right"/>
              <w:rPr>
                <w:rFonts w:eastAsia="Arial" w:cs="Arial"/>
                <w:sz w:val="16"/>
                <w:szCs w:val="18"/>
                <w:highlight w:val="cyan"/>
              </w:rPr>
            </w:pPr>
            <w:r w:rsidRPr="00F4191D">
              <w:rPr>
                <w:sz w:val="16"/>
                <w:szCs w:val="18"/>
              </w:rPr>
              <w:t>+9.6%</w:t>
            </w:r>
          </w:p>
        </w:tc>
        <w:tc>
          <w:tcPr>
            <w:tcW w:w="1644" w:type="dxa"/>
            <w:tcBorders>
              <w:top w:val="single" w:sz="8" w:space="0" w:color="0070AD"/>
              <w:left w:val="nil"/>
              <w:bottom w:val="nil"/>
              <w:right w:val="nil"/>
            </w:tcBorders>
            <w:shd w:val="clear" w:color="auto" w:fill="FFFFFF" w:themeFill="background1"/>
          </w:tcPr>
          <w:p w14:paraId="503447AA" w14:textId="2D7CA96F" w:rsidR="00BF3BCD" w:rsidRPr="00F4191D" w:rsidRDefault="00BF3BCD" w:rsidP="008E5363">
            <w:pPr>
              <w:keepNext/>
              <w:widowControl w:val="0"/>
              <w:spacing w:before="100" w:beforeAutospacing="1" w:after="100" w:afterAutospacing="1" w:line="276" w:lineRule="auto"/>
              <w:ind w:right="452"/>
              <w:jc w:val="right"/>
              <w:rPr>
                <w:rFonts w:eastAsia="Arial" w:cs="Arial"/>
                <w:sz w:val="16"/>
                <w:szCs w:val="18"/>
                <w:highlight w:val="cyan"/>
              </w:rPr>
            </w:pPr>
            <w:r w:rsidRPr="00F4191D">
              <w:rPr>
                <w:sz w:val="16"/>
                <w:szCs w:val="18"/>
              </w:rPr>
              <w:t>+7.6%</w:t>
            </w:r>
          </w:p>
        </w:tc>
        <w:tc>
          <w:tcPr>
            <w:tcW w:w="1559" w:type="dxa"/>
            <w:tcBorders>
              <w:top w:val="single" w:sz="8" w:space="0" w:color="0070AD"/>
              <w:left w:val="nil"/>
              <w:bottom w:val="nil"/>
              <w:right w:val="nil"/>
            </w:tcBorders>
            <w:shd w:val="clear" w:color="auto" w:fill="BBE7FF" w:themeFill="accent1" w:themeFillTint="33"/>
          </w:tcPr>
          <w:p w14:paraId="00AE13F6" w14:textId="705EE07B" w:rsidR="00BF3BCD" w:rsidRPr="00F4191D" w:rsidRDefault="00BF3BCD" w:rsidP="008E5363">
            <w:pPr>
              <w:keepNext/>
              <w:widowControl w:val="0"/>
              <w:spacing w:before="100" w:beforeAutospacing="1" w:after="100" w:afterAutospacing="1" w:line="276" w:lineRule="auto"/>
              <w:ind w:right="452"/>
              <w:jc w:val="right"/>
              <w:rPr>
                <w:rFonts w:eastAsia="Arial" w:cs="Arial"/>
                <w:sz w:val="16"/>
                <w:szCs w:val="18"/>
                <w:highlight w:val="cyan"/>
              </w:rPr>
            </w:pPr>
            <w:r w:rsidRPr="00F4191D">
              <w:rPr>
                <w:sz w:val="16"/>
                <w:szCs w:val="18"/>
              </w:rPr>
              <w:t>+8.6%</w:t>
            </w:r>
          </w:p>
        </w:tc>
        <w:tc>
          <w:tcPr>
            <w:tcW w:w="257" w:type="dxa"/>
            <w:tcBorders>
              <w:top w:val="single" w:sz="8" w:space="0" w:color="0070AD"/>
              <w:left w:val="nil"/>
              <w:bottom w:val="nil"/>
              <w:right w:val="nil"/>
            </w:tcBorders>
          </w:tcPr>
          <w:p w14:paraId="3140779F" w14:textId="77777777" w:rsidR="00BF3BCD" w:rsidRPr="00F4191D" w:rsidRDefault="00BF3BCD" w:rsidP="008E5363">
            <w:pPr>
              <w:keepNext/>
              <w:widowControl w:val="0"/>
              <w:spacing w:before="100" w:beforeAutospacing="1" w:after="100" w:afterAutospacing="1" w:line="276" w:lineRule="auto"/>
              <w:ind w:right="452"/>
              <w:jc w:val="right"/>
              <w:rPr>
                <w:rFonts w:eastAsia="Arial" w:cs="Arial"/>
                <w:sz w:val="16"/>
                <w:szCs w:val="16"/>
              </w:rPr>
            </w:pPr>
          </w:p>
        </w:tc>
      </w:tr>
      <w:tr w:rsidR="00BF3BCD" w:rsidRPr="00F4191D" w14:paraId="0927E05E" w14:textId="77777777" w:rsidTr="006B1196">
        <w:trPr>
          <w:trHeight w:val="227"/>
          <w:jc w:val="center"/>
        </w:trPr>
        <w:tc>
          <w:tcPr>
            <w:tcW w:w="3261" w:type="dxa"/>
          </w:tcPr>
          <w:p w14:paraId="7141EB4B" w14:textId="1CC29ED8" w:rsidR="00BF3BCD" w:rsidRPr="00F4191D" w:rsidRDefault="00BF3BCD" w:rsidP="008E5363">
            <w:pPr>
              <w:pStyle w:val="TableParagraph"/>
              <w:keepNext/>
              <w:spacing w:before="100" w:beforeAutospacing="1" w:after="100" w:afterAutospacing="1" w:line="276" w:lineRule="auto"/>
              <w:ind w:left="142"/>
              <w:rPr>
                <w:sz w:val="16"/>
                <w:szCs w:val="16"/>
              </w:rPr>
            </w:pPr>
            <w:r w:rsidRPr="00F4191D">
              <w:rPr>
                <w:sz w:val="16"/>
                <w:szCs w:val="16"/>
              </w:rPr>
              <w:t>Applications &amp; Technology</w:t>
            </w:r>
          </w:p>
        </w:tc>
        <w:tc>
          <w:tcPr>
            <w:tcW w:w="57" w:type="dxa"/>
            <w:tcBorders>
              <w:top w:val="nil"/>
              <w:left w:val="nil"/>
              <w:bottom w:val="nil"/>
              <w:right w:val="nil"/>
            </w:tcBorders>
            <w:shd w:val="clear" w:color="auto" w:fill="auto"/>
            <w:vAlign w:val="center"/>
          </w:tcPr>
          <w:p w14:paraId="08EC9E5D" w14:textId="77777777" w:rsidR="00BF3BCD" w:rsidRPr="00F4191D" w:rsidRDefault="00BF3BCD" w:rsidP="008E5363">
            <w:pPr>
              <w:pStyle w:val="TableParagraph"/>
              <w:keepNext/>
              <w:spacing w:before="100" w:beforeAutospacing="1" w:after="100" w:afterAutospacing="1" w:line="276" w:lineRule="auto"/>
              <w:ind w:left="1" w:right="537"/>
              <w:jc w:val="right"/>
              <w:rPr>
                <w:sz w:val="16"/>
                <w:szCs w:val="16"/>
              </w:rPr>
            </w:pPr>
          </w:p>
        </w:tc>
        <w:tc>
          <w:tcPr>
            <w:tcW w:w="1502" w:type="dxa"/>
            <w:tcBorders>
              <w:top w:val="nil"/>
              <w:left w:val="nil"/>
              <w:bottom w:val="nil"/>
              <w:right w:val="nil"/>
            </w:tcBorders>
            <w:shd w:val="clear" w:color="auto" w:fill="auto"/>
          </w:tcPr>
          <w:p w14:paraId="78840643" w14:textId="227CC870" w:rsidR="00BF3BCD" w:rsidRPr="00F4191D" w:rsidRDefault="00BF3BCD" w:rsidP="008E5363">
            <w:pPr>
              <w:keepNext/>
              <w:widowControl w:val="0"/>
              <w:spacing w:before="100" w:beforeAutospacing="1" w:after="100" w:afterAutospacing="1" w:line="276" w:lineRule="auto"/>
              <w:ind w:right="452"/>
              <w:jc w:val="right"/>
              <w:rPr>
                <w:rFonts w:eastAsia="Arial" w:cs="Arial"/>
                <w:sz w:val="16"/>
                <w:szCs w:val="18"/>
                <w:highlight w:val="cyan"/>
              </w:rPr>
            </w:pPr>
            <w:r w:rsidRPr="00F4191D">
              <w:rPr>
                <w:sz w:val="16"/>
                <w:szCs w:val="18"/>
              </w:rPr>
              <w:t>+2.1%</w:t>
            </w:r>
          </w:p>
        </w:tc>
        <w:tc>
          <w:tcPr>
            <w:tcW w:w="1644" w:type="dxa"/>
            <w:tcBorders>
              <w:top w:val="nil"/>
              <w:left w:val="nil"/>
              <w:bottom w:val="nil"/>
              <w:right w:val="nil"/>
            </w:tcBorders>
            <w:shd w:val="clear" w:color="auto" w:fill="FFFFFF" w:themeFill="background1"/>
          </w:tcPr>
          <w:p w14:paraId="7BF1262E" w14:textId="2822449C" w:rsidR="00BF3BCD" w:rsidRPr="00F4191D" w:rsidRDefault="00BF3BCD" w:rsidP="008E5363">
            <w:pPr>
              <w:keepNext/>
              <w:widowControl w:val="0"/>
              <w:spacing w:before="100" w:beforeAutospacing="1" w:after="100" w:afterAutospacing="1" w:line="276" w:lineRule="auto"/>
              <w:ind w:right="452"/>
              <w:jc w:val="right"/>
              <w:rPr>
                <w:rFonts w:eastAsia="Arial" w:cs="Arial"/>
                <w:sz w:val="16"/>
                <w:szCs w:val="18"/>
                <w:highlight w:val="cyan"/>
              </w:rPr>
            </w:pPr>
            <w:r w:rsidRPr="00F4191D">
              <w:rPr>
                <w:sz w:val="16"/>
                <w:szCs w:val="18"/>
              </w:rPr>
              <w:t>-4.5%</w:t>
            </w:r>
          </w:p>
        </w:tc>
        <w:tc>
          <w:tcPr>
            <w:tcW w:w="1559" w:type="dxa"/>
            <w:tcBorders>
              <w:top w:val="nil"/>
              <w:left w:val="nil"/>
              <w:bottom w:val="nil"/>
              <w:right w:val="nil"/>
            </w:tcBorders>
            <w:shd w:val="clear" w:color="auto" w:fill="BBE7FF" w:themeFill="accent1" w:themeFillTint="33"/>
          </w:tcPr>
          <w:p w14:paraId="6D52BE00" w14:textId="04645C75" w:rsidR="00BF3BCD" w:rsidRPr="00F4191D" w:rsidRDefault="00BF3BCD" w:rsidP="008E5363">
            <w:pPr>
              <w:keepNext/>
              <w:widowControl w:val="0"/>
              <w:spacing w:before="100" w:beforeAutospacing="1" w:after="100" w:afterAutospacing="1" w:line="276" w:lineRule="auto"/>
              <w:ind w:right="452"/>
              <w:jc w:val="right"/>
              <w:rPr>
                <w:rFonts w:eastAsia="Arial" w:cs="Arial"/>
                <w:sz w:val="16"/>
                <w:szCs w:val="18"/>
                <w:highlight w:val="cyan"/>
              </w:rPr>
            </w:pPr>
            <w:r w:rsidRPr="00F4191D">
              <w:rPr>
                <w:sz w:val="16"/>
                <w:szCs w:val="18"/>
              </w:rPr>
              <w:t>-1.3%</w:t>
            </w:r>
          </w:p>
        </w:tc>
        <w:tc>
          <w:tcPr>
            <w:tcW w:w="257" w:type="dxa"/>
            <w:tcBorders>
              <w:top w:val="nil"/>
              <w:left w:val="nil"/>
              <w:bottom w:val="nil"/>
              <w:right w:val="nil"/>
            </w:tcBorders>
          </w:tcPr>
          <w:p w14:paraId="1A4FF99E" w14:textId="77777777" w:rsidR="00BF3BCD" w:rsidRPr="00F4191D" w:rsidRDefault="00BF3BCD" w:rsidP="008E5363">
            <w:pPr>
              <w:keepNext/>
              <w:widowControl w:val="0"/>
              <w:spacing w:before="100" w:beforeAutospacing="1" w:after="100" w:afterAutospacing="1" w:line="276" w:lineRule="auto"/>
              <w:ind w:right="452"/>
              <w:jc w:val="right"/>
              <w:rPr>
                <w:rFonts w:eastAsia="Arial" w:cs="Arial"/>
                <w:sz w:val="16"/>
                <w:szCs w:val="16"/>
              </w:rPr>
            </w:pPr>
          </w:p>
        </w:tc>
      </w:tr>
      <w:tr w:rsidR="00BF3BCD" w:rsidRPr="00F4191D" w14:paraId="0DD36598" w14:textId="77777777" w:rsidTr="006B1196">
        <w:trPr>
          <w:trHeight w:val="227"/>
          <w:jc w:val="center"/>
        </w:trPr>
        <w:tc>
          <w:tcPr>
            <w:tcW w:w="3261" w:type="dxa"/>
            <w:tcBorders>
              <w:bottom w:val="single" w:sz="8" w:space="0" w:color="0070AD" w:themeColor="accent1"/>
            </w:tcBorders>
          </w:tcPr>
          <w:p w14:paraId="1CC17A99" w14:textId="536FEF38" w:rsidR="00BF3BCD" w:rsidRPr="00F4191D" w:rsidRDefault="00BF3BCD" w:rsidP="008E5363">
            <w:pPr>
              <w:pStyle w:val="TableParagraph"/>
              <w:keepNext/>
              <w:spacing w:before="100" w:beforeAutospacing="1" w:after="100" w:afterAutospacing="1" w:line="276" w:lineRule="auto"/>
              <w:ind w:left="142"/>
              <w:rPr>
                <w:sz w:val="16"/>
                <w:szCs w:val="16"/>
              </w:rPr>
            </w:pPr>
            <w:r w:rsidRPr="00F4191D">
              <w:rPr>
                <w:sz w:val="16"/>
                <w:szCs w:val="16"/>
              </w:rPr>
              <w:t>Operations &amp; Engineering</w:t>
            </w:r>
          </w:p>
        </w:tc>
        <w:tc>
          <w:tcPr>
            <w:tcW w:w="57" w:type="dxa"/>
            <w:tcBorders>
              <w:top w:val="nil"/>
              <w:left w:val="nil"/>
              <w:bottom w:val="single" w:sz="8" w:space="0" w:color="0070AD"/>
              <w:right w:val="nil"/>
            </w:tcBorders>
            <w:shd w:val="clear" w:color="auto" w:fill="auto"/>
            <w:vAlign w:val="center"/>
          </w:tcPr>
          <w:p w14:paraId="45891021" w14:textId="77777777" w:rsidR="00BF3BCD" w:rsidRPr="00F4191D" w:rsidRDefault="00BF3BCD" w:rsidP="008E5363">
            <w:pPr>
              <w:pStyle w:val="TableParagraph"/>
              <w:keepNext/>
              <w:spacing w:before="100" w:beforeAutospacing="1" w:after="100" w:afterAutospacing="1" w:line="276" w:lineRule="auto"/>
              <w:ind w:left="1" w:right="537"/>
              <w:jc w:val="right"/>
              <w:rPr>
                <w:sz w:val="16"/>
                <w:szCs w:val="16"/>
              </w:rPr>
            </w:pPr>
            <w:r w:rsidRPr="00F4191D">
              <w:rPr>
                <w:sz w:val="16"/>
                <w:szCs w:val="16"/>
              </w:rPr>
              <w:t> </w:t>
            </w:r>
          </w:p>
        </w:tc>
        <w:tc>
          <w:tcPr>
            <w:tcW w:w="1502" w:type="dxa"/>
            <w:tcBorders>
              <w:top w:val="nil"/>
              <w:left w:val="nil"/>
              <w:bottom w:val="single" w:sz="8" w:space="0" w:color="0070AD"/>
              <w:right w:val="nil"/>
            </w:tcBorders>
            <w:shd w:val="clear" w:color="auto" w:fill="auto"/>
          </w:tcPr>
          <w:p w14:paraId="363CA5F2" w14:textId="45AED8EE" w:rsidR="00BF3BCD" w:rsidRPr="00F4191D" w:rsidRDefault="00BF3BCD" w:rsidP="008E5363">
            <w:pPr>
              <w:keepNext/>
              <w:widowControl w:val="0"/>
              <w:spacing w:before="100" w:beforeAutospacing="1" w:after="100" w:afterAutospacing="1" w:line="276" w:lineRule="auto"/>
              <w:ind w:right="452"/>
              <w:jc w:val="right"/>
              <w:rPr>
                <w:rFonts w:eastAsia="Arial" w:cs="Arial"/>
                <w:sz w:val="16"/>
                <w:szCs w:val="18"/>
                <w:highlight w:val="cyan"/>
              </w:rPr>
            </w:pPr>
            <w:r w:rsidRPr="00F4191D">
              <w:rPr>
                <w:sz w:val="16"/>
                <w:szCs w:val="18"/>
              </w:rPr>
              <w:t>+3.5%</w:t>
            </w:r>
          </w:p>
        </w:tc>
        <w:tc>
          <w:tcPr>
            <w:tcW w:w="1644" w:type="dxa"/>
            <w:tcBorders>
              <w:top w:val="nil"/>
              <w:left w:val="nil"/>
              <w:bottom w:val="single" w:sz="8" w:space="0" w:color="0070AD"/>
              <w:right w:val="nil"/>
            </w:tcBorders>
            <w:shd w:val="clear" w:color="auto" w:fill="FFFFFF" w:themeFill="background1"/>
          </w:tcPr>
          <w:p w14:paraId="4FB6F43A" w14:textId="5FC50E82" w:rsidR="00BF3BCD" w:rsidRPr="00F4191D" w:rsidRDefault="00BF3BCD" w:rsidP="008E5363">
            <w:pPr>
              <w:keepNext/>
              <w:widowControl w:val="0"/>
              <w:spacing w:before="100" w:beforeAutospacing="1" w:after="100" w:afterAutospacing="1" w:line="276" w:lineRule="auto"/>
              <w:ind w:right="452"/>
              <w:jc w:val="right"/>
              <w:rPr>
                <w:rFonts w:eastAsia="Arial" w:cs="Arial"/>
                <w:sz w:val="16"/>
                <w:szCs w:val="18"/>
                <w:highlight w:val="cyan"/>
              </w:rPr>
            </w:pPr>
            <w:r w:rsidRPr="00F4191D">
              <w:rPr>
                <w:sz w:val="16"/>
                <w:szCs w:val="18"/>
              </w:rPr>
              <w:t>+69.4%</w:t>
            </w:r>
          </w:p>
        </w:tc>
        <w:tc>
          <w:tcPr>
            <w:tcW w:w="1559" w:type="dxa"/>
            <w:tcBorders>
              <w:top w:val="nil"/>
              <w:left w:val="nil"/>
              <w:bottom w:val="single" w:sz="8" w:space="0" w:color="0070AD"/>
              <w:right w:val="nil"/>
            </w:tcBorders>
            <w:shd w:val="clear" w:color="auto" w:fill="BBE7FF" w:themeFill="accent1" w:themeFillTint="33"/>
          </w:tcPr>
          <w:p w14:paraId="38C44191" w14:textId="1F635F77" w:rsidR="00BF3BCD" w:rsidRPr="00F4191D" w:rsidRDefault="00BF3BCD" w:rsidP="008E5363">
            <w:pPr>
              <w:keepNext/>
              <w:widowControl w:val="0"/>
              <w:spacing w:before="100" w:beforeAutospacing="1" w:after="100" w:afterAutospacing="1" w:line="276" w:lineRule="auto"/>
              <w:ind w:right="452"/>
              <w:jc w:val="right"/>
              <w:rPr>
                <w:rFonts w:eastAsia="Arial" w:cs="Arial"/>
                <w:sz w:val="16"/>
                <w:szCs w:val="18"/>
                <w:highlight w:val="cyan"/>
              </w:rPr>
            </w:pPr>
            <w:r w:rsidRPr="00F4191D">
              <w:rPr>
                <w:sz w:val="16"/>
                <w:szCs w:val="18"/>
              </w:rPr>
              <w:t>+37.2%</w:t>
            </w:r>
          </w:p>
        </w:tc>
        <w:tc>
          <w:tcPr>
            <w:tcW w:w="257" w:type="dxa"/>
            <w:tcBorders>
              <w:top w:val="nil"/>
              <w:left w:val="nil"/>
              <w:bottom w:val="single" w:sz="8" w:space="0" w:color="0070AD"/>
              <w:right w:val="nil"/>
            </w:tcBorders>
          </w:tcPr>
          <w:p w14:paraId="5C14321D" w14:textId="77777777" w:rsidR="00BF3BCD" w:rsidRPr="00F4191D" w:rsidRDefault="00BF3BCD" w:rsidP="008E5363">
            <w:pPr>
              <w:keepNext/>
              <w:widowControl w:val="0"/>
              <w:spacing w:before="100" w:beforeAutospacing="1" w:after="100" w:afterAutospacing="1" w:line="276" w:lineRule="auto"/>
              <w:ind w:right="452"/>
              <w:jc w:val="right"/>
              <w:rPr>
                <w:rFonts w:eastAsia="Arial" w:cs="Arial"/>
                <w:sz w:val="16"/>
                <w:szCs w:val="16"/>
              </w:rPr>
            </w:pPr>
          </w:p>
        </w:tc>
      </w:tr>
    </w:tbl>
    <w:p w14:paraId="2CC65BCF" w14:textId="77777777" w:rsidR="00717A69" w:rsidRPr="00F4191D" w:rsidRDefault="00717A69" w:rsidP="008E5363">
      <w:pPr>
        <w:spacing w:before="120" w:after="120" w:line="276" w:lineRule="auto"/>
        <w:rPr>
          <w:rFonts w:cs="Arial"/>
        </w:rPr>
      </w:pPr>
    </w:p>
    <w:p w14:paraId="269D29E6" w14:textId="416ABFC7" w:rsidR="00775468" w:rsidRPr="00F4191D" w:rsidRDefault="00717A69" w:rsidP="008E5363">
      <w:pPr>
        <w:spacing w:before="120" w:after="120" w:line="276" w:lineRule="auto"/>
      </w:pPr>
      <w:r w:rsidRPr="00F4191D">
        <w:t xml:space="preserve">The Group’s business mix changed </w:t>
      </w:r>
      <w:r w:rsidR="009A7CBF" w:rsidRPr="00F4191D">
        <w:t xml:space="preserve">noticeably </w:t>
      </w:r>
      <w:r w:rsidR="00192D2A">
        <w:t>in</w:t>
      </w:r>
      <w:r w:rsidR="00192D2A" w:rsidRPr="00F4191D">
        <w:t xml:space="preserve"> </w:t>
      </w:r>
      <w:r w:rsidR="009A7CBF" w:rsidRPr="00F4191D">
        <w:t xml:space="preserve">Q2 2020 </w:t>
      </w:r>
      <w:r w:rsidRPr="00F4191D">
        <w:t xml:space="preserve">with the integration of Altran which primarily delivers Engineering services. While </w:t>
      </w:r>
      <w:r w:rsidRPr="00F4191D">
        <w:rPr>
          <w:b/>
          <w:bCs/>
        </w:rPr>
        <w:t>Strategy &amp; Transformation</w:t>
      </w:r>
      <w:r w:rsidRPr="00F4191D">
        <w:t xml:space="preserve"> consulting services continued to generate 7% of Group</w:t>
      </w:r>
      <w:r w:rsidR="001E0F1F">
        <w:t>’s</w:t>
      </w:r>
      <w:r w:rsidRPr="00F4191D">
        <w:t xml:space="preserve"> total revenues in Q2, </w:t>
      </w:r>
      <w:r w:rsidRPr="00F4191D">
        <w:rPr>
          <w:b/>
          <w:bCs/>
        </w:rPr>
        <w:t>Operations &amp; Engineering</w:t>
      </w:r>
      <w:r w:rsidRPr="00F4191D">
        <w:t xml:space="preserve"> services now account for 33% of Group business with the addition of Altran’s engineering activities. </w:t>
      </w:r>
      <w:r w:rsidRPr="00F4191D">
        <w:rPr>
          <w:b/>
          <w:bCs/>
        </w:rPr>
        <w:t xml:space="preserve">Applications &amp; Technology </w:t>
      </w:r>
      <w:r w:rsidR="009A7CBF" w:rsidRPr="00F4191D">
        <w:t xml:space="preserve">services </w:t>
      </w:r>
      <w:r w:rsidRPr="00F4191D">
        <w:t xml:space="preserve">remain the Group’s core business, but now only represent 60% of total business. </w:t>
      </w:r>
      <w:r w:rsidRPr="00F4191D">
        <w:rPr>
          <w:b/>
          <w:bCs/>
        </w:rPr>
        <w:t xml:space="preserve"> </w:t>
      </w:r>
    </w:p>
    <w:p w14:paraId="285B01AB" w14:textId="58B23463" w:rsidR="00FF412C" w:rsidRPr="00F4191D" w:rsidRDefault="00493004">
      <w:pPr>
        <w:pStyle w:val="ListParagraph"/>
        <w:keepNext/>
        <w:numPr>
          <w:ilvl w:val="0"/>
          <w:numId w:val="11"/>
        </w:numPr>
        <w:spacing w:before="120" w:after="120" w:line="276" w:lineRule="auto"/>
        <w:rPr>
          <w:rFonts w:cs="Arial"/>
          <w:b/>
          <w:bCs/>
        </w:rPr>
      </w:pPr>
      <w:bookmarkStart w:id="12" w:name="_Hlk504930058"/>
      <w:bookmarkStart w:id="13" w:name="_Hlk14638337"/>
      <w:r w:rsidRPr="00F4191D">
        <w:rPr>
          <w:b/>
          <w:bCs/>
        </w:rPr>
        <w:t>Q2 2020:</w:t>
      </w:r>
    </w:p>
    <w:p w14:paraId="4D9F2ABB" w14:textId="40313648" w:rsidR="00B6428A" w:rsidRPr="00F4191D" w:rsidRDefault="00FF412C" w:rsidP="008E5363">
      <w:pPr>
        <w:spacing w:before="120" w:after="120" w:line="276" w:lineRule="auto"/>
        <w:rPr>
          <w:rFonts w:cs="Arial"/>
        </w:rPr>
      </w:pPr>
      <w:r w:rsidRPr="00F4191D">
        <w:t xml:space="preserve">As </w:t>
      </w:r>
      <w:r w:rsidR="009A7CBF" w:rsidRPr="00F4191D">
        <w:t xml:space="preserve">expected </w:t>
      </w:r>
      <w:r w:rsidRPr="00F4191D">
        <w:t xml:space="preserve">in a crisis environment, organic growth rates for Cloud infrastructure services and Business Services (the </w:t>
      </w:r>
      <w:r w:rsidRPr="00F4191D">
        <w:rPr>
          <w:b/>
          <w:bCs/>
        </w:rPr>
        <w:t>Operations</w:t>
      </w:r>
      <w:r w:rsidRPr="00F4191D">
        <w:t xml:space="preserve"> businesses) were relatively unaffected by the context, while the slowdown in </w:t>
      </w:r>
      <w:r w:rsidRPr="00F4191D">
        <w:rPr>
          <w:b/>
          <w:bCs/>
        </w:rPr>
        <w:t>Engineering</w:t>
      </w:r>
      <w:r w:rsidRPr="00F4191D">
        <w:t xml:space="preserve"> and </w:t>
      </w:r>
      <w:r w:rsidRPr="00F4191D">
        <w:rPr>
          <w:b/>
          <w:bCs/>
        </w:rPr>
        <w:t>Strategy &amp; Transformation</w:t>
      </w:r>
      <w:r w:rsidRPr="00F4191D">
        <w:t xml:space="preserve"> consulting services tended to exceed the Group average. </w:t>
      </w:r>
      <w:r w:rsidRPr="00F4191D">
        <w:rPr>
          <w:b/>
          <w:bCs/>
        </w:rPr>
        <w:t>Applications &amp; Technology</w:t>
      </w:r>
      <w:r w:rsidRPr="00F4191D">
        <w:t xml:space="preserve"> services, the Group’s core business, proved slightly more resilient than the Group average.</w:t>
      </w:r>
    </w:p>
    <w:p w14:paraId="2F8E6D4B" w14:textId="3954F729" w:rsidR="00DF72FD" w:rsidRPr="00F4191D" w:rsidRDefault="00DF72FD" w:rsidP="001B21FF">
      <w:pPr>
        <w:pStyle w:val="ListParagraph"/>
        <w:keepNext/>
        <w:numPr>
          <w:ilvl w:val="0"/>
          <w:numId w:val="11"/>
        </w:numPr>
        <w:spacing w:before="120" w:after="120" w:line="276" w:lineRule="auto"/>
        <w:rPr>
          <w:rFonts w:cs="Arial"/>
          <w:b/>
          <w:bCs/>
        </w:rPr>
      </w:pPr>
      <w:r w:rsidRPr="00F4191D">
        <w:rPr>
          <w:b/>
          <w:bCs/>
        </w:rPr>
        <w:t>H1 2020:</w:t>
      </w:r>
    </w:p>
    <w:p w14:paraId="0AA56910" w14:textId="54E98C51" w:rsidR="00230C70" w:rsidRPr="00F4191D" w:rsidRDefault="00230C70" w:rsidP="008E5363">
      <w:pPr>
        <w:spacing w:before="120" w:after="120" w:line="276" w:lineRule="auto"/>
        <w:rPr>
          <w:rFonts w:cs="Arial"/>
        </w:rPr>
      </w:pPr>
      <w:bookmarkStart w:id="14" w:name="_Hlk48334998"/>
      <w:r w:rsidRPr="00F4191D">
        <w:rPr>
          <w:b/>
        </w:rPr>
        <w:t>Strategy</w:t>
      </w:r>
      <w:r w:rsidRPr="00F4191D">
        <w:t xml:space="preserve"> </w:t>
      </w:r>
      <w:r w:rsidRPr="00F4191D">
        <w:rPr>
          <w:b/>
          <w:bCs/>
        </w:rPr>
        <w:t>&amp;</w:t>
      </w:r>
      <w:r w:rsidRPr="00F4191D">
        <w:t xml:space="preserve"> </w:t>
      </w:r>
      <w:r w:rsidRPr="00F4191D">
        <w:rPr>
          <w:b/>
        </w:rPr>
        <w:t>Transformation</w:t>
      </w:r>
      <w:bookmarkEnd w:id="14"/>
      <w:r w:rsidRPr="00F4191D">
        <w:t xml:space="preserve"> consulting services benefited from the integration of high value added consulting services developed by Altran in recent years, recording +8.6% growth in total revenues</w:t>
      </w:r>
      <w:r w:rsidR="0082230E" w:rsidRPr="00F4191D">
        <w:rPr>
          <w:rFonts w:cs="Arial"/>
          <w:vertAlign w:val="superscript"/>
        </w:rPr>
        <w:fldChar w:fldCharType="begin"/>
      </w:r>
      <w:r w:rsidR="0082230E" w:rsidRPr="00F4191D">
        <w:rPr>
          <w:rFonts w:cs="Arial"/>
          <w:vertAlign w:val="superscript"/>
        </w:rPr>
        <w:instrText xml:space="preserve"> NOTEREF _Ref13738408 \h  \* MERGEFORMAT </w:instrText>
      </w:r>
      <w:r w:rsidR="0082230E" w:rsidRPr="00F4191D">
        <w:rPr>
          <w:rFonts w:cs="Arial"/>
          <w:vertAlign w:val="superscript"/>
        </w:rPr>
      </w:r>
      <w:r w:rsidR="0082230E" w:rsidRPr="00F4191D">
        <w:rPr>
          <w:rFonts w:cs="Arial"/>
          <w:vertAlign w:val="superscript"/>
        </w:rPr>
        <w:fldChar w:fldCharType="separate"/>
      </w:r>
      <w:r w:rsidR="00141EF2" w:rsidRPr="00141EF2">
        <w:t>*</w:t>
      </w:r>
      <w:r w:rsidR="0082230E" w:rsidRPr="00F4191D">
        <w:rPr>
          <w:rFonts w:cs="Arial"/>
          <w:vertAlign w:val="superscript"/>
        </w:rPr>
        <w:fldChar w:fldCharType="end"/>
      </w:r>
      <w:r w:rsidRPr="00F4191D">
        <w:t xml:space="preserve"> at constant exchange rates.</w:t>
      </w:r>
    </w:p>
    <w:p w14:paraId="06BC4316" w14:textId="374BFB94" w:rsidR="00230C70" w:rsidRPr="00F4191D" w:rsidRDefault="00230C70" w:rsidP="008E5363">
      <w:pPr>
        <w:spacing w:before="120" w:after="120" w:line="276" w:lineRule="auto"/>
        <w:rPr>
          <w:rFonts w:cs="Arial"/>
        </w:rPr>
      </w:pPr>
      <w:r w:rsidRPr="00F4191D">
        <w:rPr>
          <w:b/>
          <w:bCs/>
        </w:rPr>
        <w:t>Applications &amp; Technology</w:t>
      </w:r>
      <w:r w:rsidRPr="00F4191D">
        <w:t xml:space="preserve"> services, the Group's core business, reported a -1.3% decline in total revenues at constant exchange rates. The Altran acquisition had only a limited impact on </w:t>
      </w:r>
      <w:r w:rsidR="00A12F3B" w:rsidRPr="00F4191D">
        <w:t xml:space="preserve">this </w:t>
      </w:r>
      <w:r w:rsidR="00107A03">
        <w:t>business</w:t>
      </w:r>
      <w:r w:rsidRPr="00F4191D">
        <w:t>.</w:t>
      </w:r>
    </w:p>
    <w:p w14:paraId="7F666646" w14:textId="2144A4B8" w:rsidR="00230C70" w:rsidRPr="00F4191D" w:rsidRDefault="00230C70" w:rsidP="008E5363">
      <w:pPr>
        <w:spacing w:before="120" w:after="120" w:line="276" w:lineRule="auto"/>
        <w:rPr>
          <w:rFonts w:cs="Arial"/>
        </w:rPr>
      </w:pPr>
      <w:r w:rsidRPr="00F4191D">
        <w:t xml:space="preserve">Finally, </w:t>
      </w:r>
      <w:r w:rsidRPr="00F4191D">
        <w:rPr>
          <w:b/>
          <w:bCs/>
        </w:rPr>
        <w:t xml:space="preserve">Operations &amp; </w:t>
      </w:r>
      <w:r w:rsidRPr="00F4191D">
        <w:rPr>
          <w:b/>
        </w:rPr>
        <w:t>Engineering</w:t>
      </w:r>
      <w:r w:rsidRPr="00F4191D">
        <w:t xml:space="preserve"> total revenues grew +37.2% at constant exchange rates boosted by the consolidation of Altran, which primarily delivers Engineering services.</w:t>
      </w:r>
    </w:p>
    <w:bookmarkEnd w:id="12"/>
    <w:bookmarkEnd w:id="13"/>
    <w:p w14:paraId="0B6D1A9B" w14:textId="2E5C35FB" w:rsidR="00B00202" w:rsidRPr="00F4191D" w:rsidRDefault="00B00202" w:rsidP="008E5363">
      <w:pPr>
        <w:spacing w:before="120" w:after="120" w:line="276" w:lineRule="auto"/>
        <w:rPr>
          <w:rFonts w:ascii="Verdana" w:hAnsi="Verdana" w:cs="Arial"/>
          <w:b/>
        </w:rPr>
      </w:pPr>
    </w:p>
    <w:p w14:paraId="73A25751" w14:textId="42D12BC8" w:rsidR="00B00202" w:rsidRPr="00F4191D" w:rsidRDefault="00C96D53" w:rsidP="008E5363">
      <w:pPr>
        <w:pStyle w:val="Heading1"/>
        <w:spacing w:line="276" w:lineRule="auto"/>
      </w:pPr>
      <w:r w:rsidRPr="00F4191D">
        <w:t>HEADCOUNT</w:t>
      </w:r>
    </w:p>
    <w:p w14:paraId="7A274E75" w14:textId="73E77B42" w:rsidR="00980F65" w:rsidRPr="00F4191D" w:rsidRDefault="00980F65" w:rsidP="008E5363">
      <w:pPr>
        <w:pStyle w:val="BodyText"/>
        <w:spacing w:line="276" w:lineRule="auto"/>
      </w:pPr>
      <w:r w:rsidRPr="00F4191D">
        <w:t xml:space="preserve">At June 30, 2020, the Group’s total headcount stood at 265,100, up +22% year-on-year, mainly following the integration of 50,000 Altran team members. Nearly 139,500 employees work in offshore centers, </w:t>
      </w:r>
      <w:r w:rsidR="008D7916">
        <w:t>i.e.</w:t>
      </w:r>
      <w:r w:rsidR="008D7916" w:rsidRPr="00F4191D">
        <w:t xml:space="preserve"> </w:t>
      </w:r>
      <w:r w:rsidRPr="00F4191D">
        <w:t xml:space="preserve">53% of the total headcount. </w:t>
      </w:r>
    </w:p>
    <w:p w14:paraId="37EB691F" w14:textId="77777777" w:rsidR="00B00202" w:rsidRPr="00F4191D" w:rsidRDefault="00B00202" w:rsidP="008E5363">
      <w:pPr>
        <w:spacing w:before="120" w:after="120" w:line="276" w:lineRule="auto"/>
        <w:rPr>
          <w:rFonts w:ascii="Verdana" w:hAnsi="Verdana" w:cs="Arial"/>
        </w:rPr>
      </w:pPr>
    </w:p>
    <w:p w14:paraId="5D2C9B7C" w14:textId="15317743" w:rsidR="00B00202" w:rsidRPr="00F4191D" w:rsidRDefault="00C96D53" w:rsidP="008E5363">
      <w:pPr>
        <w:pStyle w:val="Heading1"/>
        <w:spacing w:line="276" w:lineRule="auto"/>
      </w:pPr>
      <w:r w:rsidRPr="00F4191D">
        <w:t>BALANCE SHEET</w:t>
      </w:r>
    </w:p>
    <w:p w14:paraId="101DBA00" w14:textId="5177C04E" w:rsidR="00C0138D" w:rsidRPr="00F4191D" w:rsidRDefault="0076342F" w:rsidP="008E5363">
      <w:pPr>
        <w:spacing w:before="120" w:after="120" w:line="276" w:lineRule="auto"/>
        <w:rPr>
          <w:rFonts w:ascii="Verdana" w:hAnsi="Verdana" w:cs="Arial"/>
        </w:rPr>
      </w:pPr>
      <w:r w:rsidRPr="00F4191D">
        <w:rPr>
          <w:rFonts w:ascii="Verdana" w:hAnsi="Verdana"/>
        </w:rPr>
        <w:t xml:space="preserve">Capgemini’s balance sheet structure changed significantly in H1 2020 following the acquisition of Altran </w:t>
      </w:r>
      <w:r w:rsidR="006240FF" w:rsidRPr="00F4191D">
        <w:rPr>
          <w:rFonts w:ascii="Verdana" w:hAnsi="Verdana"/>
        </w:rPr>
        <w:t xml:space="preserve">for an enterprise value of </w:t>
      </w:r>
      <w:r w:rsidR="00ED5A3D" w:rsidRPr="00F4191D">
        <w:rPr>
          <w:rFonts w:ascii="Verdana" w:hAnsi="Verdana"/>
        </w:rPr>
        <w:t>€</w:t>
      </w:r>
      <w:r w:rsidR="00D02BC0" w:rsidRPr="00F4191D">
        <w:rPr>
          <w:rFonts w:ascii="Verdana" w:hAnsi="Verdana"/>
        </w:rPr>
        <w:t xml:space="preserve">5.2 billion </w:t>
      </w:r>
      <w:r w:rsidRPr="00F4191D">
        <w:rPr>
          <w:rFonts w:ascii="Verdana" w:hAnsi="Verdana"/>
        </w:rPr>
        <w:t>(</w:t>
      </w:r>
      <w:r w:rsidR="00020610" w:rsidRPr="00F4191D">
        <w:rPr>
          <w:rFonts w:ascii="Verdana" w:hAnsi="Verdana"/>
        </w:rPr>
        <w:t>including</w:t>
      </w:r>
      <w:r w:rsidR="00D02BC0" w:rsidRPr="00F4191D">
        <w:rPr>
          <w:rFonts w:ascii="Verdana" w:hAnsi="Verdana"/>
        </w:rPr>
        <w:t xml:space="preserve"> </w:t>
      </w:r>
      <w:r w:rsidRPr="00F4191D">
        <w:rPr>
          <w:rFonts w:ascii="Verdana" w:hAnsi="Verdana"/>
        </w:rPr>
        <w:t xml:space="preserve">€3.7 billion </w:t>
      </w:r>
      <w:r w:rsidR="00BF2335">
        <w:rPr>
          <w:rFonts w:ascii="Verdana" w:hAnsi="Verdana"/>
        </w:rPr>
        <w:t xml:space="preserve">paid in cash </w:t>
      </w:r>
      <w:bookmarkStart w:id="15" w:name="_Ref48670698"/>
      <w:r w:rsidR="00BF2335">
        <w:rPr>
          <w:rFonts w:ascii="Verdana" w:hAnsi="Verdana"/>
        </w:rPr>
        <w:t>for the equity</w:t>
      </w:r>
      <w:r w:rsidR="005A3BBC" w:rsidRPr="00F4191D">
        <w:rPr>
          <w:rStyle w:val="FootnoteReference"/>
          <w:rFonts w:ascii="Verdana" w:hAnsi="Verdana" w:cs="Arial"/>
        </w:rPr>
        <w:footnoteReference w:id="5"/>
      </w:r>
      <w:bookmarkEnd w:id="15"/>
      <w:r w:rsidRPr="00F4191D">
        <w:rPr>
          <w:rFonts w:ascii="Verdana" w:hAnsi="Verdana"/>
        </w:rPr>
        <w:t>).</w:t>
      </w:r>
    </w:p>
    <w:p w14:paraId="00B044F0" w14:textId="59DFD989" w:rsidR="009837FE" w:rsidRPr="00F4191D" w:rsidRDefault="00CE773A" w:rsidP="008E5363">
      <w:pPr>
        <w:spacing w:before="120" w:after="120" w:line="276" w:lineRule="auto"/>
        <w:rPr>
          <w:rFonts w:ascii="Verdana" w:hAnsi="Verdana" w:cs="Arial"/>
        </w:rPr>
      </w:pPr>
      <w:r w:rsidRPr="00F4191D">
        <w:rPr>
          <w:rFonts w:ascii="Verdana" w:hAnsi="Verdana"/>
        </w:rPr>
        <w:t xml:space="preserve">As the Altran securities were purchased in two separate stages (before and after the takeover </w:t>
      </w:r>
      <w:r w:rsidR="007845AF" w:rsidRPr="00F4191D">
        <w:rPr>
          <w:rFonts w:ascii="Verdana" w:hAnsi="Verdana"/>
        </w:rPr>
        <w:t xml:space="preserve">became effective </w:t>
      </w:r>
      <w:r w:rsidRPr="00F4191D">
        <w:rPr>
          <w:rFonts w:ascii="Verdana" w:hAnsi="Verdana"/>
        </w:rPr>
        <w:t>on March 13, 2020), this transaction generated a €2.6 billion increase in goodwill</w:t>
      </w:r>
      <w:r w:rsidR="00617C6B" w:rsidRPr="00F4191D">
        <w:rPr>
          <w:rStyle w:val="FootnoteReference"/>
          <w:rFonts w:ascii="Verdana" w:hAnsi="Verdana"/>
        </w:rPr>
        <w:footnoteReference w:id="6"/>
      </w:r>
      <w:r w:rsidRPr="00F4191D">
        <w:rPr>
          <w:rFonts w:ascii="Verdana" w:hAnsi="Verdana"/>
        </w:rPr>
        <w:t xml:space="preserve"> over the period</w:t>
      </w:r>
      <w:r w:rsidRPr="00F4191D">
        <w:rPr>
          <w:rFonts w:ascii="Verdana" w:hAnsi="Verdana"/>
          <w:szCs w:val="18"/>
        </w:rPr>
        <w:t xml:space="preserve"> </w:t>
      </w:r>
      <w:r w:rsidRPr="00F4191D">
        <w:rPr>
          <w:rFonts w:ascii="Verdana" w:hAnsi="Verdana"/>
        </w:rPr>
        <w:t>(€10.3 billion at the closing date compared with €7.7 billion at the opening date), followed by a decrease in equity (€5.9 billion at the closing date compared with €8.4 billion at the opening date).</w:t>
      </w:r>
    </w:p>
    <w:p w14:paraId="1355B9FE" w14:textId="1270876B" w:rsidR="00B00202" w:rsidRPr="00F4191D" w:rsidRDefault="00B00202" w:rsidP="008E5363">
      <w:pPr>
        <w:spacing w:before="120" w:after="120" w:line="276" w:lineRule="auto"/>
        <w:rPr>
          <w:rFonts w:ascii="Verdana" w:hAnsi="Verdana" w:cs="Arial"/>
        </w:rPr>
      </w:pPr>
      <w:r w:rsidRPr="00F4191D">
        <w:rPr>
          <w:rFonts w:ascii="Verdana" w:hAnsi="Verdana"/>
        </w:rPr>
        <w:t xml:space="preserve">At June 30, 2020, the Group had cash and cash equivalents and cash management assets </w:t>
      </w:r>
      <w:r w:rsidR="007845AF" w:rsidRPr="00F4191D">
        <w:rPr>
          <w:rFonts w:ascii="Verdana" w:hAnsi="Verdana"/>
        </w:rPr>
        <w:t xml:space="preserve">totaling </w:t>
      </w:r>
      <w:r w:rsidRPr="00F4191D">
        <w:rPr>
          <w:rFonts w:ascii="Verdana" w:hAnsi="Verdana"/>
        </w:rPr>
        <w:t>€2.4 billion. After accounting for borrowings of €8.5 billion and derivative instruments, Group net debt</w:t>
      </w:r>
      <w:r w:rsidR="00701F43" w:rsidRPr="00F4191D">
        <w:rPr>
          <w:rFonts w:ascii="Verdana" w:hAnsi="Verdana" w:cs="Arial"/>
          <w:bCs/>
          <w:vertAlign w:val="superscript"/>
        </w:rPr>
        <w:fldChar w:fldCharType="begin"/>
      </w:r>
      <w:r w:rsidR="00701F43" w:rsidRPr="00F4191D">
        <w:rPr>
          <w:rFonts w:ascii="Verdana" w:hAnsi="Verdana" w:cs="Arial"/>
          <w:bCs/>
          <w:vertAlign w:val="superscript"/>
        </w:rPr>
        <w:instrText xml:space="preserve"> NOTEREF _Ref13738408 \h  \* MERGEFORMAT </w:instrText>
      </w:r>
      <w:r w:rsidR="00701F43" w:rsidRPr="00F4191D">
        <w:rPr>
          <w:rFonts w:ascii="Verdana" w:hAnsi="Verdana" w:cs="Arial"/>
          <w:bCs/>
          <w:vertAlign w:val="superscript"/>
        </w:rPr>
      </w:r>
      <w:r w:rsidR="00701F43" w:rsidRPr="00F4191D">
        <w:rPr>
          <w:rFonts w:ascii="Verdana" w:hAnsi="Verdana" w:cs="Arial"/>
          <w:bCs/>
          <w:vertAlign w:val="superscript"/>
        </w:rPr>
        <w:fldChar w:fldCharType="separate"/>
      </w:r>
      <w:r w:rsidR="00141EF2" w:rsidRPr="00141EF2">
        <w:rPr>
          <w:bCs/>
          <w:vertAlign w:val="superscript"/>
        </w:rPr>
        <w:t>*</w:t>
      </w:r>
      <w:r w:rsidR="00701F43" w:rsidRPr="00F4191D">
        <w:rPr>
          <w:rFonts w:ascii="Verdana" w:hAnsi="Verdana" w:cs="Arial"/>
          <w:bCs/>
          <w:vertAlign w:val="superscript"/>
        </w:rPr>
        <w:fldChar w:fldCharType="end"/>
      </w:r>
      <w:r w:rsidRPr="00F4191D">
        <w:rPr>
          <w:rFonts w:ascii="Verdana" w:hAnsi="Verdana"/>
        </w:rPr>
        <w:t xml:space="preserve"> </w:t>
      </w:r>
      <w:r w:rsidR="00B545EB">
        <w:rPr>
          <w:rFonts w:ascii="Verdana" w:hAnsi="Verdana"/>
        </w:rPr>
        <w:t>was</w:t>
      </w:r>
      <w:r w:rsidR="00B545EB" w:rsidRPr="00F4191D">
        <w:rPr>
          <w:rFonts w:ascii="Verdana" w:hAnsi="Verdana"/>
        </w:rPr>
        <w:t xml:space="preserve"> </w:t>
      </w:r>
      <w:r w:rsidRPr="00F4191D">
        <w:rPr>
          <w:rFonts w:ascii="Verdana" w:hAnsi="Verdana"/>
        </w:rPr>
        <w:t>€6.0 billion at June 30, 2020, compared with €1.6 billion at June 30, 2019 and €0.6 billion at December 31, 2019. This increase in net debt is mainly due to the acquisition of Altran.</w:t>
      </w:r>
    </w:p>
    <w:p w14:paraId="46A55CD2" w14:textId="0207D1D7" w:rsidR="004A6C79" w:rsidRPr="00F4191D" w:rsidRDefault="00DF75D8" w:rsidP="008E5363">
      <w:pPr>
        <w:spacing w:before="120" w:after="120" w:line="276" w:lineRule="auto"/>
        <w:rPr>
          <w:rFonts w:ascii="Verdana" w:hAnsi="Verdana" w:cs="Arial"/>
        </w:rPr>
      </w:pPr>
      <w:r w:rsidRPr="00F4191D">
        <w:rPr>
          <w:rFonts w:ascii="Verdana" w:hAnsi="Verdana"/>
        </w:rPr>
        <w:t xml:space="preserve">The Altran acquisition was financed in line with the financing </w:t>
      </w:r>
      <w:r w:rsidR="007845AF" w:rsidRPr="00F4191D">
        <w:rPr>
          <w:rFonts w:ascii="Verdana" w:hAnsi="Verdana"/>
        </w:rPr>
        <w:t xml:space="preserve">plan </w:t>
      </w:r>
      <w:r w:rsidRPr="00F4191D">
        <w:rPr>
          <w:rFonts w:ascii="Verdana" w:hAnsi="Verdana"/>
        </w:rPr>
        <w:t xml:space="preserve">presented in June 2019 (€5.4 billion, encompassing €3.7 billion for the purchase of securities and €1.7 billion of gross debt carried by Altran). Capgemini therefore used available cash of approximately €1.0 billion (including €0.4 billion for the purchase of securities in 2019) and issued bonds for </w:t>
      </w:r>
      <w:r w:rsidR="00D92C6E">
        <w:rPr>
          <w:rFonts w:ascii="Verdana" w:hAnsi="Verdana"/>
        </w:rPr>
        <w:t>the balance</w:t>
      </w:r>
      <w:r w:rsidRPr="00F4191D">
        <w:rPr>
          <w:rFonts w:ascii="Verdana" w:hAnsi="Verdana"/>
        </w:rPr>
        <w:t xml:space="preserve">. </w:t>
      </w:r>
    </w:p>
    <w:p w14:paraId="79DC48E5" w14:textId="17DE6505" w:rsidR="00642946" w:rsidRPr="00F4191D" w:rsidRDefault="00540FEA" w:rsidP="008E5363">
      <w:pPr>
        <w:spacing w:before="120" w:after="120" w:line="276" w:lineRule="auto"/>
        <w:rPr>
          <w:rFonts w:ascii="Verdana" w:hAnsi="Verdana" w:cs="Arial"/>
        </w:rPr>
      </w:pPr>
      <w:r w:rsidRPr="00F4191D">
        <w:rPr>
          <w:rFonts w:ascii="Verdana" w:hAnsi="Verdana"/>
        </w:rPr>
        <w:t>In April 2020, the Group performed a €3.5 billion multi-tranche bond issue, €2.8 billion of which was used to finance the acquisition</w:t>
      </w:r>
      <w:r w:rsidR="00603F92" w:rsidRPr="00F4191D">
        <w:rPr>
          <w:rStyle w:val="FootnoteReference"/>
          <w:rFonts w:ascii="Verdana" w:hAnsi="Verdana" w:cs="Arial"/>
        </w:rPr>
        <w:footnoteReference w:id="7"/>
      </w:r>
      <w:r w:rsidRPr="00F4191D">
        <w:rPr>
          <w:rFonts w:ascii="Verdana" w:hAnsi="Verdana"/>
        </w:rPr>
        <w:t>. The Altran term loan</w:t>
      </w:r>
      <w:r w:rsidR="00FB3060" w:rsidRPr="00F4191D">
        <w:rPr>
          <w:rFonts w:ascii="Verdana" w:hAnsi="Verdana"/>
        </w:rPr>
        <w:t>s</w:t>
      </w:r>
      <w:r w:rsidRPr="00F4191D">
        <w:rPr>
          <w:rFonts w:ascii="Verdana" w:hAnsi="Verdana"/>
        </w:rPr>
        <w:t xml:space="preserve"> </w:t>
      </w:r>
      <w:r w:rsidR="00FB3060" w:rsidRPr="00F4191D">
        <w:rPr>
          <w:rFonts w:ascii="Verdana" w:hAnsi="Verdana"/>
        </w:rPr>
        <w:t xml:space="preserve">were </w:t>
      </w:r>
      <w:r w:rsidRPr="00F4191D">
        <w:rPr>
          <w:rFonts w:ascii="Verdana" w:hAnsi="Verdana"/>
        </w:rPr>
        <w:t xml:space="preserve">then refinanced in June 2020 through a second multi-tranche bond issue of €1.6 billion. </w:t>
      </w:r>
    </w:p>
    <w:p w14:paraId="3F7E0DC6" w14:textId="5E905301" w:rsidR="008E29F7" w:rsidRPr="00F4191D" w:rsidRDefault="00642946" w:rsidP="008E5363">
      <w:pPr>
        <w:spacing w:before="120" w:after="120" w:line="276" w:lineRule="auto"/>
        <w:rPr>
          <w:rFonts w:ascii="Verdana" w:hAnsi="Verdana" w:cs="Arial"/>
        </w:rPr>
      </w:pPr>
      <w:r w:rsidRPr="00F4191D">
        <w:rPr>
          <w:rFonts w:ascii="Verdana" w:hAnsi="Verdana"/>
        </w:rPr>
        <w:t xml:space="preserve">These </w:t>
      </w:r>
      <w:r w:rsidR="00BA1AC3" w:rsidRPr="00F4191D">
        <w:rPr>
          <w:rFonts w:ascii="Verdana" w:hAnsi="Verdana"/>
        </w:rPr>
        <w:t>refinancing</w:t>
      </w:r>
      <w:r w:rsidR="001C5396" w:rsidRPr="00F4191D">
        <w:rPr>
          <w:rFonts w:ascii="Verdana" w:hAnsi="Verdana"/>
        </w:rPr>
        <w:t xml:space="preserve"> transactions</w:t>
      </w:r>
      <w:r w:rsidRPr="00F4191D">
        <w:rPr>
          <w:rFonts w:ascii="Verdana" w:hAnsi="Verdana"/>
        </w:rPr>
        <w:t xml:space="preserve"> extended the average maturity of the Group’s </w:t>
      </w:r>
      <w:r w:rsidR="00FD0DB4" w:rsidRPr="00F4191D">
        <w:rPr>
          <w:rFonts w:ascii="Verdana" w:hAnsi="Verdana"/>
        </w:rPr>
        <w:t xml:space="preserve">bond debt </w:t>
      </w:r>
      <w:r w:rsidRPr="00F4191D">
        <w:rPr>
          <w:rFonts w:ascii="Verdana" w:hAnsi="Verdana"/>
        </w:rPr>
        <w:t>to 6.6 years, with a low average cost of 1.8%. The</w:t>
      </w:r>
      <w:r w:rsidR="0041125A" w:rsidRPr="00F4191D">
        <w:rPr>
          <w:rFonts w:ascii="Verdana" w:hAnsi="Verdana"/>
        </w:rPr>
        <w:t>ir strong</w:t>
      </w:r>
      <w:r w:rsidR="00020610" w:rsidRPr="00F4191D">
        <w:rPr>
          <w:rFonts w:ascii="Verdana" w:hAnsi="Verdana"/>
        </w:rPr>
        <w:t xml:space="preserve"> success</w:t>
      </w:r>
      <w:r w:rsidRPr="00F4191D">
        <w:rPr>
          <w:rFonts w:ascii="Verdana" w:hAnsi="Verdana"/>
        </w:rPr>
        <w:t xml:space="preserve"> reflect</w:t>
      </w:r>
      <w:r w:rsidR="00DE46AD" w:rsidRPr="00F4191D">
        <w:rPr>
          <w:rFonts w:ascii="Verdana" w:hAnsi="Verdana"/>
        </w:rPr>
        <w:t>s</w:t>
      </w:r>
      <w:r w:rsidRPr="00F4191D">
        <w:rPr>
          <w:rFonts w:ascii="Verdana" w:hAnsi="Verdana"/>
        </w:rPr>
        <w:t xml:space="preserve"> investor confidence in Capgemini’s financial profile and the relevance of its growth strategy.</w:t>
      </w:r>
    </w:p>
    <w:p w14:paraId="5739B149" w14:textId="77777777" w:rsidR="00E62AD7" w:rsidRPr="00F4191D" w:rsidRDefault="00E62AD7" w:rsidP="008E5363">
      <w:pPr>
        <w:spacing w:before="120" w:after="120" w:line="276" w:lineRule="auto"/>
        <w:rPr>
          <w:rFonts w:ascii="Verdana" w:hAnsi="Verdana" w:cs="Arial"/>
        </w:rPr>
      </w:pPr>
    </w:p>
    <w:p w14:paraId="1BC47B03" w14:textId="423C242F" w:rsidR="00C96D53" w:rsidRPr="00F4191D" w:rsidRDefault="00280EB9" w:rsidP="008E5363">
      <w:pPr>
        <w:spacing w:before="120" w:after="120" w:line="276" w:lineRule="auto"/>
        <w:rPr>
          <w:rFonts w:ascii="Verdana" w:hAnsi="Verdana" w:cs="Arial"/>
          <w:b/>
        </w:rPr>
      </w:pPr>
      <w:bookmarkStart w:id="16" w:name="_Hlk14680968"/>
      <w:r w:rsidRPr="00F4191D">
        <w:rPr>
          <w:rFonts w:ascii="Verdana" w:hAnsi="Verdana"/>
          <w:b/>
        </w:rPr>
        <w:t>ACQUISITION AND INTEGRATION OF ALTRAN TECHNOLOGIES</w:t>
      </w:r>
    </w:p>
    <w:bookmarkEnd w:id="16"/>
    <w:p w14:paraId="491449DF" w14:textId="0109E0E7" w:rsidR="00E43A74" w:rsidRPr="00F4191D" w:rsidRDefault="00280EB9" w:rsidP="008E5363">
      <w:pPr>
        <w:spacing w:before="120" w:after="120" w:line="276" w:lineRule="auto"/>
        <w:rPr>
          <w:rFonts w:cs="Arial"/>
        </w:rPr>
      </w:pPr>
      <w:r w:rsidRPr="00F4191D">
        <w:t xml:space="preserve">Following the </w:t>
      </w:r>
      <w:r w:rsidR="00F90A0F" w:rsidRPr="00F4191D">
        <w:t xml:space="preserve">effective </w:t>
      </w:r>
      <w:r w:rsidRPr="00F4191D">
        <w:t>takeover of Altran on March 13, 2020, Capgemini reopened the friendly tender offer. The success of this reopening enabled the implementation, in April 2020, of a squeeze-out on the remaining Altran shares not yet held. After this procedure, Capgemini held 100% of the share capital and voting rights of Altran Technologies, which is fully consolidat</w:t>
      </w:r>
      <w:r w:rsidR="007E03D4">
        <w:t>ed</w:t>
      </w:r>
      <w:r w:rsidRPr="00F4191D">
        <w:t xml:space="preserve"> in the Capgemini scope from April 1, 2020, as previously stated. </w:t>
      </w:r>
    </w:p>
    <w:p w14:paraId="74A32692" w14:textId="6CAB7632" w:rsidR="004C21B3" w:rsidRPr="00F4191D" w:rsidRDefault="008B2D8D" w:rsidP="008E5363">
      <w:pPr>
        <w:spacing w:before="120" w:after="120" w:line="276" w:lineRule="auto"/>
        <w:rPr>
          <w:rFonts w:cs="Arial"/>
        </w:rPr>
      </w:pPr>
      <w:r w:rsidRPr="00F4191D">
        <w:t xml:space="preserve">The integration process was launched immediately and is progressing in line with Group expectations. Full-year cost and operating model synergies of between €70 million and €100 million, before tax, are expected as communicated on the announcement of the acquisition project. </w:t>
      </w:r>
      <w:r w:rsidR="00A14E06" w:rsidRPr="00F4191D">
        <w:t>Capgemini</w:t>
      </w:r>
      <w:r w:rsidRPr="00F4191D">
        <w:t xml:space="preserve"> now expects to </w:t>
      </w:r>
      <w:r w:rsidR="00F90A0F" w:rsidRPr="00F4191D">
        <w:t xml:space="preserve">reach a run-rate of </w:t>
      </w:r>
      <w:r w:rsidRPr="00F4191D">
        <w:t xml:space="preserve">two-thirds </w:t>
      </w:r>
      <w:r w:rsidR="00F90A0F" w:rsidRPr="00F4191D">
        <w:t>of these synergies in</w:t>
      </w:r>
      <w:r w:rsidRPr="00F4191D">
        <w:t xml:space="preserve"> June 2021. Moreover, based on the many commercial opportunities already identified, and in certain cases already signed, the Group is confident it can achieve the commercial synergies announced, which represent additional annual revenues of between €200 million and €350 million within three years. </w:t>
      </w:r>
    </w:p>
    <w:p w14:paraId="2C24697F" w14:textId="77777777" w:rsidR="00BE2D78" w:rsidRPr="00F4191D" w:rsidRDefault="00BE2D78" w:rsidP="008E5363">
      <w:pPr>
        <w:spacing w:before="120" w:after="120" w:line="276" w:lineRule="auto"/>
        <w:rPr>
          <w:rFonts w:ascii="Verdana" w:hAnsi="Verdana"/>
          <w:b/>
          <w:caps/>
          <w:szCs w:val="36"/>
        </w:rPr>
      </w:pPr>
    </w:p>
    <w:p w14:paraId="0BEFF3CC" w14:textId="77777777" w:rsidR="00BE2D78" w:rsidRPr="00F4191D" w:rsidRDefault="00BE2D78" w:rsidP="008E5363">
      <w:pPr>
        <w:pStyle w:val="Heading1"/>
        <w:spacing w:line="276" w:lineRule="auto"/>
      </w:pPr>
      <w:r w:rsidRPr="00F4191D">
        <w:t>OUTLOOK</w:t>
      </w:r>
    </w:p>
    <w:p w14:paraId="71CD02D8" w14:textId="299EE209" w:rsidR="001643DE" w:rsidRPr="00F4191D" w:rsidRDefault="00E13281" w:rsidP="008E5363">
      <w:pPr>
        <w:spacing w:before="120" w:after="120" w:line="276" w:lineRule="auto"/>
        <w:rPr>
          <w:rFonts w:ascii="Verdana" w:hAnsi="Verdana" w:cs="Arial"/>
          <w:bCs/>
        </w:rPr>
      </w:pPr>
      <w:r w:rsidRPr="00F4191D">
        <w:rPr>
          <w:rFonts w:ascii="Verdana" w:hAnsi="Verdana"/>
          <w:bCs/>
        </w:rPr>
        <w:t xml:space="preserve">In an environment that remains uncertain, the Group anticipates a gradual recovery in the second half of 2020, compared with the second quarter. </w:t>
      </w:r>
    </w:p>
    <w:p w14:paraId="2665D68A" w14:textId="713BB013" w:rsidR="00B11A3F" w:rsidRPr="00F4191D" w:rsidRDefault="00E60251" w:rsidP="008E5363">
      <w:pPr>
        <w:spacing w:before="120" w:after="120" w:line="276" w:lineRule="auto"/>
        <w:rPr>
          <w:rFonts w:ascii="Verdana" w:hAnsi="Verdana" w:cs="Arial"/>
          <w:bCs/>
        </w:rPr>
      </w:pPr>
      <w:r w:rsidRPr="00F4191D">
        <w:rPr>
          <w:rFonts w:ascii="Verdana" w:hAnsi="Verdana"/>
          <w:bCs/>
        </w:rPr>
        <w:t xml:space="preserve">The Group has therefore set the following </w:t>
      </w:r>
      <w:r w:rsidRPr="00F4191D">
        <w:rPr>
          <w:rFonts w:ascii="Verdana" w:hAnsi="Verdana"/>
        </w:rPr>
        <w:t>objectives</w:t>
      </w:r>
      <w:r w:rsidRPr="00F4191D">
        <w:rPr>
          <w:rFonts w:ascii="Verdana" w:hAnsi="Verdana"/>
          <w:bCs/>
        </w:rPr>
        <w:t xml:space="preserve"> </w:t>
      </w:r>
      <w:r w:rsidRPr="00F4191D">
        <w:rPr>
          <w:rFonts w:ascii="Verdana" w:hAnsi="Verdana"/>
          <w:bCs/>
          <w:u w:val="single"/>
        </w:rPr>
        <w:t>for 2020 as a whole</w:t>
      </w:r>
      <w:r w:rsidRPr="00F4191D">
        <w:rPr>
          <w:rFonts w:ascii="Verdana" w:hAnsi="Verdana"/>
          <w:bCs/>
        </w:rPr>
        <w:t>:</w:t>
      </w:r>
    </w:p>
    <w:p w14:paraId="67E63167" w14:textId="32818798" w:rsidR="001A2D0D" w:rsidRPr="00F4191D" w:rsidRDefault="001A2D0D" w:rsidP="008E5363">
      <w:pPr>
        <w:pStyle w:val="ListParagraph"/>
        <w:numPr>
          <w:ilvl w:val="0"/>
          <w:numId w:val="11"/>
        </w:numPr>
        <w:spacing w:before="120" w:after="120" w:line="276" w:lineRule="auto"/>
        <w:rPr>
          <w:rFonts w:ascii="Verdana" w:hAnsi="Verdana" w:cs="Arial"/>
          <w:bCs/>
        </w:rPr>
      </w:pPr>
      <w:r w:rsidRPr="00F4191D">
        <w:rPr>
          <w:rFonts w:ascii="Verdana" w:hAnsi="Verdana"/>
          <w:bCs/>
        </w:rPr>
        <w:t>Revenue growth at constant exchange rates of between +12.5% and +14.0%, with an estimated contribution from acquisitions of 17</w:t>
      </w:r>
      <w:r w:rsidR="00F90A0F" w:rsidRPr="00F4191D">
        <w:rPr>
          <w:rFonts w:ascii="Verdana" w:hAnsi="Verdana"/>
          <w:bCs/>
        </w:rPr>
        <w:t>,0</w:t>
      </w:r>
      <w:r w:rsidRPr="00F4191D">
        <w:rPr>
          <w:rFonts w:ascii="Verdana" w:hAnsi="Verdana"/>
          <w:bCs/>
        </w:rPr>
        <w:t>%;</w:t>
      </w:r>
    </w:p>
    <w:p w14:paraId="0B23703F" w14:textId="3D367978" w:rsidR="00BA57BA" w:rsidRPr="00F4191D" w:rsidRDefault="00D74EB0" w:rsidP="008E5363">
      <w:pPr>
        <w:pStyle w:val="ListParagraph"/>
        <w:numPr>
          <w:ilvl w:val="0"/>
          <w:numId w:val="11"/>
        </w:numPr>
        <w:spacing w:before="120" w:after="120" w:line="276" w:lineRule="auto"/>
        <w:rPr>
          <w:rFonts w:eastAsiaTheme="minorEastAsia" w:cstheme="minorBidi"/>
          <w:szCs w:val="18"/>
        </w:rPr>
      </w:pPr>
      <w:r>
        <w:rPr>
          <w:rFonts w:ascii="Verdana" w:hAnsi="Verdana"/>
          <w:bCs/>
        </w:rPr>
        <w:t>An</w:t>
      </w:r>
      <w:r w:rsidR="00AA7248" w:rsidRPr="00F4191D">
        <w:rPr>
          <w:rFonts w:ascii="Verdana" w:hAnsi="Verdana"/>
          <w:bCs/>
        </w:rPr>
        <w:t xml:space="preserve"> </w:t>
      </w:r>
      <w:r w:rsidRPr="00F4191D">
        <w:rPr>
          <w:rFonts w:ascii="Verdana" w:hAnsi="Verdana"/>
          <w:bCs/>
        </w:rPr>
        <w:t xml:space="preserve">operating margin </w:t>
      </w:r>
      <w:r w:rsidR="00CF0179">
        <w:rPr>
          <w:rFonts w:ascii="Verdana" w:hAnsi="Verdana"/>
          <w:bCs/>
        </w:rPr>
        <w:t>reduction</w:t>
      </w:r>
      <w:r w:rsidR="00CF0179" w:rsidRPr="00F4191D">
        <w:rPr>
          <w:rFonts w:ascii="Verdana" w:hAnsi="Verdana"/>
          <w:bCs/>
        </w:rPr>
        <w:t xml:space="preserve"> </w:t>
      </w:r>
      <w:r w:rsidR="009B7831">
        <w:rPr>
          <w:rFonts w:ascii="Verdana" w:hAnsi="Verdana"/>
        </w:rPr>
        <w:t>of 0.6 to 0.9</w:t>
      </w:r>
      <w:r w:rsidR="00AA7248" w:rsidRPr="00F4191D">
        <w:rPr>
          <w:rFonts w:ascii="Verdana" w:hAnsi="Verdana"/>
        </w:rPr>
        <w:t xml:space="preserve"> point</w:t>
      </w:r>
      <w:r w:rsidR="009B7831">
        <w:rPr>
          <w:rFonts w:ascii="Verdana" w:hAnsi="Verdana"/>
        </w:rPr>
        <w:t>s</w:t>
      </w:r>
      <w:r w:rsidR="00AA7248" w:rsidRPr="00F4191D">
        <w:rPr>
          <w:rFonts w:ascii="Verdana" w:hAnsi="Verdana"/>
        </w:rPr>
        <w:t xml:space="preserve"> </w:t>
      </w:r>
      <w:r w:rsidR="00AA7248" w:rsidRPr="00F4191D">
        <w:rPr>
          <w:rFonts w:ascii="Verdana" w:hAnsi="Verdana"/>
          <w:bCs/>
        </w:rPr>
        <w:t xml:space="preserve">compared to </w:t>
      </w:r>
      <w:r w:rsidR="00020610" w:rsidRPr="00F4191D">
        <w:rPr>
          <w:rFonts w:ascii="Verdana" w:hAnsi="Verdana"/>
          <w:bCs/>
        </w:rPr>
        <w:t xml:space="preserve">the </w:t>
      </w:r>
      <w:r w:rsidR="00AA7248" w:rsidRPr="00F4191D">
        <w:rPr>
          <w:rFonts w:ascii="Verdana" w:hAnsi="Verdana"/>
          <w:bCs/>
        </w:rPr>
        <w:t xml:space="preserve">2019 </w:t>
      </w:r>
      <w:r w:rsidR="001027EC" w:rsidRPr="00F4191D">
        <w:rPr>
          <w:rFonts w:ascii="Verdana" w:hAnsi="Verdana"/>
          <w:bCs/>
        </w:rPr>
        <w:t xml:space="preserve">rate of </w:t>
      </w:r>
      <w:r w:rsidR="00AA7248" w:rsidRPr="00F4191D">
        <w:rPr>
          <w:rFonts w:ascii="Verdana" w:hAnsi="Verdana"/>
          <w:bCs/>
        </w:rPr>
        <w:t>12.3%</w:t>
      </w:r>
      <w:r w:rsidR="00A41985">
        <w:rPr>
          <w:rFonts w:ascii="Verdana" w:hAnsi="Verdana"/>
          <w:bCs/>
        </w:rPr>
        <w:t xml:space="preserve">, </w:t>
      </w:r>
      <w:r w:rsidR="009E02C9">
        <w:rPr>
          <w:rFonts w:ascii="Verdana" w:hAnsi="Verdana"/>
          <w:bCs/>
        </w:rPr>
        <w:t>illustrating</w:t>
      </w:r>
      <w:r w:rsidR="00A41985">
        <w:rPr>
          <w:rFonts w:ascii="Verdana" w:hAnsi="Verdana"/>
          <w:bCs/>
        </w:rPr>
        <w:t xml:space="preserve"> a</w:t>
      </w:r>
      <w:r w:rsidR="00A41985" w:rsidRPr="00A41985">
        <w:rPr>
          <w:rFonts w:ascii="Verdana" w:hAnsi="Verdana"/>
          <w:bCs/>
        </w:rPr>
        <w:t xml:space="preserve"> clear improvement in </w:t>
      </w:r>
      <w:r w:rsidR="00C050E0">
        <w:rPr>
          <w:rFonts w:ascii="Verdana" w:hAnsi="Verdana"/>
          <w:bCs/>
        </w:rPr>
        <w:t>our</w:t>
      </w:r>
      <w:r w:rsidR="00A41985" w:rsidRPr="00A41985">
        <w:rPr>
          <w:rFonts w:ascii="Verdana" w:hAnsi="Verdana"/>
          <w:bCs/>
        </w:rPr>
        <w:t xml:space="preserve"> resilience</w:t>
      </w:r>
      <w:r w:rsidR="00AA7248" w:rsidRPr="00F4191D">
        <w:rPr>
          <w:rFonts w:ascii="Verdana" w:hAnsi="Verdana"/>
          <w:bCs/>
        </w:rPr>
        <w:t>;</w:t>
      </w:r>
    </w:p>
    <w:p w14:paraId="63EFBF22" w14:textId="605E055A" w:rsidR="00907054" w:rsidRPr="00F4191D" w:rsidRDefault="00907054" w:rsidP="008E5363">
      <w:pPr>
        <w:pStyle w:val="ListParagraph"/>
        <w:numPr>
          <w:ilvl w:val="0"/>
          <w:numId w:val="11"/>
        </w:numPr>
        <w:spacing w:before="120" w:after="120" w:line="276" w:lineRule="auto"/>
        <w:rPr>
          <w:rFonts w:ascii="Verdana" w:hAnsi="Verdana" w:cs="Arial"/>
          <w:bCs/>
        </w:rPr>
      </w:pPr>
      <w:r w:rsidRPr="00F4191D">
        <w:rPr>
          <w:rFonts w:ascii="Verdana" w:hAnsi="Verdana"/>
          <w:bCs/>
        </w:rPr>
        <w:t xml:space="preserve">Organic free cash flow </w:t>
      </w:r>
      <w:r w:rsidR="00A14E06" w:rsidRPr="00F4191D">
        <w:rPr>
          <w:rFonts w:ascii="Verdana" w:hAnsi="Verdana"/>
          <w:bCs/>
        </w:rPr>
        <w:t>above €900 million</w:t>
      </w:r>
      <w:r w:rsidR="00917AEB" w:rsidRPr="00F4191D">
        <w:rPr>
          <w:rFonts w:ascii="Verdana" w:hAnsi="Verdana"/>
          <w:bCs/>
        </w:rPr>
        <w:t>.</w:t>
      </w:r>
    </w:p>
    <w:p w14:paraId="5BB639C3" w14:textId="553DACD7" w:rsidR="008C1019" w:rsidRPr="00F4191D" w:rsidRDefault="00905C56" w:rsidP="008E5363">
      <w:pPr>
        <w:spacing w:before="120" w:after="120" w:line="276" w:lineRule="auto"/>
        <w:rPr>
          <w:rFonts w:ascii="Verdana" w:hAnsi="Verdana" w:cs="Arial"/>
          <w:b/>
        </w:rPr>
      </w:pPr>
      <w:r w:rsidRPr="00F4191D">
        <w:rPr>
          <w:rFonts w:ascii="Verdana" w:hAnsi="Verdana"/>
          <w:bCs/>
        </w:rPr>
        <w:t>However, a</w:t>
      </w:r>
      <w:r w:rsidRPr="00F4191D">
        <w:rPr>
          <w:rFonts w:ascii="Verdana" w:hAnsi="Verdana"/>
        </w:rPr>
        <w:t xml:space="preserve"> sharp</w:t>
      </w:r>
      <w:r w:rsidRPr="00F4191D">
        <w:rPr>
          <w:rFonts w:ascii="Verdana" w:hAnsi="Verdana"/>
          <w:bCs/>
        </w:rPr>
        <w:t xml:space="preserve"> deterioration in health conditions and/or the economic environment in the coming months could undermine the attainment of these objectives.</w:t>
      </w:r>
    </w:p>
    <w:p w14:paraId="10EE8DE2" w14:textId="77777777" w:rsidR="0030635C" w:rsidRPr="00F4191D" w:rsidRDefault="0030635C" w:rsidP="008E5363">
      <w:pPr>
        <w:spacing w:before="120" w:after="120" w:line="276" w:lineRule="auto"/>
        <w:rPr>
          <w:rFonts w:ascii="Verdana" w:hAnsi="Verdana" w:cs="Arial"/>
          <w:b/>
        </w:rPr>
      </w:pPr>
    </w:p>
    <w:p w14:paraId="3168FE77" w14:textId="799BD722" w:rsidR="0030711A" w:rsidRPr="00F4191D" w:rsidRDefault="79C65592" w:rsidP="008E5363">
      <w:pPr>
        <w:pStyle w:val="Heading1"/>
        <w:spacing w:line="276" w:lineRule="auto"/>
      </w:pPr>
      <w:r w:rsidRPr="00F4191D">
        <w:t xml:space="preserve">NEW </w:t>
      </w:r>
      <w:r w:rsidR="00252C31" w:rsidRPr="00F4191D">
        <w:t xml:space="preserve">environmental </w:t>
      </w:r>
      <w:r w:rsidRPr="00F4191D">
        <w:t>AMBITIONS</w:t>
      </w:r>
    </w:p>
    <w:p w14:paraId="4483B97A" w14:textId="77CD8807" w:rsidR="00DD187E" w:rsidRPr="00F4191D" w:rsidRDefault="00DD187E" w:rsidP="008E5363">
      <w:pPr>
        <w:pStyle w:val="BodyText"/>
        <w:spacing w:line="276" w:lineRule="auto"/>
      </w:pPr>
      <w:r w:rsidRPr="00F4191D">
        <w:t xml:space="preserve">Capgemini has decided to increase its environmental footprint ambitions, recognizing the need to act to address climate change. On July 23, 2020, the Group announced its commitment to achieve carbon neutrality for its operations no later than 2025 and its ambition to be net zero by 2030. </w:t>
      </w:r>
    </w:p>
    <w:p w14:paraId="0C6F4CE6" w14:textId="77777777" w:rsidR="00DD187E" w:rsidRPr="00F4191D" w:rsidRDefault="00DD187E" w:rsidP="008E5363">
      <w:pPr>
        <w:pStyle w:val="BodyText"/>
        <w:spacing w:line="276" w:lineRule="auto"/>
      </w:pPr>
      <w:r w:rsidRPr="00F4191D">
        <w:t xml:space="preserve">To this end, Capgemini will accelerate its carbon reduction program across its biggest operational impact areas which are business travel, commuting and office energy, in line with the requirements of the 1.5°C science-based target pathway.   </w:t>
      </w:r>
    </w:p>
    <w:p w14:paraId="24E5C349" w14:textId="4A359340" w:rsidR="00DD187E" w:rsidRPr="00F4191D" w:rsidRDefault="00DD187E" w:rsidP="008E5363">
      <w:pPr>
        <w:pStyle w:val="BodyText"/>
        <w:spacing w:line="276" w:lineRule="auto"/>
      </w:pPr>
      <w:r w:rsidRPr="00F4191D">
        <w:t xml:space="preserve">Capgemini’s previous target, set in 2015, was to reduce carbon emissions by 30% per employee by 2030. This target was reached in January 2020. </w:t>
      </w:r>
    </w:p>
    <w:p w14:paraId="37275FFC" w14:textId="4043AE49" w:rsidR="005C1F9C" w:rsidRPr="00F4191D" w:rsidRDefault="00DD187E" w:rsidP="008E5363">
      <w:pPr>
        <w:pStyle w:val="BodyText"/>
        <w:spacing w:line="276" w:lineRule="auto"/>
      </w:pPr>
      <w:r w:rsidRPr="00F4191D">
        <w:t>Finally, Capgemini is helping its customers drive down their own carbon emissions and has set a target to help clients save 10 million carbon metric tons by 2030.</w:t>
      </w:r>
    </w:p>
    <w:p w14:paraId="2C94AAA8" w14:textId="77777777" w:rsidR="007672FB" w:rsidRPr="00F4191D" w:rsidRDefault="007672FB" w:rsidP="008E5363">
      <w:pPr>
        <w:pStyle w:val="BodyText"/>
        <w:spacing w:line="276" w:lineRule="auto"/>
      </w:pPr>
    </w:p>
    <w:p w14:paraId="0666B8CB" w14:textId="23F6EEB4" w:rsidR="00B00202" w:rsidRPr="00F4191D" w:rsidRDefault="00C96D53" w:rsidP="008E5363">
      <w:pPr>
        <w:pStyle w:val="Heading1"/>
        <w:spacing w:line="276" w:lineRule="auto"/>
      </w:pPr>
      <w:r w:rsidRPr="00F4191D">
        <w:t>CONFERENCE CALL</w:t>
      </w:r>
    </w:p>
    <w:p w14:paraId="2DCBFE7E" w14:textId="35E122B5" w:rsidR="00B00202" w:rsidRPr="00F4191D" w:rsidRDefault="20B723EA" w:rsidP="008E5363">
      <w:pPr>
        <w:spacing w:before="120" w:after="120" w:line="276" w:lineRule="auto"/>
        <w:rPr>
          <w:rFonts w:ascii="Verdana" w:hAnsi="Verdana" w:cs="Arial"/>
        </w:rPr>
      </w:pPr>
      <w:r w:rsidRPr="00F4191D">
        <w:rPr>
          <w:rFonts w:ascii="Verdana" w:hAnsi="Verdana"/>
        </w:rPr>
        <w:t xml:space="preserve">Aiman Ezzat, Chief Executive Officer, Carole Ferrand, Chief Financial Officer and Rosemary Stark, Global Sales Officer, will present this press release during a conference call in English to be held </w:t>
      </w:r>
      <w:r w:rsidRPr="00F4191D">
        <w:rPr>
          <w:rFonts w:ascii="Verdana" w:hAnsi="Verdana"/>
          <w:b/>
          <w:bCs/>
        </w:rPr>
        <w:t>today at 8.00 a.m. Paris time (CET)</w:t>
      </w:r>
      <w:r w:rsidRPr="00F4191D">
        <w:rPr>
          <w:rFonts w:ascii="Verdana" w:hAnsi="Verdana"/>
        </w:rPr>
        <w:t xml:space="preserve">. </w:t>
      </w:r>
      <w:r w:rsidRPr="00F4191D">
        <w:t xml:space="preserve">You can follow this conference call live via webcast at the following </w:t>
      </w:r>
      <w:hyperlink r:id="rId11">
        <w:r w:rsidRPr="00F4191D">
          <w:rPr>
            <w:rStyle w:val="Hyperlink"/>
            <w:rFonts w:ascii="Verdana" w:hAnsi="Verdana"/>
          </w:rPr>
          <w:t>link</w:t>
        </w:r>
      </w:hyperlink>
      <w:r w:rsidRPr="00F4191D">
        <w:t>. A replay will also be available for a period of one year.</w:t>
      </w:r>
    </w:p>
    <w:p w14:paraId="72B15A6A" w14:textId="66ABDCD5" w:rsidR="007D6284" w:rsidRPr="00F4191D" w:rsidRDefault="0D8DBFEF" w:rsidP="008E5363">
      <w:pPr>
        <w:spacing w:before="120" w:after="120" w:line="276" w:lineRule="auto"/>
        <w:rPr>
          <w:rFonts w:ascii="Verdana" w:hAnsi="Verdana" w:cs="Arial"/>
        </w:rPr>
      </w:pPr>
      <w:r w:rsidRPr="00F4191D">
        <w:rPr>
          <w:rFonts w:ascii="Verdana" w:hAnsi="Verdana"/>
        </w:rPr>
        <w:t xml:space="preserve">All documents relating to this publication will be placed online on the Capgemini investor website at </w:t>
      </w:r>
      <w:hyperlink r:id="rId12">
        <w:r w:rsidRPr="00F4191D">
          <w:rPr>
            <w:rStyle w:val="Hyperlink"/>
          </w:rPr>
          <w:t xml:space="preserve"> https://investors.capgemini.com/en/ </w:t>
        </w:r>
      </w:hyperlink>
      <w:r w:rsidRPr="00F4191D">
        <w:rPr>
          <w:rFonts w:ascii="Verdana" w:hAnsi="Verdana"/>
        </w:rPr>
        <w:t>.</w:t>
      </w:r>
    </w:p>
    <w:p w14:paraId="19E88236" w14:textId="77777777" w:rsidR="00D73FD4" w:rsidRPr="00F4191D" w:rsidRDefault="00D73FD4" w:rsidP="008E5363">
      <w:pPr>
        <w:spacing w:before="120" w:after="120" w:line="276" w:lineRule="auto"/>
        <w:rPr>
          <w:rFonts w:ascii="Verdana" w:hAnsi="Verdana" w:cs="Arial"/>
        </w:rPr>
      </w:pPr>
    </w:p>
    <w:p w14:paraId="39B3DD06" w14:textId="110359AE" w:rsidR="00B00202" w:rsidRPr="00F4191D" w:rsidRDefault="00B00202" w:rsidP="008E5363">
      <w:pPr>
        <w:pStyle w:val="Heading1"/>
        <w:spacing w:line="276" w:lineRule="auto"/>
      </w:pPr>
      <w:r w:rsidRPr="00F4191D">
        <w:t>PROVISIONAL CALENDAR</w:t>
      </w:r>
    </w:p>
    <w:p w14:paraId="4432FB62" w14:textId="62334E1B" w:rsidR="00B00202" w:rsidRPr="00F4191D" w:rsidRDefault="001C3259" w:rsidP="008E5363">
      <w:pPr>
        <w:keepNext/>
        <w:tabs>
          <w:tab w:val="left" w:pos="2127"/>
        </w:tabs>
        <w:spacing w:line="276" w:lineRule="auto"/>
        <w:rPr>
          <w:rFonts w:ascii="Verdana" w:hAnsi="Verdana" w:cs="Arial"/>
        </w:rPr>
      </w:pPr>
      <w:r w:rsidRPr="00F4191D">
        <w:rPr>
          <w:rFonts w:ascii="Verdana" w:hAnsi="Verdana"/>
        </w:rPr>
        <w:t>October 27, 2020</w:t>
      </w:r>
      <w:r w:rsidRPr="00F4191D">
        <w:rPr>
          <w:rFonts w:ascii="Verdana" w:hAnsi="Verdana"/>
        </w:rPr>
        <w:tab/>
        <w:t>Q3 2020 revenues</w:t>
      </w:r>
    </w:p>
    <w:p w14:paraId="72E2AE06" w14:textId="5477BA34" w:rsidR="00B00202" w:rsidRPr="00F4191D" w:rsidRDefault="001C3259" w:rsidP="008E5363">
      <w:pPr>
        <w:keepNext/>
        <w:tabs>
          <w:tab w:val="left" w:pos="2127"/>
        </w:tabs>
        <w:spacing w:line="276" w:lineRule="auto"/>
        <w:rPr>
          <w:rFonts w:ascii="Verdana" w:hAnsi="Verdana" w:cs="Arial"/>
        </w:rPr>
      </w:pPr>
      <w:r w:rsidRPr="00F4191D">
        <w:rPr>
          <w:rFonts w:ascii="Verdana" w:hAnsi="Verdana"/>
        </w:rPr>
        <w:t>February 17, 2021</w:t>
      </w:r>
      <w:r w:rsidRPr="00F4191D">
        <w:rPr>
          <w:rFonts w:ascii="Verdana" w:hAnsi="Verdana"/>
        </w:rPr>
        <w:tab/>
        <w:t>FY 2020 results</w:t>
      </w:r>
    </w:p>
    <w:p w14:paraId="787B15BB" w14:textId="56AECA62" w:rsidR="002C1412" w:rsidRPr="00F4191D" w:rsidRDefault="006A2981" w:rsidP="008E5363">
      <w:pPr>
        <w:tabs>
          <w:tab w:val="left" w:pos="2127"/>
        </w:tabs>
        <w:spacing w:line="276" w:lineRule="auto"/>
        <w:rPr>
          <w:rFonts w:ascii="Verdana" w:hAnsi="Verdana" w:cs="Arial"/>
        </w:rPr>
      </w:pPr>
      <w:r w:rsidRPr="00F4191D">
        <w:rPr>
          <w:rFonts w:ascii="Verdana" w:hAnsi="Verdana"/>
        </w:rPr>
        <w:t>April 29, 2021</w:t>
      </w:r>
      <w:r w:rsidRPr="00F4191D">
        <w:rPr>
          <w:rFonts w:ascii="Verdana" w:hAnsi="Verdana"/>
        </w:rPr>
        <w:tab/>
        <w:t>Q1 2021 revenues</w:t>
      </w:r>
    </w:p>
    <w:p w14:paraId="7D3B0AB2" w14:textId="77777777" w:rsidR="00B00202" w:rsidRPr="00F4191D" w:rsidRDefault="00B00202" w:rsidP="008E5363">
      <w:pPr>
        <w:tabs>
          <w:tab w:val="left" w:pos="1701"/>
        </w:tabs>
        <w:spacing w:line="276" w:lineRule="auto"/>
        <w:rPr>
          <w:rFonts w:ascii="Verdana" w:hAnsi="Verdana" w:cs="Arial"/>
        </w:rPr>
      </w:pPr>
    </w:p>
    <w:p w14:paraId="5D164BDE" w14:textId="5D91D138" w:rsidR="00B00202" w:rsidRPr="00F4191D" w:rsidRDefault="00C96D53" w:rsidP="008E5363">
      <w:pPr>
        <w:pStyle w:val="Heading1"/>
        <w:spacing w:line="276" w:lineRule="auto"/>
      </w:pPr>
      <w:r w:rsidRPr="00F4191D">
        <w:t>DISCLAIMER</w:t>
      </w:r>
    </w:p>
    <w:p w14:paraId="3B697192" w14:textId="4306D3F9" w:rsidR="00B00202" w:rsidRPr="00F4191D" w:rsidRDefault="00B00202" w:rsidP="008E5363">
      <w:pPr>
        <w:spacing w:before="120" w:after="120" w:line="276" w:lineRule="auto"/>
        <w:rPr>
          <w:rFonts w:ascii="Verdana" w:hAnsi="Verdana" w:cs="Arial"/>
        </w:rPr>
      </w:pPr>
      <w:r w:rsidRPr="00F4191D">
        <w:rPr>
          <w:rFonts w:ascii="Verdana" w:hAnsi="Verdana"/>
        </w:rPr>
        <w:t>This press release may contain forward-looking statements. Such statements may include projections, estimates, assumptions, statements regarding plans, objectives, intentions and/or expectations with respect to future financial results, events, operations and services and product development, as well as statements, regarding future performance or events. Forward-looking statements are generally identified by the words “expects”, “anticipates”, “believes”, “intends”, “estimates”, “plans”, “projects”, “may”, “would”</w:t>
      </w:r>
      <w:r w:rsidR="00DC1583">
        <w:rPr>
          <w:rFonts w:ascii="Verdana" w:hAnsi="Verdana"/>
        </w:rPr>
        <w:t>,</w:t>
      </w:r>
      <w:r w:rsidRPr="00F4191D">
        <w:rPr>
          <w:rFonts w:ascii="Verdana" w:hAnsi="Verdana"/>
        </w:rPr>
        <w:t xml:space="preserve"> “should” or the negatives of these terms and similar expressions. Although Capgemini’s management currently believes that the expectations reflected in such forward-looking statements are reasonable, investors are cautioned that forward-looking statements are subject to various risks and uncertainties (including without limitation risks identified in Capgemini’s Registration Document available on Capgemini’s website), because they relate to future events and depend on future circumstances that may or may not occur and may be different from those anticipated, many of which are difficult to predict and generally beyond the control of Capgemini. Actual results and developments may differ materially from those expressed in, implied by or projected by forward-looking statements. Forward-looking statements are not intended to and do not give any assurances or comfort as to future events or results. Other than as required by applicable law, Capgemini does not undertake any obligation to update or revise any forward-looking statement.</w:t>
      </w:r>
    </w:p>
    <w:p w14:paraId="537D300D" w14:textId="55853AD9" w:rsidR="00555589" w:rsidRPr="00F4191D" w:rsidRDefault="00B00202" w:rsidP="008E5363">
      <w:pPr>
        <w:spacing w:before="120" w:after="120" w:line="276" w:lineRule="auto"/>
        <w:rPr>
          <w:rFonts w:ascii="Verdana" w:hAnsi="Verdana" w:cs="Arial"/>
        </w:rPr>
      </w:pPr>
      <w:r w:rsidRPr="00F4191D">
        <w:rPr>
          <w:rFonts w:ascii="Verdana" w:hAnsi="Verdana"/>
        </w:rPr>
        <w:t>This press release does not contain or constitute an offer of securities for sale or an invitation or inducement to invest in securities in France, the United States or any other jurisdiction.</w:t>
      </w:r>
    </w:p>
    <w:p w14:paraId="732F7743" w14:textId="77777777" w:rsidR="00580CAF" w:rsidRPr="00F4191D" w:rsidRDefault="00580CAF" w:rsidP="008E5363">
      <w:pPr>
        <w:spacing w:before="120" w:after="120" w:line="276" w:lineRule="auto"/>
        <w:rPr>
          <w:rFonts w:ascii="Verdana" w:hAnsi="Verdana" w:cs="Arial"/>
        </w:rPr>
      </w:pPr>
    </w:p>
    <w:p w14:paraId="688E17B7" w14:textId="77777777" w:rsidR="00B00202" w:rsidRPr="00F4191D" w:rsidRDefault="00B00202" w:rsidP="007D6284">
      <w:pPr>
        <w:pStyle w:val="Heading1"/>
      </w:pPr>
      <w:r w:rsidRPr="00F4191D">
        <w:t>ABOUT CAPGEMINI</w:t>
      </w:r>
    </w:p>
    <w:p w14:paraId="266075EB" w14:textId="045ED206" w:rsidR="003A5C07" w:rsidRPr="00F4191D" w:rsidRDefault="003A5C07" w:rsidP="002C22BA">
      <w:pPr>
        <w:spacing w:after="120" w:line="276" w:lineRule="auto"/>
        <w:rPr>
          <w:rFonts w:cs="Arial"/>
        </w:rPr>
      </w:pPr>
      <w:r w:rsidRPr="00F4191D">
        <w:t>Capgemini is a global leader in consulting, digital transformation, technology, and engineering services. The Group is at the forefront of innovation to address the entire breadth of clients’ opportunities in the evolving world of cloud, digital and platforms. Building on its strong 50-year heritage and deep industry-specific expertise, Capgemini enables organizations to realize their business ambitions through an array of services from strategy to operations. Capgemini is driven by the conviction that the business value of technology comes from and through people. It is a multicultural company of 270,000 team members in nearly 50 countries. With Altran, it reported 2019 combined global revenues of €17 billion.</w:t>
      </w:r>
    </w:p>
    <w:p w14:paraId="5D98901C" w14:textId="77777777" w:rsidR="003A5C07" w:rsidRPr="00F4191D" w:rsidRDefault="003A5C07" w:rsidP="002C22BA">
      <w:pPr>
        <w:spacing w:line="276" w:lineRule="auto"/>
        <w:rPr>
          <w:rFonts w:cs="Arial"/>
        </w:rPr>
      </w:pPr>
      <w:r w:rsidRPr="00F4191D">
        <w:t xml:space="preserve">Visit us at </w:t>
      </w:r>
      <w:hyperlink r:id="rId13" w:history="1">
        <w:r w:rsidRPr="00F4191D">
          <w:rPr>
            <w:rStyle w:val="Hyperlink"/>
          </w:rPr>
          <w:t>www.capgemini.com</w:t>
        </w:r>
      </w:hyperlink>
      <w:r w:rsidRPr="00F4191D">
        <w:t xml:space="preserve">. </w:t>
      </w:r>
      <w:r w:rsidRPr="00F4191D">
        <w:rPr>
          <w:i/>
        </w:rPr>
        <w:t>People matter, results count</w:t>
      </w:r>
      <w:r w:rsidRPr="00F4191D">
        <w:t>.</w:t>
      </w:r>
    </w:p>
    <w:p w14:paraId="1CBCE2D9" w14:textId="77777777" w:rsidR="00B00202" w:rsidRPr="00F4191D" w:rsidRDefault="00B00202" w:rsidP="00B00202">
      <w:pPr>
        <w:rPr>
          <w:rFonts w:ascii="Verdana" w:hAnsi="Verdana" w:cs="Arial"/>
          <w:i/>
          <w:iCs/>
          <w:color w:val="000000"/>
        </w:rPr>
      </w:pPr>
    </w:p>
    <w:p w14:paraId="1557730E" w14:textId="77777777" w:rsidR="00B00202" w:rsidRPr="00F4191D" w:rsidRDefault="00B00202" w:rsidP="00B00202">
      <w:pPr>
        <w:rPr>
          <w:rFonts w:ascii="Verdana" w:hAnsi="Verdana" w:cs="Arial"/>
          <w:i/>
          <w:iCs/>
          <w:color w:val="000000"/>
        </w:rPr>
      </w:pPr>
    </w:p>
    <w:p w14:paraId="56E599DB" w14:textId="77777777" w:rsidR="00B00202" w:rsidRPr="00F4191D" w:rsidRDefault="00B00202" w:rsidP="00B00202">
      <w:pPr>
        <w:jc w:val="center"/>
        <w:rPr>
          <w:rFonts w:ascii="Verdana" w:hAnsi="Verdana" w:cs="Arial"/>
          <w:iCs/>
          <w:color w:val="000000"/>
        </w:rPr>
      </w:pPr>
      <w:r w:rsidRPr="00F4191D">
        <w:rPr>
          <w:rFonts w:ascii="Verdana" w:hAnsi="Verdana"/>
          <w:iCs/>
          <w:color w:val="000000"/>
        </w:rPr>
        <w:t>*          *</w:t>
      </w:r>
    </w:p>
    <w:p w14:paraId="414C421F" w14:textId="77777777" w:rsidR="00B00202" w:rsidRPr="00F4191D" w:rsidRDefault="00B00202" w:rsidP="00B00202">
      <w:pPr>
        <w:jc w:val="center"/>
        <w:rPr>
          <w:rFonts w:ascii="Verdana" w:hAnsi="Verdana" w:cs="Arial"/>
          <w:iCs/>
          <w:color w:val="000000"/>
        </w:rPr>
      </w:pPr>
    </w:p>
    <w:p w14:paraId="259177C1" w14:textId="77777777" w:rsidR="00B00202" w:rsidRPr="00F4191D" w:rsidRDefault="00B00202" w:rsidP="00B00202">
      <w:pPr>
        <w:jc w:val="center"/>
        <w:rPr>
          <w:rFonts w:ascii="Verdana" w:hAnsi="Verdana" w:cs="Arial"/>
          <w:iCs/>
          <w:color w:val="000000"/>
        </w:rPr>
      </w:pPr>
      <w:r w:rsidRPr="00F4191D">
        <w:rPr>
          <w:rFonts w:ascii="Verdana" w:hAnsi="Verdana"/>
          <w:iCs/>
          <w:color w:val="000000"/>
        </w:rPr>
        <w:t>*</w:t>
      </w:r>
    </w:p>
    <w:p w14:paraId="58ABEE72" w14:textId="77777777" w:rsidR="00B00202" w:rsidRPr="00F4191D" w:rsidRDefault="00B00202" w:rsidP="00B00202">
      <w:pPr>
        <w:rPr>
          <w:rFonts w:ascii="Verdana" w:hAnsi="Verdana" w:cs="Arial"/>
        </w:rPr>
      </w:pPr>
    </w:p>
    <w:p w14:paraId="56E76241" w14:textId="13195FF4" w:rsidR="00B00202" w:rsidRPr="00F4191D" w:rsidRDefault="00B00202" w:rsidP="006B1196">
      <w:pPr>
        <w:keepNext/>
        <w:spacing w:before="120" w:after="120"/>
        <w:jc w:val="center"/>
        <w:rPr>
          <w:rFonts w:ascii="Verdana" w:hAnsi="Verdana" w:cs="Arial"/>
          <w:b/>
        </w:rPr>
      </w:pPr>
      <w:r w:rsidRPr="00F4191D">
        <w:rPr>
          <w:rFonts w:ascii="Verdana" w:hAnsi="Verdana"/>
          <w:b/>
        </w:rPr>
        <w:t>APPENDIX</w:t>
      </w:r>
      <w:r w:rsidR="00E4251B" w:rsidRPr="00F4191D">
        <w:rPr>
          <w:rStyle w:val="FootnoteReference"/>
          <w:rFonts w:ascii="Verdana" w:hAnsi="Verdana" w:cs="Arial"/>
          <w:b/>
        </w:rPr>
        <w:footnoteReference w:id="8"/>
      </w:r>
    </w:p>
    <w:p w14:paraId="4F82BECC" w14:textId="77777777" w:rsidR="00C96D53" w:rsidRPr="00F4191D" w:rsidRDefault="00C96D53" w:rsidP="006B1196">
      <w:pPr>
        <w:keepNext/>
        <w:spacing w:before="120" w:after="120"/>
        <w:jc w:val="center"/>
        <w:rPr>
          <w:rFonts w:ascii="Verdana" w:hAnsi="Verdana" w:cs="Arial"/>
          <w:b/>
        </w:rPr>
      </w:pPr>
    </w:p>
    <w:p w14:paraId="7A2CE3AD" w14:textId="2DC24C80" w:rsidR="003A5C07" w:rsidRPr="00F4191D" w:rsidRDefault="003A5C07">
      <w:pPr>
        <w:pStyle w:val="Heading1"/>
        <w:spacing w:line="276" w:lineRule="auto"/>
      </w:pPr>
      <w:r w:rsidRPr="00F4191D">
        <w:t>BUSINESS CLASSIFICATION</w:t>
      </w:r>
    </w:p>
    <w:p w14:paraId="2B788C71" w14:textId="44ABE681" w:rsidR="003A5C07" w:rsidRPr="00F4191D" w:rsidRDefault="003A5C07" w:rsidP="003A5C07">
      <w:pPr>
        <w:pStyle w:val="ListParagraph"/>
        <w:numPr>
          <w:ilvl w:val="0"/>
          <w:numId w:val="6"/>
        </w:numPr>
        <w:spacing w:line="276" w:lineRule="auto"/>
        <w:rPr>
          <w:rFonts w:cs="Arial"/>
        </w:rPr>
      </w:pPr>
      <w:r w:rsidRPr="00F4191D">
        <w:rPr>
          <w:b/>
          <w:bCs/>
        </w:rPr>
        <w:t>Strategy &amp; Transformation</w:t>
      </w:r>
      <w:r w:rsidRPr="00F4191D">
        <w:t xml:space="preserve"> includes all strategy, innovation and transformation consulting services. </w:t>
      </w:r>
    </w:p>
    <w:p w14:paraId="4AB09707" w14:textId="2B69107F" w:rsidR="003A5C07" w:rsidRPr="00F4191D" w:rsidRDefault="003A5C07" w:rsidP="003A5C07">
      <w:pPr>
        <w:pStyle w:val="ListParagraph"/>
        <w:numPr>
          <w:ilvl w:val="0"/>
          <w:numId w:val="6"/>
        </w:numPr>
        <w:spacing w:line="276" w:lineRule="auto"/>
        <w:rPr>
          <w:rFonts w:cs="Arial"/>
        </w:rPr>
      </w:pPr>
      <w:r w:rsidRPr="00F4191D">
        <w:rPr>
          <w:b/>
          <w:bCs/>
        </w:rPr>
        <w:t>Applications &amp; Technology</w:t>
      </w:r>
      <w:r w:rsidRPr="00F4191D">
        <w:t xml:space="preserve"> brings together “Application Services” and related activities and notably local technology services. </w:t>
      </w:r>
    </w:p>
    <w:p w14:paraId="739EC86C" w14:textId="74F42964" w:rsidR="003A5C07" w:rsidRPr="00F4191D" w:rsidRDefault="003A5C07" w:rsidP="003A5C07">
      <w:pPr>
        <w:pStyle w:val="ListParagraph"/>
        <w:numPr>
          <w:ilvl w:val="0"/>
          <w:numId w:val="6"/>
        </w:numPr>
        <w:spacing w:line="276" w:lineRule="auto"/>
        <w:rPr>
          <w:rFonts w:cs="Arial"/>
        </w:rPr>
      </w:pPr>
      <w:r w:rsidRPr="00F4191D">
        <w:rPr>
          <w:b/>
        </w:rPr>
        <w:t>Operations &amp; Engineering</w:t>
      </w:r>
      <w:r w:rsidRPr="00F4191D">
        <w:t xml:space="preserve"> encompasses all other Group businesses. These comprise Business Services (including Business Process Outsourcing and transaction services), all Infrastructure and Cloud Services, and R&amp;D and Engineering Services.</w:t>
      </w:r>
    </w:p>
    <w:p w14:paraId="3B95BAD2" w14:textId="77777777" w:rsidR="003A5C07" w:rsidRPr="00F4191D" w:rsidRDefault="003A5C07" w:rsidP="00B00202">
      <w:pPr>
        <w:spacing w:before="120" w:after="120"/>
        <w:jc w:val="center"/>
        <w:rPr>
          <w:rFonts w:ascii="Verdana" w:hAnsi="Verdana" w:cs="Arial"/>
          <w:b/>
        </w:rPr>
      </w:pPr>
    </w:p>
    <w:p w14:paraId="3BF2D466" w14:textId="77777777" w:rsidR="003A5C07" w:rsidRPr="00F4191D" w:rsidRDefault="003A5C07" w:rsidP="003A5C07">
      <w:pPr>
        <w:pStyle w:val="Heading1"/>
      </w:pPr>
      <w:r w:rsidRPr="00F4191D">
        <w:t xml:space="preserve">DEFINITIONS </w:t>
      </w:r>
    </w:p>
    <w:p w14:paraId="4000C22D" w14:textId="213F283B" w:rsidR="00D159DD" w:rsidRPr="00F4191D" w:rsidRDefault="00D159DD" w:rsidP="003A5C07">
      <w:pPr>
        <w:spacing w:before="120" w:after="120" w:line="276" w:lineRule="auto"/>
        <w:rPr>
          <w:rFonts w:cs="Arial"/>
        </w:rPr>
      </w:pPr>
      <w:r w:rsidRPr="00F4191D">
        <w:rPr>
          <w:b/>
          <w:bCs/>
        </w:rPr>
        <w:t>Organic growth</w:t>
      </w:r>
      <w:r w:rsidRPr="00F4191D">
        <w:t xml:space="preserve">, or like-for-like growth, in revenues is the growth rate calculated </w:t>
      </w:r>
      <w:r w:rsidRPr="00F4191D">
        <w:rPr>
          <w:b/>
          <w:bCs/>
        </w:rPr>
        <w:t>at constant Group scope and exchange rates</w:t>
      </w:r>
      <w:r w:rsidRPr="00F4191D">
        <w:t xml:space="preserve">. The Group scope and exchange rates used are those for the reported period. Exchange rates for the reported period are also used to calculate </w:t>
      </w:r>
      <w:r w:rsidRPr="00F4191D">
        <w:rPr>
          <w:b/>
        </w:rPr>
        <w:t>growth at constant exchange rates</w:t>
      </w:r>
      <w:r w:rsidRPr="00F4191D">
        <w:t xml:space="preserve">. </w:t>
      </w:r>
    </w:p>
    <w:tbl>
      <w:tblPr>
        <w:tblW w:w="7881" w:type="dxa"/>
        <w:jc w:val="center"/>
        <w:tblBorders>
          <w:top w:val="single" w:sz="8" w:space="0" w:color="30849B"/>
          <w:bottom w:val="single" w:sz="8" w:space="0" w:color="30849B"/>
          <w:insideH w:val="single" w:sz="8" w:space="0" w:color="30849B"/>
        </w:tblBorders>
        <w:tblLayout w:type="fixed"/>
        <w:tblCellMar>
          <w:left w:w="0" w:type="dxa"/>
          <w:right w:w="0" w:type="dxa"/>
        </w:tblCellMar>
        <w:tblLook w:val="01E0" w:firstRow="1" w:lastRow="1" w:firstColumn="1" w:lastColumn="1" w:noHBand="0" w:noVBand="0"/>
      </w:tblPr>
      <w:tblGrid>
        <w:gridCol w:w="3798"/>
        <w:gridCol w:w="1361"/>
        <w:gridCol w:w="1361"/>
        <w:gridCol w:w="1361"/>
      </w:tblGrid>
      <w:tr w:rsidR="00C17CFA" w:rsidRPr="00F4191D" w14:paraId="2A6C6A66" w14:textId="77777777" w:rsidTr="00C17CFA">
        <w:trPr>
          <w:trHeight w:val="338"/>
          <w:jc w:val="center"/>
        </w:trPr>
        <w:tc>
          <w:tcPr>
            <w:tcW w:w="3798" w:type="dxa"/>
            <w:tcBorders>
              <w:top w:val="single" w:sz="8" w:space="0" w:color="0070AD" w:themeColor="accent1"/>
              <w:bottom w:val="single" w:sz="8" w:space="0" w:color="0070AD" w:themeColor="accent1"/>
            </w:tcBorders>
            <w:shd w:val="clear" w:color="auto" w:fill="auto"/>
            <w:vAlign w:val="center"/>
          </w:tcPr>
          <w:p w14:paraId="04797902" w14:textId="77777777" w:rsidR="00C17CFA" w:rsidRPr="00F4191D" w:rsidRDefault="00C17CFA" w:rsidP="00D159DD">
            <w:pPr>
              <w:pStyle w:val="TableParagraph"/>
              <w:keepNext/>
              <w:spacing w:before="29"/>
              <w:ind w:left="63"/>
              <w:jc w:val="center"/>
              <w:rPr>
                <w:rFonts w:ascii="Verdana" w:hAnsi="Verdana" w:cs="Arial"/>
                <w:b/>
                <w:color w:val="30849B"/>
                <w:sz w:val="14"/>
              </w:rPr>
            </w:pPr>
            <w:r w:rsidRPr="00F4191D">
              <w:rPr>
                <w:rFonts w:ascii="Verdana" w:hAnsi="Verdana"/>
                <w:b/>
                <w:sz w:val="14"/>
              </w:rPr>
              <w:t>Reconciliation of growth rates</w:t>
            </w:r>
          </w:p>
        </w:tc>
        <w:tc>
          <w:tcPr>
            <w:tcW w:w="1361" w:type="dxa"/>
            <w:tcBorders>
              <w:top w:val="single" w:sz="8" w:space="0" w:color="0070AD" w:themeColor="accent1"/>
              <w:bottom w:val="single" w:sz="8" w:space="0" w:color="0070AD" w:themeColor="accent1"/>
            </w:tcBorders>
            <w:shd w:val="clear" w:color="auto" w:fill="auto"/>
          </w:tcPr>
          <w:p w14:paraId="62EDBD50" w14:textId="4811D38A" w:rsidR="00C17CFA" w:rsidRPr="00F4191D" w:rsidRDefault="00C17CFA" w:rsidP="00D159DD">
            <w:pPr>
              <w:pStyle w:val="TableParagraph"/>
              <w:keepNext/>
              <w:spacing w:before="29"/>
              <w:ind w:left="63"/>
              <w:jc w:val="center"/>
              <w:rPr>
                <w:rFonts w:ascii="Verdana" w:hAnsi="Verdana" w:cs="Arial"/>
                <w:b/>
                <w:sz w:val="14"/>
              </w:rPr>
            </w:pPr>
            <w:r w:rsidRPr="00F4191D">
              <w:rPr>
                <w:rFonts w:ascii="Verdana" w:hAnsi="Verdana"/>
                <w:b/>
                <w:sz w:val="14"/>
              </w:rPr>
              <w:t>Q1 2020</w:t>
            </w:r>
          </w:p>
        </w:tc>
        <w:tc>
          <w:tcPr>
            <w:tcW w:w="1361" w:type="dxa"/>
            <w:tcBorders>
              <w:top w:val="single" w:sz="8" w:space="0" w:color="0070AD" w:themeColor="accent1"/>
              <w:bottom w:val="single" w:sz="8" w:space="0" w:color="0070AD" w:themeColor="accent1"/>
              <w:right w:val="nil"/>
            </w:tcBorders>
            <w:shd w:val="clear" w:color="auto" w:fill="auto"/>
            <w:vAlign w:val="center"/>
          </w:tcPr>
          <w:p w14:paraId="4323F9EC" w14:textId="0F87AC68" w:rsidR="00C17CFA" w:rsidRPr="00F4191D" w:rsidRDefault="00C17CFA" w:rsidP="00D159DD">
            <w:pPr>
              <w:pStyle w:val="TableParagraph"/>
              <w:keepNext/>
              <w:spacing w:before="29"/>
              <w:ind w:left="63"/>
              <w:jc w:val="center"/>
              <w:rPr>
                <w:rFonts w:ascii="Verdana" w:hAnsi="Verdana" w:cs="Arial"/>
                <w:b/>
                <w:sz w:val="14"/>
              </w:rPr>
            </w:pPr>
            <w:r w:rsidRPr="00F4191D">
              <w:rPr>
                <w:rFonts w:ascii="Verdana" w:hAnsi="Verdana"/>
                <w:b/>
                <w:sz w:val="14"/>
              </w:rPr>
              <w:t>Q2 2020</w:t>
            </w:r>
          </w:p>
          <w:p w14:paraId="5637B56A" w14:textId="16C592F8" w:rsidR="00C17CFA" w:rsidRPr="00F4191D" w:rsidRDefault="00C17CFA" w:rsidP="00D159DD">
            <w:pPr>
              <w:pStyle w:val="TableParagraph"/>
              <w:keepNext/>
              <w:spacing w:before="29"/>
              <w:ind w:left="63"/>
              <w:jc w:val="center"/>
              <w:rPr>
                <w:rFonts w:ascii="Verdana" w:hAnsi="Verdana" w:cs="Arial"/>
                <w:b/>
                <w:sz w:val="14"/>
              </w:rPr>
            </w:pPr>
          </w:p>
        </w:tc>
        <w:tc>
          <w:tcPr>
            <w:tcW w:w="1361" w:type="dxa"/>
            <w:tcBorders>
              <w:top w:val="single" w:sz="8" w:space="0" w:color="0070AD" w:themeColor="accent1"/>
              <w:left w:val="nil"/>
              <w:bottom w:val="single" w:sz="8" w:space="0" w:color="0070AD" w:themeColor="accent1"/>
            </w:tcBorders>
            <w:shd w:val="clear" w:color="auto" w:fill="BBE7FF" w:themeFill="accent1" w:themeFillTint="33"/>
            <w:vAlign w:val="center"/>
          </w:tcPr>
          <w:p w14:paraId="323785D1" w14:textId="3D4A515F" w:rsidR="00C17CFA" w:rsidRPr="00F4191D" w:rsidRDefault="00C17CFA" w:rsidP="00D159DD">
            <w:pPr>
              <w:pStyle w:val="TableParagraph"/>
              <w:keepNext/>
              <w:spacing w:before="29"/>
              <w:ind w:left="63"/>
              <w:jc w:val="center"/>
              <w:rPr>
                <w:rFonts w:ascii="Verdana" w:hAnsi="Verdana" w:cs="Arial"/>
                <w:b/>
                <w:sz w:val="14"/>
              </w:rPr>
            </w:pPr>
            <w:r w:rsidRPr="00F4191D">
              <w:rPr>
                <w:rFonts w:ascii="Verdana" w:hAnsi="Verdana"/>
                <w:b/>
                <w:sz w:val="14"/>
              </w:rPr>
              <w:t>H1 2020</w:t>
            </w:r>
          </w:p>
          <w:p w14:paraId="17156265" w14:textId="0F39BABD" w:rsidR="00C17CFA" w:rsidRPr="00F4191D" w:rsidRDefault="00C17CFA" w:rsidP="00D159DD">
            <w:pPr>
              <w:pStyle w:val="TableParagraph"/>
              <w:keepNext/>
              <w:spacing w:before="29"/>
              <w:ind w:left="63"/>
              <w:jc w:val="center"/>
              <w:rPr>
                <w:rFonts w:ascii="Verdana" w:hAnsi="Verdana" w:cs="Arial"/>
                <w:b/>
                <w:sz w:val="14"/>
              </w:rPr>
            </w:pPr>
          </w:p>
        </w:tc>
      </w:tr>
      <w:tr w:rsidR="00C17CFA" w:rsidRPr="00F4191D" w14:paraId="087C6765" w14:textId="77777777" w:rsidTr="00C17CFA">
        <w:trPr>
          <w:trHeight w:val="227"/>
          <w:jc w:val="center"/>
        </w:trPr>
        <w:tc>
          <w:tcPr>
            <w:tcW w:w="3798" w:type="dxa"/>
            <w:tcBorders>
              <w:top w:val="single" w:sz="8" w:space="0" w:color="0070AD" w:themeColor="accent1"/>
              <w:bottom w:val="single" w:sz="8" w:space="0" w:color="0070AD" w:themeColor="accent1"/>
            </w:tcBorders>
            <w:shd w:val="clear" w:color="auto" w:fill="auto"/>
            <w:vAlign w:val="center"/>
          </w:tcPr>
          <w:p w14:paraId="1C3A9D41" w14:textId="77777777" w:rsidR="00C17CFA" w:rsidRPr="00F4191D" w:rsidRDefault="00C17CFA" w:rsidP="00E6023E">
            <w:pPr>
              <w:pStyle w:val="TableParagraph"/>
              <w:keepNext/>
              <w:spacing w:before="100" w:beforeAutospacing="1"/>
              <w:ind w:left="63"/>
              <w:rPr>
                <w:rFonts w:ascii="Verdana" w:hAnsi="Verdana" w:cs="Arial"/>
                <w:b/>
                <w:color w:val="0070AD" w:themeColor="accent1"/>
                <w:sz w:val="14"/>
              </w:rPr>
            </w:pPr>
            <w:r w:rsidRPr="00F4191D">
              <w:rPr>
                <w:rFonts w:ascii="Verdana" w:hAnsi="Verdana"/>
                <w:b/>
                <w:color w:val="0070AD" w:themeColor="accent1"/>
                <w:sz w:val="14"/>
              </w:rPr>
              <w:t xml:space="preserve">Organic growth </w:t>
            </w:r>
          </w:p>
        </w:tc>
        <w:tc>
          <w:tcPr>
            <w:tcW w:w="1361" w:type="dxa"/>
            <w:tcBorders>
              <w:top w:val="single" w:sz="8" w:space="0" w:color="0070AD" w:themeColor="accent1"/>
              <w:bottom w:val="single" w:sz="8" w:space="0" w:color="0070AD" w:themeColor="accent1"/>
            </w:tcBorders>
            <w:shd w:val="clear" w:color="auto" w:fill="auto"/>
            <w:vAlign w:val="center"/>
          </w:tcPr>
          <w:p w14:paraId="4976BA78" w14:textId="67B0BD49" w:rsidR="00C17CFA" w:rsidRPr="00F4191D" w:rsidRDefault="00C17CFA" w:rsidP="00E6023E">
            <w:pPr>
              <w:pStyle w:val="TableParagraph"/>
              <w:keepNext/>
              <w:spacing w:before="100" w:beforeAutospacing="1"/>
              <w:ind w:left="63" w:right="340"/>
              <w:jc w:val="right"/>
              <w:rPr>
                <w:rFonts w:ascii="Verdana" w:hAnsi="Verdana" w:cs="Arial"/>
                <w:b/>
                <w:color w:val="0070AD" w:themeColor="accent1"/>
                <w:sz w:val="14"/>
              </w:rPr>
            </w:pPr>
            <w:r w:rsidRPr="00F4191D">
              <w:rPr>
                <w:rFonts w:ascii="Verdana" w:hAnsi="Verdana"/>
                <w:b/>
                <w:color w:val="0070AD" w:themeColor="accent1"/>
                <w:sz w:val="14"/>
              </w:rPr>
              <w:t>+2.0%</w:t>
            </w:r>
          </w:p>
        </w:tc>
        <w:tc>
          <w:tcPr>
            <w:tcW w:w="1361" w:type="dxa"/>
            <w:tcBorders>
              <w:top w:val="single" w:sz="8" w:space="0" w:color="0070AD" w:themeColor="accent1"/>
              <w:bottom w:val="single" w:sz="8" w:space="0" w:color="0070AD" w:themeColor="accent1"/>
              <w:right w:val="nil"/>
            </w:tcBorders>
            <w:shd w:val="clear" w:color="auto" w:fill="auto"/>
            <w:vAlign w:val="center"/>
          </w:tcPr>
          <w:p w14:paraId="0FAF840F" w14:textId="56BA7065" w:rsidR="00C17CFA" w:rsidRPr="00F4191D" w:rsidRDefault="00C17CFA" w:rsidP="00E6023E">
            <w:pPr>
              <w:pStyle w:val="TableParagraph"/>
              <w:keepNext/>
              <w:spacing w:before="100" w:beforeAutospacing="1"/>
              <w:ind w:left="63" w:right="287"/>
              <w:jc w:val="right"/>
              <w:rPr>
                <w:rFonts w:ascii="Verdana" w:hAnsi="Verdana" w:cs="Arial"/>
                <w:b/>
                <w:color w:val="0070AD" w:themeColor="accent1"/>
                <w:sz w:val="14"/>
              </w:rPr>
            </w:pPr>
            <w:r w:rsidRPr="00F4191D">
              <w:rPr>
                <w:rFonts w:ascii="Verdana" w:hAnsi="Verdana"/>
                <w:b/>
                <w:color w:val="0070AD" w:themeColor="accent1"/>
                <w:sz w:val="14"/>
              </w:rPr>
              <w:t>-7.7%</w:t>
            </w:r>
          </w:p>
        </w:tc>
        <w:tc>
          <w:tcPr>
            <w:tcW w:w="1361" w:type="dxa"/>
            <w:tcBorders>
              <w:top w:val="single" w:sz="8" w:space="0" w:color="0070AD" w:themeColor="accent1"/>
              <w:left w:val="nil"/>
              <w:bottom w:val="single" w:sz="8" w:space="0" w:color="0070AD" w:themeColor="accent1"/>
            </w:tcBorders>
            <w:shd w:val="clear" w:color="auto" w:fill="BBE7FF" w:themeFill="accent1" w:themeFillTint="33"/>
            <w:vAlign w:val="center"/>
          </w:tcPr>
          <w:p w14:paraId="5B69E4D3" w14:textId="6083C67F" w:rsidR="00C17CFA" w:rsidRPr="00F4191D" w:rsidRDefault="00C17CFA" w:rsidP="00E6023E">
            <w:pPr>
              <w:pStyle w:val="TableParagraph"/>
              <w:keepNext/>
              <w:spacing w:before="100" w:beforeAutospacing="1"/>
              <w:ind w:left="63" w:right="363"/>
              <w:jc w:val="right"/>
              <w:rPr>
                <w:rFonts w:ascii="Verdana" w:hAnsi="Verdana" w:cs="Arial"/>
                <w:b/>
                <w:color w:val="0070AD" w:themeColor="accent1"/>
                <w:sz w:val="14"/>
              </w:rPr>
            </w:pPr>
            <w:r w:rsidRPr="00F4191D">
              <w:rPr>
                <w:rFonts w:ascii="Verdana" w:hAnsi="Verdana"/>
                <w:b/>
                <w:color w:val="0070AD" w:themeColor="accent1"/>
                <w:sz w:val="14"/>
              </w:rPr>
              <w:t>-3.4%</w:t>
            </w:r>
          </w:p>
        </w:tc>
      </w:tr>
      <w:tr w:rsidR="00C17CFA" w:rsidRPr="00F4191D" w14:paraId="7AE3791B" w14:textId="77777777" w:rsidTr="00C17CFA">
        <w:trPr>
          <w:trHeight w:val="227"/>
          <w:jc w:val="center"/>
        </w:trPr>
        <w:tc>
          <w:tcPr>
            <w:tcW w:w="3798" w:type="dxa"/>
            <w:tcBorders>
              <w:top w:val="single" w:sz="8" w:space="0" w:color="0070AD" w:themeColor="accent1"/>
              <w:bottom w:val="single" w:sz="8" w:space="0" w:color="0070AD" w:themeColor="accent1"/>
            </w:tcBorders>
            <w:shd w:val="clear" w:color="auto" w:fill="auto"/>
            <w:vAlign w:val="center"/>
          </w:tcPr>
          <w:p w14:paraId="27974105" w14:textId="77777777" w:rsidR="00C17CFA" w:rsidRPr="00F4191D" w:rsidRDefault="00C17CFA" w:rsidP="00E6023E">
            <w:pPr>
              <w:pStyle w:val="TableParagraph"/>
              <w:keepNext/>
              <w:spacing w:before="100" w:beforeAutospacing="1"/>
              <w:ind w:left="142"/>
              <w:rPr>
                <w:rFonts w:ascii="Verdana" w:hAnsi="Verdana" w:cs="Arial"/>
                <w:sz w:val="14"/>
              </w:rPr>
            </w:pPr>
            <w:r w:rsidRPr="00F4191D">
              <w:rPr>
                <w:rFonts w:ascii="Verdana" w:hAnsi="Verdana"/>
                <w:sz w:val="14"/>
                <w:szCs w:val="16"/>
              </w:rPr>
              <w:t>Changes in Group scope</w:t>
            </w:r>
          </w:p>
        </w:tc>
        <w:tc>
          <w:tcPr>
            <w:tcW w:w="1361" w:type="dxa"/>
            <w:tcBorders>
              <w:top w:val="single" w:sz="8" w:space="0" w:color="0070AD" w:themeColor="accent1"/>
              <w:bottom w:val="single" w:sz="8" w:space="0" w:color="0070AD" w:themeColor="accent1"/>
            </w:tcBorders>
            <w:shd w:val="clear" w:color="auto" w:fill="auto"/>
            <w:vAlign w:val="center"/>
          </w:tcPr>
          <w:p w14:paraId="3F813C3C" w14:textId="7CBC1461" w:rsidR="00C17CFA" w:rsidRPr="00F4191D" w:rsidRDefault="00C17CFA" w:rsidP="00E6023E">
            <w:pPr>
              <w:pStyle w:val="TableParagraph"/>
              <w:keepNext/>
              <w:spacing w:before="100" w:beforeAutospacing="1"/>
              <w:ind w:left="1" w:right="340"/>
              <w:jc w:val="right"/>
              <w:rPr>
                <w:rFonts w:ascii="Verdana" w:hAnsi="Verdana" w:cs="Arial"/>
                <w:sz w:val="14"/>
                <w:szCs w:val="16"/>
              </w:rPr>
            </w:pPr>
            <w:r w:rsidRPr="00F4191D">
              <w:rPr>
                <w:rFonts w:ascii="Verdana" w:hAnsi="Verdana"/>
                <w:sz w:val="14"/>
                <w:szCs w:val="16"/>
              </w:rPr>
              <w:t>+0.3 pt</w:t>
            </w:r>
            <w:r w:rsidR="00F4191D">
              <w:rPr>
                <w:rFonts w:ascii="Verdana" w:hAnsi="Verdana"/>
                <w:sz w:val="14"/>
                <w:szCs w:val="16"/>
              </w:rPr>
              <w:t>s</w:t>
            </w:r>
          </w:p>
        </w:tc>
        <w:tc>
          <w:tcPr>
            <w:tcW w:w="1361" w:type="dxa"/>
            <w:tcBorders>
              <w:top w:val="single" w:sz="8" w:space="0" w:color="0070AD" w:themeColor="accent1"/>
              <w:bottom w:val="single" w:sz="8" w:space="0" w:color="0070AD" w:themeColor="accent1"/>
              <w:right w:val="nil"/>
            </w:tcBorders>
            <w:shd w:val="clear" w:color="auto" w:fill="auto"/>
            <w:vAlign w:val="center"/>
          </w:tcPr>
          <w:p w14:paraId="70A6208D" w14:textId="75D3200B" w:rsidR="00C17CFA" w:rsidRPr="00F4191D" w:rsidRDefault="00C17CFA" w:rsidP="00E6023E">
            <w:pPr>
              <w:pStyle w:val="TableParagraph"/>
              <w:keepNext/>
              <w:spacing w:before="100" w:beforeAutospacing="1"/>
              <w:ind w:left="1" w:right="287"/>
              <w:jc w:val="right"/>
              <w:rPr>
                <w:rFonts w:ascii="Verdana" w:hAnsi="Verdana" w:cs="Arial"/>
                <w:sz w:val="14"/>
                <w:szCs w:val="16"/>
              </w:rPr>
            </w:pPr>
            <w:r w:rsidRPr="00F4191D">
              <w:rPr>
                <w:rFonts w:ascii="Verdana" w:hAnsi="Verdana"/>
                <w:sz w:val="14"/>
                <w:szCs w:val="16"/>
              </w:rPr>
              <w:t>+21.1 pts</w:t>
            </w:r>
          </w:p>
        </w:tc>
        <w:tc>
          <w:tcPr>
            <w:tcW w:w="1361" w:type="dxa"/>
            <w:tcBorders>
              <w:top w:val="single" w:sz="8" w:space="0" w:color="0070AD" w:themeColor="accent1"/>
              <w:left w:val="nil"/>
              <w:bottom w:val="single" w:sz="8" w:space="0" w:color="0070AD" w:themeColor="accent1"/>
            </w:tcBorders>
            <w:shd w:val="clear" w:color="auto" w:fill="BBE7FF" w:themeFill="accent1" w:themeFillTint="33"/>
            <w:vAlign w:val="center"/>
          </w:tcPr>
          <w:p w14:paraId="303BA2DB" w14:textId="18338006" w:rsidR="00C17CFA" w:rsidRPr="00F4191D" w:rsidRDefault="00C17CFA" w:rsidP="00E6023E">
            <w:pPr>
              <w:pStyle w:val="TableParagraph"/>
              <w:keepNext/>
              <w:spacing w:before="100" w:beforeAutospacing="1"/>
              <w:ind w:left="1" w:right="363"/>
              <w:jc w:val="right"/>
              <w:rPr>
                <w:rFonts w:ascii="Verdana" w:hAnsi="Verdana" w:cs="Arial"/>
                <w:sz w:val="14"/>
                <w:szCs w:val="16"/>
              </w:rPr>
            </w:pPr>
            <w:r w:rsidRPr="00F4191D">
              <w:rPr>
                <w:rFonts w:ascii="Verdana" w:hAnsi="Verdana"/>
                <w:sz w:val="14"/>
                <w:szCs w:val="16"/>
              </w:rPr>
              <w:t>+11.3 pts</w:t>
            </w:r>
          </w:p>
        </w:tc>
      </w:tr>
      <w:tr w:rsidR="00C17CFA" w:rsidRPr="00F4191D" w14:paraId="0C031C3E" w14:textId="77777777" w:rsidTr="00C17CFA">
        <w:trPr>
          <w:trHeight w:val="227"/>
          <w:jc w:val="center"/>
        </w:trPr>
        <w:tc>
          <w:tcPr>
            <w:tcW w:w="3798" w:type="dxa"/>
            <w:tcBorders>
              <w:top w:val="single" w:sz="8" w:space="0" w:color="0070AD" w:themeColor="accent1"/>
              <w:bottom w:val="single" w:sz="8" w:space="0" w:color="0070AD" w:themeColor="accent1"/>
            </w:tcBorders>
            <w:shd w:val="clear" w:color="auto" w:fill="auto"/>
            <w:vAlign w:val="center"/>
          </w:tcPr>
          <w:p w14:paraId="03AA00F1" w14:textId="77777777" w:rsidR="00C17CFA" w:rsidRPr="00F4191D" w:rsidRDefault="00C17CFA" w:rsidP="00E6023E">
            <w:pPr>
              <w:pStyle w:val="TableParagraph"/>
              <w:keepNext/>
              <w:spacing w:before="100" w:beforeAutospacing="1"/>
              <w:ind w:left="63"/>
              <w:rPr>
                <w:rFonts w:ascii="Verdana" w:hAnsi="Verdana" w:cs="Arial"/>
                <w:b/>
                <w:color w:val="0070AD" w:themeColor="accent1"/>
                <w:sz w:val="14"/>
              </w:rPr>
            </w:pPr>
            <w:r w:rsidRPr="00F4191D">
              <w:rPr>
                <w:rFonts w:ascii="Verdana" w:hAnsi="Verdana"/>
                <w:b/>
                <w:color w:val="0070AD" w:themeColor="accent1"/>
                <w:sz w:val="14"/>
              </w:rPr>
              <w:t>Growth at constant exchange rates</w:t>
            </w:r>
          </w:p>
        </w:tc>
        <w:tc>
          <w:tcPr>
            <w:tcW w:w="1361" w:type="dxa"/>
            <w:tcBorders>
              <w:top w:val="single" w:sz="8" w:space="0" w:color="0070AD" w:themeColor="accent1"/>
              <w:bottom w:val="single" w:sz="8" w:space="0" w:color="0070AD" w:themeColor="accent1"/>
            </w:tcBorders>
            <w:shd w:val="clear" w:color="auto" w:fill="auto"/>
            <w:vAlign w:val="center"/>
          </w:tcPr>
          <w:p w14:paraId="3905DFAA" w14:textId="2C341BDA" w:rsidR="00C17CFA" w:rsidRPr="00F4191D" w:rsidRDefault="00C17CFA" w:rsidP="00E6023E">
            <w:pPr>
              <w:pStyle w:val="TableParagraph"/>
              <w:keepNext/>
              <w:spacing w:before="100" w:beforeAutospacing="1"/>
              <w:ind w:left="63" w:right="340"/>
              <w:jc w:val="right"/>
              <w:rPr>
                <w:rFonts w:ascii="Verdana" w:hAnsi="Verdana" w:cs="Arial"/>
                <w:b/>
                <w:color w:val="0070AD" w:themeColor="accent1"/>
                <w:sz w:val="14"/>
              </w:rPr>
            </w:pPr>
            <w:r w:rsidRPr="00F4191D">
              <w:rPr>
                <w:rFonts w:ascii="Verdana" w:hAnsi="Verdana"/>
                <w:b/>
                <w:color w:val="0070AD" w:themeColor="accent1"/>
                <w:sz w:val="14"/>
              </w:rPr>
              <w:t>+2.3%</w:t>
            </w:r>
          </w:p>
        </w:tc>
        <w:tc>
          <w:tcPr>
            <w:tcW w:w="1361" w:type="dxa"/>
            <w:tcBorders>
              <w:top w:val="single" w:sz="8" w:space="0" w:color="0070AD" w:themeColor="accent1"/>
              <w:bottom w:val="single" w:sz="8" w:space="0" w:color="0070AD" w:themeColor="accent1"/>
              <w:right w:val="nil"/>
            </w:tcBorders>
            <w:shd w:val="clear" w:color="auto" w:fill="auto"/>
            <w:vAlign w:val="center"/>
          </w:tcPr>
          <w:p w14:paraId="2BF2C20B" w14:textId="787B9B68" w:rsidR="00C17CFA" w:rsidRPr="00F4191D" w:rsidRDefault="00C17CFA" w:rsidP="00E6023E">
            <w:pPr>
              <w:pStyle w:val="TableParagraph"/>
              <w:keepNext/>
              <w:spacing w:before="100" w:beforeAutospacing="1"/>
              <w:ind w:left="63" w:right="287"/>
              <w:jc w:val="right"/>
              <w:rPr>
                <w:rFonts w:ascii="Verdana" w:hAnsi="Verdana" w:cs="Arial"/>
                <w:b/>
                <w:color w:val="0070AD" w:themeColor="accent1"/>
                <w:sz w:val="14"/>
              </w:rPr>
            </w:pPr>
            <w:r w:rsidRPr="00F4191D">
              <w:rPr>
                <w:rFonts w:ascii="Verdana" w:hAnsi="Verdana"/>
                <w:b/>
                <w:color w:val="0070AD" w:themeColor="accent1"/>
                <w:sz w:val="14"/>
              </w:rPr>
              <w:t>+13.4%</w:t>
            </w:r>
          </w:p>
        </w:tc>
        <w:tc>
          <w:tcPr>
            <w:tcW w:w="1361" w:type="dxa"/>
            <w:tcBorders>
              <w:top w:val="single" w:sz="8" w:space="0" w:color="0070AD" w:themeColor="accent1"/>
              <w:left w:val="nil"/>
              <w:bottom w:val="single" w:sz="8" w:space="0" w:color="0070AD" w:themeColor="accent1"/>
            </w:tcBorders>
            <w:shd w:val="clear" w:color="auto" w:fill="BBE7FF" w:themeFill="accent1" w:themeFillTint="33"/>
            <w:vAlign w:val="center"/>
          </w:tcPr>
          <w:p w14:paraId="1B0AE515" w14:textId="23331698" w:rsidR="00C17CFA" w:rsidRPr="00F4191D" w:rsidRDefault="00C17CFA" w:rsidP="00E6023E">
            <w:pPr>
              <w:pStyle w:val="TableParagraph"/>
              <w:keepNext/>
              <w:spacing w:before="100" w:beforeAutospacing="1"/>
              <w:ind w:left="63" w:right="363"/>
              <w:jc w:val="right"/>
              <w:rPr>
                <w:rFonts w:ascii="Verdana" w:hAnsi="Verdana" w:cs="Arial"/>
                <w:b/>
                <w:color w:val="0070AD" w:themeColor="accent1"/>
                <w:sz w:val="14"/>
              </w:rPr>
            </w:pPr>
            <w:r w:rsidRPr="00F4191D">
              <w:rPr>
                <w:rFonts w:ascii="Verdana" w:hAnsi="Verdana"/>
                <w:b/>
                <w:color w:val="0070AD" w:themeColor="accent1"/>
                <w:sz w:val="14"/>
              </w:rPr>
              <w:t>+7.9%</w:t>
            </w:r>
          </w:p>
        </w:tc>
      </w:tr>
      <w:tr w:rsidR="00C17CFA" w:rsidRPr="00F4191D" w14:paraId="44CEE2E9" w14:textId="77777777" w:rsidTr="00C17CFA">
        <w:trPr>
          <w:trHeight w:val="227"/>
          <w:jc w:val="center"/>
        </w:trPr>
        <w:tc>
          <w:tcPr>
            <w:tcW w:w="3798" w:type="dxa"/>
            <w:tcBorders>
              <w:top w:val="single" w:sz="8" w:space="0" w:color="0070AD" w:themeColor="accent1"/>
              <w:bottom w:val="single" w:sz="8" w:space="0" w:color="0070AD" w:themeColor="accent1"/>
            </w:tcBorders>
            <w:shd w:val="clear" w:color="auto" w:fill="auto"/>
            <w:vAlign w:val="center"/>
          </w:tcPr>
          <w:p w14:paraId="6E5F202E" w14:textId="77777777" w:rsidR="00C17CFA" w:rsidRPr="00F4191D" w:rsidRDefault="00C17CFA" w:rsidP="00E6023E">
            <w:pPr>
              <w:pStyle w:val="TableParagraph"/>
              <w:keepNext/>
              <w:spacing w:before="100" w:beforeAutospacing="1"/>
              <w:ind w:left="142"/>
              <w:rPr>
                <w:rFonts w:ascii="Verdana" w:hAnsi="Verdana" w:cs="Arial"/>
                <w:sz w:val="14"/>
              </w:rPr>
            </w:pPr>
            <w:r w:rsidRPr="00F4191D">
              <w:rPr>
                <w:rFonts w:ascii="Verdana" w:hAnsi="Verdana"/>
                <w:sz w:val="14"/>
              </w:rPr>
              <w:t>Exchange rate fluctuations</w:t>
            </w:r>
          </w:p>
        </w:tc>
        <w:tc>
          <w:tcPr>
            <w:tcW w:w="1361" w:type="dxa"/>
            <w:tcBorders>
              <w:top w:val="single" w:sz="8" w:space="0" w:color="0070AD" w:themeColor="accent1"/>
              <w:bottom w:val="single" w:sz="8" w:space="0" w:color="0070AD" w:themeColor="accent1"/>
            </w:tcBorders>
            <w:shd w:val="clear" w:color="auto" w:fill="auto"/>
            <w:vAlign w:val="center"/>
          </w:tcPr>
          <w:p w14:paraId="7429E93B" w14:textId="1D169F1D" w:rsidR="00C17CFA" w:rsidRPr="00F4191D" w:rsidRDefault="00C17CFA" w:rsidP="00E6023E">
            <w:pPr>
              <w:pStyle w:val="TableParagraph"/>
              <w:keepNext/>
              <w:spacing w:before="100" w:beforeAutospacing="1"/>
              <w:ind w:left="1" w:right="340"/>
              <w:jc w:val="right"/>
              <w:rPr>
                <w:rFonts w:ascii="Verdana" w:hAnsi="Verdana" w:cs="Arial"/>
                <w:sz w:val="14"/>
                <w:szCs w:val="16"/>
              </w:rPr>
            </w:pPr>
            <w:r w:rsidRPr="00F4191D">
              <w:rPr>
                <w:rFonts w:ascii="Verdana" w:hAnsi="Verdana"/>
                <w:sz w:val="14"/>
                <w:szCs w:val="16"/>
              </w:rPr>
              <w:t>+0.8 pt</w:t>
            </w:r>
            <w:r w:rsidR="007E03D4">
              <w:rPr>
                <w:rFonts w:ascii="Verdana" w:hAnsi="Verdana"/>
                <w:sz w:val="14"/>
                <w:szCs w:val="16"/>
              </w:rPr>
              <w:t>s</w:t>
            </w:r>
          </w:p>
        </w:tc>
        <w:tc>
          <w:tcPr>
            <w:tcW w:w="1361" w:type="dxa"/>
            <w:tcBorders>
              <w:top w:val="single" w:sz="8" w:space="0" w:color="0070AD" w:themeColor="accent1"/>
              <w:bottom w:val="single" w:sz="8" w:space="0" w:color="0070AD" w:themeColor="accent1"/>
              <w:right w:val="nil"/>
            </w:tcBorders>
            <w:shd w:val="clear" w:color="auto" w:fill="auto"/>
            <w:vAlign w:val="center"/>
          </w:tcPr>
          <w:p w14:paraId="5262849D" w14:textId="07E2DE00" w:rsidR="00C17CFA" w:rsidRPr="00F4191D" w:rsidRDefault="00C17CFA" w:rsidP="00E6023E">
            <w:pPr>
              <w:pStyle w:val="TableParagraph"/>
              <w:keepNext/>
              <w:spacing w:before="100" w:beforeAutospacing="1"/>
              <w:ind w:left="1" w:right="287"/>
              <w:jc w:val="right"/>
              <w:rPr>
                <w:rFonts w:ascii="Verdana" w:hAnsi="Verdana" w:cs="Arial"/>
                <w:sz w:val="14"/>
                <w:szCs w:val="16"/>
              </w:rPr>
            </w:pPr>
            <w:r w:rsidRPr="00F4191D">
              <w:rPr>
                <w:rFonts w:ascii="Verdana" w:hAnsi="Verdana"/>
                <w:sz w:val="14"/>
                <w:szCs w:val="16"/>
              </w:rPr>
              <w:t>-0.3 pt</w:t>
            </w:r>
            <w:r w:rsidR="007E03D4">
              <w:rPr>
                <w:rFonts w:ascii="Verdana" w:hAnsi="Verdana"/>
                <w:sz w:val="14"/>
                <w:szCs w:val="16"/>
              </w:rPr>
              <w:t>s</w:t>
            </w:r>
          </w:p>
        </w:tc>
        <w:tc>
          <w:tcPr>
            <w:tcW w:w="1361" w:type="dxa"/>
            <w:tcBorders>
              <w:top w:val="single" w:sz="8" w:space="0" w:color="0070AD" w:themeColor="accent1"/>
              <w:left w:val="nil"/>
              <w:bottom w:val="single" w:sz="8" w:space="0" w:color="0070AD" w:themeColor="accent1"/>
            </w:tcBorders>
            <w:shd w:val="clear" w:color="auto" w:fill="BBE7FF" w:themeFill="accent1" w:themeFillTint="33"/>
            <w:vAlign w:val="center"/>
          </w:tcPr>
          <w:p w14:paraId="28865746" w14:textId="256B5DE6" w:rsidR="00C17CFA" w:rsidRPr="00F4191D" w:rsidRDefault="00C17CFA" w:rsidP="00E6023E">
            <w:pPr>
              <w:pStyle w:val="TableParagraph"/>
              <w:keepNext/>
              <w:spacing w:before="100" w:beforeAutospacing="1"/>
              <w:ind w:left="1" w:right="363"/>
              <w:jc w:val="right"/>
              <w:rPr>
                <w:rFonts w:ascii="Verdana" w:hAnsi="Verdana" w:cs="Arial"/>
                <w:sz w:val="14"/>
                <w:szCs w:val="16"/>
              </w:rPr>
            </w:pPr>
            <w:r w:rsidRPr="00F4191D">
              <w:rPr>
                <w:rFonts w:ascii="Verdana" w:hAnsi="Verdana"/>
                <w:sz w:val="14"/>
                <w:szCs w:val="16"/>
              </w:rPr>
              <w:t>+0.3 pt</w:t>
            </w:r>
            <w:r w:rsidR="007E03D4">
              <w:rPr>
                <w:rFonts w:ascii="Verdana" w:hAnsi="Verdana"/>
                <w:sz w:val="14"/>
                <w:szCs w:val="16"/>
              </w:rPr>
              <w:t>s</w:t>
            </w:r>
          </w:p>
        </w:tc>
      </w:tr>
      <w:tr w:rsidR="00C17CFA" w:rsidRPr="00F4191D" w14:paraId="7DD6164C" w14:textId="77777777" w:rsidTr="00C17CFA">
        <w:trPr>
          <w:trHeight w:val="227"/>
          <w:jc w:val="center"/>
        </w:trPr>
        <w:tc>
          <w:tcPr>
            <w:tcW w:w="3798" w:type="dxa"/>
            <w:tcBorders>
              <w:top w:val="single" w:sz="8" w:space="0" w:color="0070AD" w:themeColor="accent1"/>
              <w:bottom w:val="single" w:sz="8" w:space="0" w:color="0070AD" w:themeColor="accent1"/>
            </w:tcBorders>
            <w:shd w:val="clear" w:color="auto" w:fill="auto"/>
            <w:vAlign w:val="center"/>
          </w:tcPr>
          <w:p w14:paraId="321E1DE4" w14:textId="77777777" w:rsidR="00C17CFA" w:rsidRPr="00F4191D" w:rsidRDefault="00C17CFA" w:rsidP="00E6023E">
            <w:pPr>
              <w:pStyle w:val="TableParagraph"/>
              <w:keepNext/>
              <w:spacing w:before="100" w:beforeAutospacing="1"/>
              <w:ind w:left="63"/>
              <w:rPr>
                <w:rFonts w:ascii="Verdana" w:hAnsi="Verdana" w:cs="Arial"/>
                <w:b/>
                <w:color w:val="0070AD" w:themeColor="accent1"/>
                <w:sz w:val="14"/>
              </w:rPr>
            </w:pPr>
            <w:r w:rsidRPr="00F4191D">
              <w:rPr>
                <w:rFonts w:ascii="Verdana" w:hAnsi="Verdana"/>
                <w:b/>
                <w:color w:val="0070AD" w:themeColor="accent1"/>
                <w:sz w:val="14"/>
              </w:rPr>
              <w:t>Reported growth</w:t>
            </w:r>
          </w:p>
        </w:tc>
        <w:tc>
          <w:tcPr>
            <w:tcW w:w="1361" w:type="dxa"/>
            <w:tcBorders>
              <w:top w:val="single" w:sz="8" w:space="0" w:color="0070AD" w:themeColor="accent1"/>
              <w:bottom w:val="single" w:sz="8" w:space="0" w:color="0070AD" w:themeColor="accent1"/>
            </w:tcBorders>
            <w:shd w:val="clear" w:color="auto" w:fill="auto"/>
            <w:vAlign w:val="center"/>
          </w:tcPr>
          <w:p w14:paraId="10131528" w14:textId="50A7A016" w:rsidR="00C17CFA" w:rsidRPr="00F4191D" w:rsidRDefault="00C17CFA" w:rsidP="00E6023E">
            <w:pPr>
              <w:pStyle w:val="TableParagraph"/>
              <w:keepNext/>
              <w:spacing w:before="100" w:beforeAutospacing="1"/>
              <w:ind w:left="1" w:right="340"/>
              <w:jc w:val="right"/>
              <w:rPr>
                <w:rFonts w:ascii="Verdana" w:hAnsi="Verdana" w:cs="Arial"/>
                <w:b/>
                <w:color w:val="0070AD" w:themeColor="accent1"/>
                <w:sz w:val="14"/>
                <w:szCs w:val="16"/>
              </w:rPr>
            </w:pPr>
            <w:r w:rsidRPr="00F4191D">
              <w:rPr>
                <w:rFonts w:ascii="Verdana" w:hAnsi="Verdana"/>
                <w:b/>
                <w:color w:val="0070AD" w:themeColor="accent1"/>
                <w:sz w:val="14"/>
                <w:szCs w:val="16"/>
              </w:rPr>
              <w:t>+3.1%</w:t>
            </w:r>
          </w:p>
        </w:tc>
        <w:tc>
          <w:tcPr>
            <w:tcW w:w="1361" w:type="dxa"/>
            <w:tcBorders>
              <w:top w:val="single" w:sz="8" w:space="0" w:color="0070AD" w:themeColor="accent1"/>
              <w:bottom w:val="single" w:sz="8" w:space="0" w:color="0070AD" w:themeColor="accent1"/>
              <w:right w:val="nil"/>
            </w:tcBorders>
            <w:shd w:val="clear" w:color="auto" w:fill="auto"/>
            <w:vAlign w:val="center"/>
          </w:tcPr>
          <w:p w14:paraId="486D81E7" w14:textId="61BFA468" w:rsidR="00C17CFA" w:rsidRPr="00F4191D" w:rsidRDefault="00C17CFA" w:rsidP="00E6023E">
            <w:pPr>
              <w:pStyle w:val="TableParagraph"/>
              <w:keepNext/>
              <w:spacing w:before="100" w:beforeAutospacing="1"/>
              <w:ind w:left="1" w:right="287"/>
              <w:jc w:val="right"/>
              <w:rPr>
                <w:rFonts w:ascii="Verdana" w:hAnsi="Verdana" w:cs="Arial"/>
                <w:b/>
                <w:color w:val="0070AD" w:themeColor="accent1"/>
                <w:sz w:val="14"/>
                <w:szCs w:val="16"/>
              </w:rPr>
            </w:pPr>
            <w:r w:rsidRPr="00F4191D">
              <w:rPr>
                <w:rFonts w:ascii="Verdana" w:hAnsi="Verdana"/>
                <w:b/>
                <w:color w:val="0070AD" w:themeColor="accent1"/>
                <w:sz w:val="14"/>
                <w:szCs w:val="16"/>
              </w:rPr>
              <w:t>+13.1%</w:t>
            </w:r>
          </w:p>
        </w:tc>
        <w:tc>
          <w:tcPr>
            <w:tcW w:w="1361" w:type="dxa"/>
            <w:tcBorders>
              <w:top w:val="single" w:sz="8" w:space="0" w:color="0070AD" w:themeColor="accent1"/>
              <w:left w:val="nil"/>
              <w:bottom w:val="single" w:sz="8" w:space="0" w:color="0070AD" w:themeColor="accent1"/>
            </w:tcBorders>
            <w:shd w:val="clear" w:color="auto" w:fill="BBE7FF" w:themeFill="accent1" w:themeFillTint="33"/>
            <w:vAlign w:val="center"/>
          </w:tcPr>
          <w:p w14:paraId="2C1D5F19" w14:textId="4B386873" w:rsidR="00C17CFA" w:rsidRPr="00F4191D" w:rsidRDefault="00C17CFA" w:rsidP="00E6023E">
            <w:pPr>
              <w:pStyle w:val="TableParagraph"/>
              <w:keepNext/>
              <w:spacing w:before="100" w:beforeAutospacing="1"/>
              <w:ind w:left="1" w:right="363"/>
              <w:jc w:val="right"/>
              <w:rPr>
                <w:rFonts w:ascii="Verdana" w:hAnsi="Verdana" w:cs="Arial"/>
                <w:b/>
                <w:color w:val="0070AD" w:themeColor="accent1"/>
                <w:sz w:val="14"/>
                <w:szCs w:val="16"/>
              </w:rPr>
            </w:pPr>
            <w:r w:rsidRPr="00F4191D">
              <w:rPr>
                <w:rFonts w:ascii="Verdana" w:hAnsi="Verdana"/>
                <w:b/>
                <w:color w:val="0070AD" w:themeColor="accent1"/>
                <w:sz w:val="14"/>
                <w:szCs w:val="16"/>
              </w:rPr>
              <w:t>+8.2%</w:t>
            </w:r>
          </w:p>
        </w:tc>
      </w:tr>
    </w:tbl>
    <w:p w14:paraId="4D0F38FC" w14:textId="5DF176BD" w:rsidR="003A5C07" w:rsidRPr="00F4191D" w:rsidRDefault="003A5C07" w:rsidP="003A5C07">
      <w:pPr>
        <w:spacing w:before="120" w:after="120" w:line="276" w:lineRule="auto"/>
        <w:rPr>
          <w:rFonts w:cs="Arial"/>
        </w:rPr>
      </w:pPr>
      <w:bookmarkStart w:id="17" w:name="_Hlk14637833"/>
      <w:r w:rsidRPr="00F4191D">
        <w:t>When determining activity trends by business and in accordance with internal operating performance measures, growth at constant exchange rates is calculated based on</w:t>
      </w:r>
      <w:r w:rsidRPr="00F4191D">
        <w:rPr>
          <w:b/>
          <w:bCs/>
        </w:rPr>
        <w:t xml:space="preserve"> total revenues</w:t>
      </w:r>
      <w:r w:rsidRPr="00F4191D">
        <w:t xml:space="preserve">, i.e. before elimination of inter-business billing. </w:t>
      </w:r>
      <w:bookmarkStart w:id="18" w:name="_Hlk14637889"/>
      <w:bookmarkEnd w:id="17"/>
      <w:r w:rsidRPr="00F4191D">
        <w:t>The Group considers this to be more representative of activity levels by business. As its businesses change, an increasing number of contracts require a range of business expertise for delivery, leading to a rise in inter-business flows</w:t>
      </w:r>
      <w:bookmarkEnd w:id="18"/>
      <w:r w:rsidR="00C2767A">
        <w:t>.</w:t>
      </w:r>
    </w:p>
    <w:p w14:paraId="62F08284" w14:textId="4311F8E2" w:rsidR="00D159DD" w:rsidRPr="00F4191D" w:rsidRDefault="00D159DD" w:rsidP="003A5C07">
      <w:pPr>
        <w:pStyle w:val="BodyText"/>
        <w:spacing w:line="276" w:lineRule="auto"/>
      </w:pPr>
      <w:r w:rsidRPr="00F4191D">
        <w:rPr>
          <w:b/>
          <w:bCs/>
        </w:rPr>
        <w:t>Operating margin</w:t>
      </w:r>
      <w:r w:rsidRPr="00F4191D">
        <w:t xml:space="preserve"> is one of the Group’s key performance indicators. It is defined as the difference between revenues and operating costs. It is calculated before “Other operating income and expenses” which include amortization of intangible assets recognized in business combinations, the charge resulting from the deferred recognition of the fair value of shares granted to employees (including social security contributions and employer contributions), and non-recurring revenues and expenses, notably impairment of goodwill, negative goodwill, capital gains or losses on disposals of consolidated companies or businesses, restructuring costs incurred under a detailed formal plan approved by the Group’s management, the cost of acquiring and integrating companies acquired by the Group, including earn-outs comprising conditions of presence, and the effects of curtailments, settlements and transfers of defined benefit pension plans.</w:t>
      </w:r>
    </w:p>
    <w:p w14:paraId="3FCBF977" w14:textId="30C54F3A" w:rsidR="00D159DD" w:rsidRPr="00F4191D" w:rsidRDefault="00D159DD" w:rsidP="003A5C07">
      <w:pPr>
        <w:pStyle w:val="BodyText"/>
        <w:spacing w:line="276" w:lineRule="auto"/>
      </w:pPr>
      <w:r w:rsidRPr="00F4191D">
        <w:t xml:space="preserve">Normalized net profit is equal to profit for the year (Group share) adjusted for the impact of items recognized in “Other operating income and expense”, net of tax calculated using the effective tax rate. </w:t>
      </w:r>
      <w:r w:rsidRPr="00F4191D">
        <w:rPr>
          <w:b/>
          <w:bCs/>
        </w:rPr>
        <w:t>Normalized earnings per share</w:t>
      </w:r>
      <w:r w:rsidRPr="00F4191D">
        <w:t xml:space="preserve"> is computed like basic earnings per share, i.e. excluding dilution.</w:t>
      </w:r>
    </w:p>
    <w:p w14:paraId="0F2E1935" w14:textId="74E0161C" w:rsidR="00D159DD" w:rsidRPr="00F4191D" w:rsidRDefault="00D159DD" w:rsidP="003A5C07">
      <w:pPr>
        <w:pStyle w:val="BodyText"/>
        <w:spacing w:line="276" w:lineRule="auto"/>
      </w:pPr>
      <w:r w:rsidRPr="00F4191D">
        <w:rPr>
          <w:b/>
          <w:bCs/>
        </w:rPr>
        <w:t>Organic free cash flow</w:t>
      </w:r>
      <w:r w:rsidRPr="00F4191D">
        <w:t xml:space="preserve"> is equal to cash flow from operations less acquisitions of property, plant, equipment and intangible assets (net of disposals) and repayments of lease liabilities, adjusted for cash out relating to the net interest cost.</w:t>
      </w:r>
    </w:p>
    <w:p w14:paraId="1C53F4ED" w14:textId="790B74D7" w:rsidR="00E87A1E" w:rsidRPr="00F4191D" w:rsidRDefault="00712265" w:rsidP="006029A5">
      <w:pPr>
        <w:pStyle w:val="BodyText"/>
        <w:spacing w:line="276" w:lineRule="auto"/>
        <w:rPr>
          <w:bCs/>
        </w:rPr>
      </w:pPr>
      <w:r w:rsidRPr="00F4191D">
        <w:rPr>
          <w:b/>
        </w:rPr>
        <w:t>Covid</w:t>
      </w:r>
      <w:r w:rsidR="00E87A1E" w:rsidRPr="00F4191D">
        <w:rPr>
          <w:b/>
        </w:rPr>
        <w:t>-19</w:t>
      </w:r>
      <w:r w:rsidR="00E87A1E" w:rsidRPr="00F4191D">
        <w:t xml:space="preserve">: The impact of the health crisis on the consolidated financial statements at June 30, 2020 is not </w:t>
      </w:r>
      <w:r w:rsidR="00F90A0F" w:rsidRPr="00F4191D">
        <w:t>isolated</w:t>
      </w:r>
      <w:r w:rsidR="00E87A1E" w:rsidRPr="00F4191D">
        <w:t>. The definition of the above alternative performance measures is therefore unchanged and, in accordance with past practice, these financial statements include in other operating income and expenses a non-material amount of incremental and non-recurring costs related to this crisis.</w:t>
      </w:r>
    </w:p>
    <w:p w14:paraId="79899672" w14:textId="1394AFAC" w:rsidR="00D159DD" w:rsidRPr="00F4191D" w:rsidRDefault="00D159DD">
      <w:pPr>
        <w:jc w:val="left"/>
        <w:rPr>
          <w:rFonts w:ascii="Verdana" w:hAnsi="Verdana" w:cs="Arial"/>
          <w:b/>
          <w:caps/>
        </w:rPr>
      </w:pPr>
      <w:bookmarkStart w:id="19" w:name="_Hlk518391150"/>
    </w:p>
    <w:bookmarkEnd w:id="19"/>
    <w:p w14:paraId="1DC4E162" w14:textId="64F260EF" w:rsidR="00D159DD" w:rsidRPr="00F4191D" w:rsidRDefault="00D159DD" w:rsidP="00D159DD">
      <w:pPr>
        <w:pStyle w:val="Heading1"/>
      </w:pPr>
      <w:r w:rsidRPr="00F4191D">
        <w:t>RESULTS BY REGION</w:t>
      </w:r>
    </w:p>
    <w:tbl>
      <w:tblPr>
        <w:tblW w:w="10091" w:type="dxa"/>
        <w:jc w:val="center"/>
        <w:tblLayout w:type="fixed"/>
        <w:tblCellMar>
          <w:left w:w="0" w:type="dxa"/>
          <w:right w:w="0" w:type="dxa"/>
        </w:tblCellMar>
        <w:tblLook w:val="01E0" w:firstRow="1" w:lastRow="1" w:firstColumn="1" w:lastColumn="1" w:noHBand="0" w:noVBand="0"/>
      </w:tblPr>
      <w:tblGrid>
        <w:gridCol w:w="2948"/>
        <w:gridCol w:w="1361"/>
        <w:gridCol w:w="57"/>
        <w:gridCol w:w="1417"/>
        <w:gridCol w:w="1417"/>
        <w:gridCol w:w="57"/>
        <w:gridCol w:w="1417"/>
        <w:gridCol w:w="1417"/>
      </w:tblGrid>
      <w:tr w:rsidR="00D159DD" w:rsidRPr="00F4191D" w14:paraId="32EA69C9" w14:textId="77777777" w:rsidTr="00F0763C">
        <w:trPr>
          <w:trHeight w:hRule="exact" w:val="454"/>
          <w:jc w:val="center"/>
        </w:trPr>
        <w:tc>
          <w:tcPr>
            <w:tcW w:w="2948" w:type="dxa"/>
          </w:tcPr>
          <w:p w14:paraId="25072001" w14:textId="77777777" w:rsidR="00D159DD" w:rsidRPr="00F4191D" w:rsidRDefault="00D159DD" w:rsidP="00D159DD">
            <w:pPr>
              <w:keepNext/>
              <w:rPr>
                <w:sz w:val="14"/>
                <w:szCs w:val="14"/>
              </w:rPr>
            </w:pPr>
            <w:bookmarkStart w:id="20" w:name="_Hlk518564894"/>
          </w:p>
        </w:tc>
        <w:tc>
          <w:tcPr>
            <w:tcW w:w="1361" w:type="dxa"/>
            <w:tcBorders>
              <w:bottom w:val="single" w:sz="8" w:space="0" w:color="0070AD" w:themeColor="accent1"/>
            </w:tcBorders>
            <w:shd w:val="clear" w:color="auto" w:fill="auto"/>
            <w:vAlign w:val="center"/>
          </w:tcPr>
          <w:p w14:paraId="1D639112" w14:textId="77777777" w:rsidR="00D159DD" w:rsidRPr="00F4191D" w:rsidRDefault="00D159DD" w:rsidP="00D159DD">
            <w:pPr>
              <w:pStyle w:val="TableParagraph"/>
              <w:keepNext/>
              <w:ind w:left="1"/>
              <w:jc w:val="center"/>
              <w:rPr>
                <w:rFonts w:eastAsia="Arial" w:cs="Arial"/>
                <w:b/>
                <w:sz w:val="14"/>
                <w:szCs w:val="14"/>
              </w:rPr>
            </w:pPr>
            <w:r w:rsidRPr="00F4191D">
              <w:rPr>
                <w:b/>
                <w:sz w:val="14"/>
                <w:szCs w:val="14"/>
              </w:rPr>
              <w:t>Revenues</w:t>
            </w:r>
          </w:p>
        </w:tc>
        <w:tc>
          <w:tcPr>
            <w:tcW w:w="57" w:type="dxa"/>
          </w:tcPr>
          <w:p w14:paraId="0FC116B1" w14:textId="77777777" w:rsidR="00D159DD" w:rsidRPr="00F4191D" w:rsidRDefault="00D159DD" w:rsidP="00D159DD">
            <w:pPr>
              <w:pStyle w:val="TableParagraph"/>
              <w:keepNext/>
              <w:ind w:right="105"/>
              <w:jc w:val="center"/>
              <w:rPr>
                <w:b/>
                <w:sz w:val="14"/>
                <w:szCs w:val="14"/>
              </w:rPr>
            </w:pPr>
          </w:p>
        </w:tc>
        <w:tc>
          <w:tcPr>
            <w:tcW w:w="2834" w:type="dxa"/>
            <w:gridSpan w:val="2"/>
            <w:tcBorders>
              <w:bottom w:val="single" w:sz="8" w:space="0" w:color="0070AD" w:themeColor="accent1"/>
            </w:tcBorders>
            <w:vAlign w:val="center"/>
          </w:tcPr>
          <w:p w14:paraId="7D902BC9" w14:textId="6413809C" w:rsidR="00F0763C" w:rsidRPr="00F4191D" w:rsidRDefault="00D159DD" w:rsidP="003A5C07">
            <w:pPr>
              <w:pStyle w:val="TableParagraph"/>
              <w:keepNext/>
              <w:ind w:right="-1"/>
              <w:jc w:val="center"/>
              <w:rPr>
                <w:rFonts w:eastAsia="Arial" w:cs="Arial"/>
                <w:b/>
                <w:sz w:val="14"/>
                <w:szCs w:val="14"/>
              </w:rPr>
            </w:pPr>
            <w:r w:rsidRPr="00F4191D">
              <w:rPr>
                <w:b/>
                <w:sz w:val="14"/>
                <w:szCs w:val="14"/>
              </w:rPr>
              <w:t>Year-on-year growth</w:t>
            </w:r>
          </w:p>
        </w:tc>
        <w:tc>
          <w:tcPr>
            <w:tcW w:w="57" w:type="dxa"/>
          </w:tcPr>
          <w:p w14:paraId="1EECB3A9" w14:textId="77777777" w:rsidR="00D159DD" w:rsidRPr="00F4191D" w:rsidRDefault="00D159DD" w:rsidP="00D159DD">
            <w:pPr>
              <w:pStyle w:val="TableParagraph"/>
              <w:keepNext/>
              <w:ind w:left="-11" w:right="380" w:firstLine="11"/>
              <w:jc w:val="center"/>
              <w:rPr>
                <w:b/>
                <w:sz w:val="14"/>
                <w:szCs w:val="14"/>
              </w:rPr>
            </w:pPr>
          </w:p>
        </w:tc>
        <w:tc>
          <w:tcPr>
            <w:tcW w:w="2834" w:type="dxa"/>
            <w:gridSpan w:val="2"/>
            <w:tcBorders>
              <w:bottom w:val="single" w:sz="8" w:space="0" w:color="0070AD" w:themeColor="accent1"/>
            </w:tcBorders>
            <w:shd w:val="clear" w:color="auto" w:fill="auto"/>
            <w:vAlign w:val="center"/>
          </w:tcPr>
          <w:p w14:paraId="79B514C3" w14:textId="77777777" w:rsidR="00D159DD" w:rsidRPr="00F4191D" w:rsidRDefault="00D159DD" w:rsidP="00D159DD">
            <w:pPr>
              <w:pStyle w:val="TableParagraph"/>
              <w:keepNext/>
              <w:ind w:left="-11" w:firstLine="11"/>
              <w:jc w:val="center"/>
              <w:rPr>
                <w:rFonts w:eastAsia="Arial" w:cs="Arial"/>
                <w:b/>
                <w:sz w:val="14"/>
                <w:szCs w:val="14"/>
              </w:rPr>
            </w:pPr>
            <w:r w:rsidRPr="00F4191D">
              <w:rPr>
                <w:b/>
                <w:sz w:val="14"/>
                <w:szCs w:val="14"/>
              </w:rPr>
              <w:t>Operating margin rate</w:t>
            </w:r>
          </w:p>
        </w:tc>
      </w:tr>
      <w:tr w:rsidR="007D6284" w:rsidRPr="00F4191D" w14:paraId="0273D66B" w14:textId="77777777" w:rsidTr="007D6284">
        <w:trPr>
          <w:trHeight w:hRule="exact" w:val="737"/>
          <w:jc w:val="center"/>
        </w:trPr>
        <w:tc>
          <w:tcPr>
            <w:tcW w:w="2948" w:type="dxa"/>
            <w:tcBorders>
              <w:bottom w:val="single" w:sz="8" w:space="0" w:color="0070AD" w:themeColor="accent1"/>
            </w:tcBorders>
          </w:tcPr>
          <w:p w14:paraId="65E9220D" w14:textId="77777777" w:rsidR="007D6284" w:rsidRPr="00F4191D" w:rsidRDefault="007D6284" w:rsidP="007D6284">
            <w:pPr>
              <w:keepNext/>
              <w:rPr>
                <w:sz w:val="14"/>
                <w:szCs w:val="14"/>
              </w:rPr>
            </w:pPr>
          </w:p>
        </w:tc>
        <w:tc>
          <w:tcPr>
            <w:tcW w:w="1361" w:type="dxa"/>
            <w:tcBorders>
              <w:top w:val="single" w:sz="8" w:space="0" w:color="0070AD" w:themeColor="accent1"/>
              <w:bottom w:val="single" w:sz="8" w:space="0" w:color="0070AD" w:themeColor="accent1"/>
            </w:tcBorders>
            <w:shd w:val="clear" w:color="auto" w:fill="BBE7FF" w:themeFill="accent1" w:themeFillTint="33"/>
            <w:vAlign w:val="center"/>
          </w:tcPr>
          <w:p w14:paraId="3BCC4B5A" w14:textId="05CD978D" w:rsidR="007D6284" w:rsidRPr="00F4191D" w:rsidRDefault="007D6284" w:rsidP="007D6284">
            <w:pPr>
              <w:pStyle w:val="TableParagraph"/>
              <w:keepNext/>
              <w:ind w:left="1"/>
              <w:jc w:val="center"/>
              <w:rPr>
                <w:b/>
                <w:sz w:val="14"/>
                <w:szCs w:val="14"/>
              </w:rPr>
            </w:pPr>
            <w:r w:rsidRPr="00F4191D">
              <w:rPr>
                <w:b/>
                <w:sz w:val="14"/>
                <w:szCs w:val="14"/>
              </w:rPr>
              <w:t>H1 2020</w:t>
            </w:r>
          </w:p>
          <w:p w14:paraId="2773947D" w14:textId="77777777" w:rsidR="007D6284" w:rsidRPr="00F4191D" w:rsidRDefault="007D6284" w:rsidP="007D6284">
            <w:pPr>
              <w:keepNext/>
              <w:ind w:left="1"/>
              <w:jc w:val="center"/>
              <w:rPr>
                <w:b/>
                <w:sz w:val="14"/>
                <w:szCs w:val="14"/>
              </w:rPr>
            </w:pPr>
            <w:r w:rsidRPr="00F4191D">
              <w:rPr>
                <w:i/>
                <w:sz w:val="14"/>
                <w:szCs w:val="14"/>
              </w:rPr>
              <w:t>(in millions of euros)</w:t>
            </w:r>
          </w:p>
        </w:tc>
        <w:tc>
          <w:tcPr>
            <w:tcW w:w="57" w:type="dxa"/>
            <w:tcBorders>
              <w:bottom w:val="single" w:sz="8" w:space="0" w:color="0070AD" w:themeColor="accent1"/>
            </w:tcBorders>
          </w:tcPr>
          <w:p w14:paraId="18143C41" w14:textId="77777777" w:rsidR="007D6284" w:rsidRPr="00F4191D" w:rsidRDefault="007D6284" w:rsidP="007D6284">
            <w:pPr>
              <w:pStyle w:val="TableParagraph"/>
              <w:keepNext/>
              <w:spacing w:before="27"/>
              <w:ind w:right="162" w:firstLine="26"/>
              <w:jc w:val="center"/>
              <w:rPr>
                <w:b/>
                <w:sz w:val="14"/>
                <w:szCs w:val="14"/>
              </w:rPr>
            </w:pPr>
          </w:p>
        </w:tc>
        <w:tc>
          <w:tcPr>
            <w:tcW w:w="1417" w:type="dxa"/>
            <w:tcBorders>
              <w:top w:val="single" w:sz="8" w:space="0" w:color="0070AD" w:themeColor="accent1"/>
              <w:bottom w:val="single" w:sz="8" w:space="0" w:color="0070AD" w:themeColor="accent1"/>
            </w:tcBorders>
            <w:vAlign w:val="center"/>
          </w:tcPr>
          <w:p w14:paraId="5B584FF8" w14:textId="054D7EBC" w:rsidR="007D6284" w:rsidRPr="00F4191D" w:rsidRDefault="007D6284" w:rsidP="007D6284">
            <w:pPr>
              <w:pStyle w:val="TableParagraph"/>
              <w:keepNext/>
              <w:spacing w:before="27"/>
              <w:jc w:val="center"/>
              <w:rPr>
                <w:b/>
                <w:sz w:val="14"/>
                <w:szCs w:val="14"/>
              </w:rPr>
            </w:pPr>
            <w:r w:rsidRPr="00F4191D">
              <w:rPr>
                <w:b/>
                <w:sz w:val="14"/>
                <w:szCs w:val="14"/>
              </w:rPr>
              <w:t>Reported</w:t>
            </w:r>
          </w:p>
          <w:p w14:paraId="6600CC6F" w14:textId="77777777" w:rsidR="007D6284" w:rsidRPr="00F4191D" w:rsidRDefault="007D6284" w:rsidP="007D6284">
            <w:pPr>
              <w:pStyle w:val="TableParagraph"/>
              <w:keepNext/>
              <w:spacing w:before="27"/>
              <w:jc w:val="center"/>
              <w:rPr>
                <w:rFonts w:eastAsia="Arial" w:cs="Arial"/>
                <w:b/>
                <w:sz w:val="14"/>
                <w:szCs w:val="14"/>
              </w:rPr>
            </w:pPr>
          </w:p>
        </w:tc>
        <w:tc>
          <w:tcPr>
            <w:tcW w:w="1417" w:type="dxa"/>
            <w:tcBorders>
              <w:top w:val="single" w:sz="8" w:space="0" w:color="0070AD" w:themeColor="accent1"/>
              <w:bottom w:val="single" w:sz="8" w:space="0" w:color="0070AD" w:themeColor="accent1"/>
            </w:tcBorders>
            <w:vAlign w:val="center"/>
          </w:tcPr>
          <w:p w14:paraId="47AFBB61" w14:textId="6C8B2822" w:rsidR="007D6284" w:rsidRPr="00F4191D" w:rsidRDefault="007D6284" w:rsidP="007D6284">
            <w:pPr>
              <w:pStyle w:val="TableParagraph"/>
              <w:keepNext/>
              <w:spacing w:before="27"/>
              <w:ind w:right="-1"/>
              <w:jc w:val="center"/>
              <w:rPr>
                <w:b/>
                <w:sz w:val="14"/>
                <w:szCs w:val="14"/>
              </w:rPr>
            </w:pPr>
            <w:r w:rsidRPr="00F4191D">
              <w:rPr>
                <w:b/>
                <w:sz w:val="14"/>
                <w:szCs w:val="14"/>
              </w:rPr>
              <w:t xml:space="preserve">At constant </w:t>
            </w:r>
            <w:r w:rsidRPr="00F4191D">
              <w:rPr>
                <w:b/>
                <w:sz w:val="14"/>
                <w:szCs w:val="14"/>
              </w:rPr>
              <w:br/>
              <w:t>exchange rates</w:t>
            </w:r>
          </w:p>
        </w:tc>
        <w:tc>
          <w:tcPr>
            <w:tcW w:w="57" w:type="dxa"/>
            <w:tcBorders>
              <w:bottom w:val="single" w:sz="8" w:space="0" w:color="0070AD" w:themeColor="accent1"/>
            </w:tcBorders>
            <w:vAlign w:val="center"/>
          </w:tcPr>
          <w:p w14:paraId="3BB45826" w14:textId="77777777" w:rsidR="007D6284" w:rsidRPr="00F4191D" w:rsidRDefault="007D6284" w:rsidP="007D6284">
            <w:pPr>
              <w:pStyle w:val="TableParagraph"/>
              <w:keepNext/>
              <w:jc w:val="center"/>
              <w:rPr>
                <w:b/>
                <w:sz w:val="14"/>
                <w:szCs w:val="14"/>
              </w:rPr>
            </w:pPr>
          </w:p>
        </w:tc>
        <w:tc>
          <w:tcPr>
            <w:tcW w:w="1417" w:type="dxa"/>
            <w:tcBorders>
              <w:top w:val="single" w:sz="8" w:space="0" w:color="0070AD" w:themeColor="accent1"/>
              <w:bottom w:val="single" w:sz="8" w:space="0" w:color="0070AD" w:themeColor="accent1"/>
            </w:tcBorders>
            <w:vAlign w:val="center"/>
          </w:tcPr>
          <w:p w14:paraId="5FBF8C43" w14:textId="77777777" w:rsidR="007D6284" w:rsidRPr="00F4191D" w:rsidRDefault="007D6284" w:rsidP="007D6284">
            <w:pPr>
              <w:pStyle w:val="TableParagraph"/>
              <w:keepNext/>
              <w:jc w:val="center"/>
              <w:rPr>
                <w:rFonts w:ascii="Verdana" w:hAnsi="Verdana"/>
                <w:b/>
                <w:sz w:val="14"/>
                <w:szCs w:val="16"/>
              </w:rPr>
            </w:pPr>
            <w:r w:rsidRPr="00F4191D">
              <w:rPr>
                <w:rFonts w:ascii="Verdana" w:hAnsi="Verdana"/>
                <w:b/>
                <w:sz w:val="14"/>
                <w:szCs w:val="16"/>
              </w:rPr>
              <w:t>H1 2019</w:t>
            </w:r>
          </w:p>
          <w:p w14:paraId="10A67077" w14:textId="54C59672" w:rsidR="00F0763C" w:rsidRPr="00F4191D" w:rsidRDefault="00F0763C" w:rsidP="003A5C07">
            <w:pPr>
              <w:pStyle w:val="TableParagraph"/>
              <w:keepNext/>
              <w:ind w:left="17"/>
              <w:jc w:val="center"/>
              <w:rPr>
                <w:rFonts w:eastAsia="Arial" w:cs="Arial"/>
                <w:sz w:val="14"/>
                <w:szCs w:val="14"/>
              </w:rPr>
            </w:pPr>
          </w:p>
        </w:tc>
        <w:tc>
          <w:tcPr>
            <w:tcW w:w="1417" w:type="dxa"/>
            <w:tcBorders>
              <w:top w:val="single" w:sz="8" w:space="0" w:color="0070AD" w:themeColor="accent1"/>
              <w:bottom w:val="single" w:sz="8" w:space="0" w:color="0070AD" w:themeColor="accent1"/>
            </w:tcBorders>
            <w:shd w:val="clear" w:color="auto" w:fill="BBE7FF" w:themeFill="accent1" w:themeFillTint="33"/>
            <w:vAlign w:val="center"/>
          </w:tcPr>
          <w:p w14:paraId="75A99327" w14:textId="77777777" w:rsidR="007D6284" w:rsidRPr="00F4191D" w:rsidRDefault="007D6284" w:rsidP="007D6284">
            <w:pPr>
              <w:pStyle w:val="TableParagraph"/>
              <w:keepNext/>
              <w:ind w:left="17"/>
              <w:jc w:val="center"/>
              <w:rPr>
                <w:rFonts w:ascii="Verdana" w:hAnsi="Verdana"/>
                <w:b/>
                <w:sz w:val="14"/>
                <w:szCs w:val="16"/>
              </w:rPr>
            </w:pPr>
            <w:r w:rsidRPr="00F4191D">
              <w:rPr>
                <w:rFonts w:ascii="Verdana" w:hAnsi="Verdana"/>
                <w:b/>
                <w:sz w:val="14"/>
                <w:szCs w:val="16"/>
              </w:rPr>
              <w:t>H1 2020</w:t>
            </w:r>
          </w:p>
          <w:p w14:paraId="5C3543B8" w14:textId="78F8F86A" w:rsidR="00F0763C" w:rsidRPr="00F4191D" w:rsidRDefault="00F0763C" w:rsidP="00615364">
            <w:pPr>
              <w:pStyle w:val="TableParagraph"/>
              <w:keepNext/>
              <w:ind w:left="17"/>
              <w:jc w:val="center"/>
              <w:rPr>
                <w:rFonts w:ascii="Verdana" w:hAnsi="Verdana"/>
                <w:b/>
                <w:sz w:val="14"/>
                <w:szCs w:val="16"/>
              </w:rPr>
            </w:pPr>
          </w:p>
        </w:tc>
      </w:tr>
      <w:tr w:rsidR="008E2DAE" w:rsidRPr="00F4191D" w14:paraId="5E21E765" w14:textId="77777777" w:rsidTr="00020B44">
        <w:trPr>
          <w:trHeight w:val="227"/>
          <w:jc w:val="center"/>
        </w:trPr>
        <w:tc>
          <w:tcPr>
            <w:tcW w:w="2948" w:type="dxa"/>
            <w:tcBorders>
              <w:top w:val="single" w:sz="8" w:space="0" w:color="0070AD" w:themeColor="accent1"/>
            </w:tcBorders>
            <w:vAlign w:val="center"/>
          </w:tcPr>
          <w:p w14:paraId="30F581EA" w14:textId="77777777" w:rsidR="008E2DAE" w:rsidRPr="00F4191D" w:rsidRDefault="008E2DAE" w:rsidP="008E2DAE">
            <w:pPr>
              <w:pStyle w:val="TableParagraph"/>
              <w:keepNext/>
              <w:spacing w:before="100" w:beforeAutospacing="1" w:after="100" w:afterAutospacing="1"/>
              <w:ind w:left="142"/>
              <w:rPr>
                <w:sz w:val="14"/>
                <w:szCs w:val="14"/>
              </w:rPr>
            </w:pPr>
            <w:r w:rsidRPr="00F4191D">
              <w:rPr>
                <w:sz w:val="14"/>
                <w:szCs w:val="14"/>
              </w:rPr>
              <w:t>North America</w:t>
            </w:r>
          </w:p>
        </w:tc>
        <w:tc>
          <w:tcPr>
            <w:tcW w:w="1361" w:type="dxa"/>
            <w:tcBorders>
              <w:top w:val="single" w:sz="8" w:space="0" w:color="0070AD"/>
              <w:left w:val="nil"/>
              <w:bottom w:val="nil"/>
              <w:right w:val="nil"/>
            </w:tcBorders>
            <w:shd w:val="clear" w:color="000000" w:fill="BBE7FF"/>
            <w:vAlign w:val="center"/>
          </w:tcPr>
          <w:p w14:paraId="5585CCF1" w14:textId="3A0918D5" w:rsidR="008E2DAE" w:rsidRPr="00F4191D" w:rsidRDefault="008E2DAE" w:rsidP="008E2DAE">
            <w:pPr>
              <w:pStyle w:val="TableParagraph"/>
              <w:keepNext/>
              <w:spacing w:before="100" w:beforeAutospacing="1" w:after="100" w:afterAutospacing="1"/>
              <w:ind w:left="1" w:right="481"/>
              <w:jc w:val="right"/>
              <w:rPr>
                <w:rFonts w:ascii="Verdana" w:hAnsi="Verdana"/>
                <w:sz w:val="14"/>
                <w:szCs w:val="16"/>
              </w:rPr>
            </w:pPr>
            <w:r w:rsidRPr="00F4191D">
              <w:rPr>
                <w:rFonts w:ascii="Verdana" w:hAnsi="Verdana"/>
                <w:sz w:val="14"/>
                <w:szCs w:val="16"/>
              </w:rPr>
              <w:t>2,400</w:t>
            </w:r>
          </w:p>
        </w:tc>
        <w:tc>
          <w:tcPr>
            <w:tcW w:w="57" w:type="dxa"/>
            <w:tcBorders>
              <w:top w:val="single" w:sz="8" w:space="0" w:color="0070AD"/>
              <w:left w:val="nil"/>
              <w:bottom w:val="nil"/>
              <w:right w:val="nil"/>
            </w:tcBorders>
            <w:shd w:val="clear" w:color="auto" w:fill="auto"/>
            <w:vAlign w:val="center"/>
          </w:tcPr>
          <w:p w14:paraId="09142FB7" w14:textId="77777777" w:rsidR="008E2DAE" w:rsidRPr="00F4191D" w:rsidRDefault="008E2DAE" w:rsidP="008E2DAE">
            <w:pPr>
              <w:pStyle w:val="TableParagraph"/>
              <w:keepNext/>
              <w:spacing w:before="100" w:beforeAutospacing="1" w:after="100" w:afterAutospacing="1"/>
              <w:ind w:left="1" w:right="537"/>
              <w:jc w:val="right"/>
              <w:rPr>
                <w:sz w:val="14"/>
                <w:szCs w:val="14"/>
              </w:rPr>
            </w:pPr>
            <w:r w:rsidRPr="00F4191D">
              <w:rPr>
                <w:sz w:val="14"/>
                <w:szCs w:val="14"/>
              </w:rPr>
              <w:t> </w:t>
            </w:r>
          </w:p>
        </w:tc>
        <w:tc>
          <w:tcPr>
            <w:tcW w:w="1417" w:type="dxa"/>
            <w:tcBorders>
              <w:top w:val="single" w:sz="8" w:space="0" w:color="0070AD"/>
              <w:left w:val="nil"/>
              <w:bottom w:val="nil"/>
              <w:right w:val="nil"/>
            </w:tcBorders>
            <w:shd w:val="clear" w:color="auto" w:fill="auto"/>
            <w:vAlign w:val="center"/>
          </w:tcPr>
          <w:p w14:paraId="6677441D" w14:textId="26369C55"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+6.8%</w:t>
            </w:r>
          </w:p>
        </w:tc>
        <w:tc>
          <w:tcPr>
            <w:tcW w:w="1417" w:type="dxa"/>
            <w:tcBorders>
              <w:top w:val="single" w:sz="8" w:space="0" w:color="0070AD"/>
              <w:left w:val="nil"/>
              <w:bottom w:val="nil"/>
              <w:right w:val="nil"/>
            </w:tcBorders>
            <w:shd w:val="clear" w:color="auto" w:fill="auto"/>
            <w:vAlign w:val="center"/>
          </w:tcPr>
          <w:p w14:paraId="087CF510" w14:textId="7431F09E"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+4.2%</w:t>
            </w:r>
          </w:p>
        </w:tc>
        <w:tc>
          <w:tcPr>
            <w:tcW w:w="57" w:type="dxa"/>
            <w:tcBorders>
              <w:top w:val="single" w:sz="8" w:space="0" w:color="0070AD"/>
              <w:left w:val="nil"/>
              <w:bottom w:val="nil"/>
              <w:right w:val="nil"/>
            </w:tcBorders>
            <w:shd w:val="clear" w:color="auto" w:fill="auto"/>
            <w:vAlign w:val="center"/>
          </w:tcPr>
          <w:p w14:paraId="3CD22933" w14:textId="77777777" w:rsidR="008E2DAE" w:rsidRPr="00F4191D" w:rsidRDefault="008E2DAE" w:rsidP="008E2DAE">
            <w:pPr>
              <w:pStyle w:val="TableParagraph"/>
              <w:keepNext/>
              <w:spacing w:before="100" w:beforeAutospacing="1" w:after="100" w:afterAutospacing="1"/>
              <w:ind w:left="1" w:right="537"/>
              <w:jc w:val="right"/>
              <w:rPr>
                <w:sz w:val="14"/>
                <w:szCs w:val="14"/>
              </w:rPr>
            </w:pPr>
            <w:r w:rsidRPr="00F4191D">
              <w:rPr>
                <w:sz w:val="14"/>
                <w:szCs w:val="14"/>
              </w:rPr>
              <w:t> </w:t>
            </w:r>
          </w:p>
        </w:tc>
        <w:tc>
          <w:tcPr>
            <w:tcW w:w="1417" w:type="dxa"/>
            <w:tcBorders>
              <w:top w:val="single" w:sz="8" w:space="0" w:color="0070AD"/>
              <w:left w:val="nil"/>
              <w:bottom w:val="nil"/>
              <w:right w:val="nil"/>
            </w:tcBorders>
            <w:shd w:val="clear" w:color="auto" w:fill="auto"/>
            <w:vAlign w:val="center"/>
          </w:tcPr>
          <w:p w14:paraId="658360D1" w14:textId="5D0A95A0"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12.9%</w:t>
            </w:r>
          </w:p>
        </w:tc>
        <w:tc>
          <w:tcPr>
            <w:tcW w:w="1417" w:type="dxa"/>
            <w:tcBorders>
              <w:top w:val="single" w:sz="8" w:space="0" w:color="0070AD"/>
              <w:left w:val="nil"/>
              <w:bottom w:val="nil"/>
              <w:right w:val="nil"/>
            </w:tcBorders>
            <w:shd w:val="clear" w:color="000000" w:fill="BBE7FF"/>
            <w:vAlign w:val="center"/>
          </w:tcPr>
          <w:p w14:paraId="7C262337" w14:textId="1697CA5C"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rFonts w:ascii="Verdana" w:hAnsi="Verdana"/>
                <w:color w:val="000000"/>
                <w:sz w:val="14"/>
                <w:szCs w:val="14"/>
              </w:rPr>
              <w:t>14.4%</w:t>
            </w:r>
          </w:p>
        </w:tc>
      </w:tr>
      <w:tr w:rsidR="008E2DAE" w:rsidRPr="00F4191D" w14:paraId="03EDE2F4" w14:textId="77777777" w:rsidTr="00020B44">
        <w:trPr>
          <w:trHeight w:val="227"/>
          <w:jc w:val="center"/>
        </w:trPr>
        <w:tc>
          <w:tcPr>
            <w:tcW w:w="2948" w:type="dxa"/>
            <w:vAlign w:val="center"/>
          </w:tcPr>
          <w:p w14:paraId="55B6F59E" w14:textId="77777777" w:rsidR="008E2DAE" w:rsidRPr="00F4191D" w:rsidRDefault="008E2DAE" w:rsidP="008E2DAE">
            <w:pPr>
              <w:pStyle w:val="TableParagraph"/>
              <w:keepNext/>
              <w:spacing w:before="100" w:beforeAutospacing="1" w:after="100" w:afterAutospacing="1"/>
              <w:ind w:left="142"/>
              <w:rPr>
                <w:sz w:val="14"/>
                <w:szCs w:val="14"/>
              </w:rPr>
            </w:pPr>
            <w:r w:rsidRPr="00F4191D">
              <w:rPr>
                <w:sz w:val="14"/>
                <w:szCs w:val="14"/>
              </w:rPr>
              <w:t>United Kingdom and Ireland</w:t>
            </w:r>
          </w:p>
        </w:tc>
        <w:tc>
          <w:tcPr>
            <w:tcW w:w="1361" w:type="dxa"/>
            <w:tcBorders>
              <w:top w:val="nil"/>
              <w:left w:val="nil"/>
              <w:bottom w:val="nil"/>
              <w:right w:val="nil"/>
            </w:tcBorders>
            <w:shd w:val="clear" w:color="000000" w:fill="BBE7FF"/>
            <w:vAlign w:val="center"/>
          </w:tcPr>
          <w:p w14:paraId="66F985C3" w14:textId="6B7883CB" w:rsidR="008E2DAE" w:rsidRPr="00F4191D" w:rsidRDefault="008E2DAE" w:rsidP="008E2DAE">
            <w:pPr>
              <w:pStyle w:val="TableParagraph"/>
              <w:keepNext/>
              <w:spacing w:before="100" w:beforeAutospacing="1" w:after="100" w:afterAutospacing="1"/>
              <w:ind w:left="1" w:right="481"/>
              <w:jc w:val="right"/>
              <w:rPr>
                <w:sz w:val="14"/>
                <w:szCs w:val="14"/>
              </w:rPr>
            </w:pPr>
            <w:r w:rsidRPr="00F4191D">
              <w:rPr>
                <w:sz w:val="14"/>
                <w:szCs w:val="14"/>
              </w:rPr>
              <w:t>853</w:t>
            </w:r>
          </w:p>
        </w:tc>
        <w:tc>
          <w:tcPr>
            <w:tcW w:w="57" w:type="dxa"/>
            <w:tcBorders>
              <w:top w:val="nil"/>
              <w:left w:val="nil"/>
              <w:bottom w:val="nil"/>
              <w:right w:val="nil"/>
            </w:tcBorders>
            <w:shd w:val="clear" w:color="auto" w:fill="auto"/>
            <w:vAlign w:val="center"/>
          </w:tcPr>
          <w:p w14:paraId="0D8D821A" w14:textId="77777777" w:rsidR="008E2DAE" w:rsidRPr="00F4191D" w:rsidRDefault="008E2DAE" w:rsidP="008E2DAE">
            <w:pPr>
              <w:pStyle w:val="TableParagraph"/>
              <w:keepNext/>
              <w:spacing w:before="100" w:beforeAutospacing="1" w:after="100" w:afterAutospacing="1"/>
              <w:ind w:left="1" w:right="537"/>
              <w:jc w:val="right"/>
              <w:rPr>
                <w:sz w:val="14"/>
                <w:szCs w:val="14"/>
              </w:rPr>
            </w:pPr>
          </w:p>
        </w:tc>
        <w:tc>
          <w:tcPr>
            <w:tcW w:w="1417" w:type="dxa"/>
            <w:tcBorders>
              <w:top w:val="nil"/>
              <w:left w:val="nil"/>
              <w:bottom w:val="nil"/>
              <w:right w:val="nil"/>
            </w:tcBorders>
            <w:shd w:val="clear" w:color="auto" w:fill="auto"/>
            <w:vAlign w:val="center"/>
          </w:tcPr>
          <w:p w14:paraId="08C4E761" w14:textId="12B26CE2"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+0.5%</w:t>
            </w:r>
          </w:p>
        </w:tc>
        <w:tc>
          <w:tcPr>
            <w:tcW w:w="1417" w:type="dxa"/>
            <w:tcBorders>
              <w:top w:val="nil"/>
              <w:left w:val="nil"/>
              <w:bottom w:val="nil"/>
              <w:right w:val="nil"/>
            </w:tcBorders>
            <w:shd w:val="clear" w:color="auto" w:fill="auto"/>
            <w:vAlign w:val="center"/>
          </w:tcPr>
          <w:p w14:paraId="04ED361B" w14:textId="643AAC56"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+0.6%</w:t>
            </w:r>
          </w:p>
        </w:tc>
        <w:tc>
          <w:tcPr>
            <w:tcW w:w="57" w:type="dxa"/>
            <w:tcBorders>
              <w:top w:val="nil"/>
              <w:left w:val="nil"/>
              <w:bottom w:val="nil"/>
              <w:right w:val="nil"/>
            </w:tcBorders>
            <w:shd w:val="clear" w:color="auto" w:fill="auto"/>
            <w:vAlign w:val="center"/>
          </w:tcPr>
          <w:p w14:paraId="1B415053" w14:textId="77777777" w:rsidR="008E2DAE" w:rsidRPr="00F4191D" w:rsidRDefault="008E2DAE" w:rsidP="008E2DAE">
            <w:pPr>
              <w:pStyle w:val="TableParagraph"/>
              <w:keepNext/>
              <w:spacing w:before="100" w:beforeAutospacing="1" w:after="100" w:afterAutospacing="1"/>
              <w:ind w:left="1" w:right="537"/>
              <w:jc w:val="right"/>
              <w:rPr>
                <w:sz w:val="14"/>
                <w:szCs w:val="14"/>
              </w:rPr>
            </w:pPr>
          </w:p>
        </w:tc>
        <w:tc>
          <w:tcPr>
            <w:tcW w:w="1417" w:type="dxa"/>
            <w:tcBorders>
              <w:top w:val="nil"/>
              <w:left w:val="nil"/>
              <w:bottom w:val="nil"/>
              <w:right w:val="nil"/>
            </w:tcBorders>
            <w:shd w:val="clear" w:color="auto" w:fill="auto"/>
            <w:vAlign w:val="center"/>
          </w:tcPr>
          <w:p w14:paraId="33B34191" w14:textId="7BC0A506"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15.9%</w:t>
            </w:r>
          </w:p>
        </w:tc>
        <w:tc>
          <w:tcPr>
            <w:tcW w:w="1417" w:type="dxa"/>
            <w:tcBorders>
              <w:top w:val="nil"/>
              <w:left w:val="nil"/>
              <w:bottom w:val="nil"/>
              <w:right w:val="nil"/>
            </w:tcBorders>
            <w:shd w:val="clear" w:color="000000" w:fill="BBE7FF"/>
            <w:vAlign w:val="center"/>
          </w:tcPr>
          <w:p w14:paraId="7EE7211A" w14:textId="67FE52C6"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rFonts w:ascii="Verdana" w:hAnsi="Verdana"/>
                <w:color w:val="000000"/>
                <w:sz w:val="14"/>
                <w:szCs w:val="14"/>
              </w:rPr>
              <w:t>14.3%</w:t>
            </w:r>
          </w:p>
        </w:tc>
      </w:tr>
      <w:tr w:rsidR="008E2DAE" w:rsidRPr="00F4191D" w14:paraId="2F46A76E" w14:textId="77777777" w:rsidTr="00020B44">
        <w:trPr>
          <w:trHeight w:val="227"/>
          <w:jc w:val="center"/>
        </w:trPr>
        <w:tc>
          <w:tcPr>
            <w:tcW w:w="2948" w:type="dxa"/>
            <w:vAlign w:val="center"/>
          </w:tcPr>
          <w:p w14:paraId="58284B88" w14:textId="77777777" w:rsidR="008E2DAE" w:rsidRPr="00F4191D" w:rsidRDefault="008E2DAE" w:rsidP="008E2DAE">
            <w:pPr>
              <w:pStyle w:val="TableParagraph"/>
              <w:keepNext/>
              <w:spacing w:before="100" w:beforeAutospacing="1" w:after="100" w:afterAutospacing="1"/>
              <w:ind w:left="142"/>
              <w:rPr>
                <w:rFonts w:eastAsia="Arial" w:cs="Arial"/>
                <w:sz w:val="14"/>
                <w:szCs w:val="14"/>
              </w:rPr>
            </w:pPr>
            <w:r w:rsidRPr="00F4191D">
              <w:rPr>
                <w:sz w:val="14"/>
                <w:szCs w:val="14"/>
              </w:rPr>
              <w:t>France</w:t>
            </w:r>
          </w:p>
        </w:tc>
        <w:tc>
          <w:tcPr>
            <w:tcW w:w="1361" w:type="dxa"/>
            <w:tcBorders>
              <w:top w:val="nil"/>
              <w:left w:val="nil"/>
              <w:bottom w:val="nil"/>
              <w:right w:val="nil"/>
            </w:tcBorders>
            <w:shd w:val="clear" w:color="000000" w:fill="BBE7FF"/>
            <w:vAlign w:val="center"/>
          </w:tcPr>
          <w:p w14:paraId="1CE696A5" w14:textId="5A01095B" w:rsidR="008E2DAE" w:rsidRPr="00F4191D" w:rsidRDefault="008E2DAE" w:rsidP="008E2DAE">
            <w:pPr>
              <w:pStyle w:val="TableParagraph"/>
              <w:keepNext/>
              <w:spacing w:before="100" w:beforeAutospacing="1" w:after="100" w:afterAutospacing="1"/>
              <w:ind w:left="1" w:right="481"/>
              <w:jc w:val="right"/>
              <w:rPr>
                <w:sz w:val="14"/>
                <w:szCs w:val="14"/>
              </w:rPr>
            </w:pPr>
            <w:r w:rsidRPr="00F4191D">
              <w:rPr>
                <w:sz w:val="14"/>
                <w:szCs w:val="14"/>
              </w:rPr>
              <w:t>1,612</w:t>
            </w:r>
          </w:p>
        </w:tc>
        <w:tc>
          <w:tcPr>
            <w:tcW w:w="57" w:type="dxa"/>
            <w:tcBorders>
              <w:top w:val="nil"/>
              <w:left w:val="nil"/>
              <w:bottom w:val="nil"/>
              <w:right w:val="nil"/>
            </w:tcBorders>
            <w:shd w:val="clear" w:color="auto" w:fill="auto"/>
            <w:vAlign w:val="center"/>
          </w:tcPr>
          <w:p w14:paraId="552E038B" w14:textId="77777777" w:rsidR="008E2DAE" w:rsidRPr="00F4191D" w:rsidRDefault="008E2DAE" w:rsidP="008E2DAE">
            <w:pPr>
              <w:pStyle w:val="TableParagraph"/>
              <w:keepNext/>
              <w:spacing w:before="100" w:beforeAutospacing="1" w:after="100" w:afterAutospacing="1"/>
              <w:ind w:left="1" w:right="537"/>
              <w:jc w:val="right"/>
              <w:rPr>
                <w:sz w:val="14"/>
                <w:szCs w:val="14"/>
              </w:rPr>
            </w:pPr>
          </w:p>
        </w:tc>
        <w:tc>
          <w:tcPr>
            <w:tcW w:w="1417" w:type="dxa"/>
            <w:tcBorders>
              <w:top w:val="nil"/>
              <w:left w:val="nil"/>
              <w:bottom w:val="nil"/>
              <w:right w:val="nil"/>
            </w:tcBorders>
            <w:shd w:val="clear" w:color="auto" w:fill="auto"/>
            <w:vAlign w:val="center"/>
          </w:tcPr>
          <w:p w14:paraId="614ACFE6" w14:textId="1E92B4A3"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+7.6%</w:t>
            </w:r>
          </w:p>
        </w:tc>
        <w:tc>
          <w:tcPr>
            <w:tcW w:w="1417" w:type="dxa"/>
            <w:tcBorders>
              <w:top w:val="nil"/>
              <w:left w:val="nil"/>
              <w:bottom w:val="nil"/>
              <w:right w:val="nil"/>
            </w:tcBorders>
            <w:shd w:val="clear" w:color="auto" w:fill="auto"/>
            <w:vAlign w:val="center"/>
          </w:tcPr>
          <w:p w14:paraId="0E1693AF" w14:textId="185D161F"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+7.6%</w:t>
            </w:r>
          </w:p>
        </w:tc>
        <w:tc>
          <w:tcPr>
            <w:tcW w:w="57" w:type="dxa"/>
            <w:tcBorders>
              <w:top w:val="nil"/>
              <w:left w:val="nil"/>
              <w:bottom w:val="nil"/>
              <w:right w:val="nil"/>
            </w:tcBorders>
            <w:shd w:val="clear" w:color="auto" w:fill="auto"/>
            <w:vAlign w:val="center"/>
          </w:tcPr>
          <w:p w14:paraId="132C4DFC" w14:textId="77777777" w:rsidR="008E2DAE" w:rsidRPr="00F4191D" w:rsidRDefault="008E2DAE" w:rsidP="008E2DAE">
            <w:pPr>
              <w:pStyle w:val="TableParagraph"/>
              <w:keepNext/>
              <w:spacing w:before="100" w:beforeAutospacing="1" w:after="100" w:afterAutospacing="1"/>
              <w:ind w:left="1" w:right="537"/>
              <w:jc w:val="right"/>
              <w:rPr>
                <w:sz w:val="14"/>
                <w:szCs w:val="14"/>
              </w:rPr>
            </w:pPr>
          </w:p>
        </w:tc>
        <w:tc>
          <w:tcPr>
            <w:tcW w:w="1417" w:type="dxa"/>
            <w:tcBorders>
              <w:top w:val="nil"/>
              <w:left w:val="nil"/>
              <w:bottom w:val="nil"/>
              <w:right w:val="nil"/>
            </w:tcBorders>
            <w:shd w:val="clear" w:color="auto" w:fill="auto"/>
            <w:vAlign w:val="center"/>
          </w:tcPr>
          <w:p w14:paraId="25B872DF" w14:textId="7B67BE7D"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9.6%</w:t>
            </w:r>
          </w:p>
        </w:tc>
        <w:tc>
          <w:tcPr>
            <w:tcW w:w="1417" w:type="dxa"/>
            <w:tcBorders>
              <w:top w:val="nil"/>
              <w:left w:val="nil"/>
              <w:bottom w:val="nil"/>
              <w:right w:val="nil"/>
            </w:tcBorders>
            <w:shd w:val="clear" w:color="000000" w:fill="BBE7FF"/>
            <w:vAlign w:val="center"/>
          </w:tcPr>
          <w:p w14:paraId="301BA2F0" w14:textId="629E32B3"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rFonts w:ascii="Verdana" w:hAnsi="Verdana"/>
                <w:color w:val="000000"/>
                <w:sz w:val="14"/>
                <w:szCs w:val="14"/>
              </w:rPr>
              <w:t>6.9%</w:t>
            </w:r>
          </w:p>
        </w:tc>
      </w:tr>
      <w:tr w:rsidR="008E2DAE" w:rsidRPr="00F4191D" w14:paraId="2261B293" w14:textId="77777777" w:rsidTr="00020B44">
        <w:trPr>
          <w:trHeight w:val="227"/>
          <w:jc w:val="center"/>
        </w:trPr>
        <w:tc>
          <w:tcPr>
            <w:tcW w:w="2948" w:type="dxa"/>
            <w:vAlign w:val="center"/>
          </w:tcPr>
          <w:p w14:paraId="4492036C" w14:textId="77777777" w:rsidR="008E2DAE" w:rsidRPr="00F4191D" w:rsidRDefault="008E2DAE" w:rsidP="008E2DAE">
            <w:pPr>
              <w:pStyle w:val="TableParagraph"/>
              <w:keepNext/>
              <w:spacing w:before="100" w:beforeAutospacing="1" w:after="100" w:afterAutospacing="1"/>
              <w:ind w:left="142"/>
              <w:rPr>
                <w:sz w:val="14"/>
                <w:szCs w:val="14"/>
              </w:rPr>
            </w:pPr>
            <w:r w:rsidRPr="00F4191D">
              <w:rPr>
                <w:sz w:val="14"/>
                <w:szCs w:val="14"/>
              </w:rPr>
              <w:t>Rest of Europe</w:t>
            </w:r>
          </w:p>
        </w:tc>
        <w:tc>
          <w:tcPr>
            <w:tcW w:w="1361" w:type="dxa"/>
            <w:tcBorders>
              <w:top w:val="nil"/>
              <w:left w:val="nil"/>
              <w:bottom w:val="nil"/>
              <w:right w:val="nil"/>
            </w:tcBorders>
            <w:shd w:val="clear" w:color="000000" w:fill="BBE7FF"/>
            <w:vAlign w:val="center"/>
          </w:tcPr>
          <w:p w14:paraId="309A259F" w14:textId="7C00E989" w:rsidR="008E2DAE" w:rsidRPr="00F4191D" w:rsidRDefault="008E2DAE" w:rsidP="008E2DAE">
            <w:pPr>
              <w:pStyle w:val="TableParagraph"/>
              <w:keepNext/>
              <w:spacing w:before="100" w:beforeAutospacing="1" w:after="100" w:afterAutospacing="1"/>
              <w:ind w:left="1" w:right="481"/>
              <w:jc w:val="right"/>
              <w:rPr>
                <w:sz w:val="14"/>
                <w:szCs w:val="14"/>
              </w:rPr>
            </w:pPr>
            <w:r w:rsidRPr="00F4191D">
              <w:rPr>
                <w:sz w:val="14"/>
                <w:szCs w:val="14"/>
              </w:rPr>
              <w:t>2,172</w:t>
            </w:r>
          </w:p>
        </w:tc>
        <w:tc>
          <w:tcPr>
            <w:tcW w:w="57" w:type="dxa"/>
            <w:tcBorders>
              <w:top w:val="nil"/>
              <w:left w:val="nil"/>
              <w:bottom w:val="nil"/>
              <w:right w:val="nil"/>
            </w:tcBorders>
            <w:shd w:val="clear" w:color="auto" w:fill="auto"/>
            <w:vAlign w:val="center"/>
          </w:tcPr>
          <w:p w14:paraId="24A20102" w14:textId="77777777" w:rsidR="008E2DAE" w:rsidRPr="00F4191D" w:rsidRDefault="008E2DAE" w:rsidP="008E2DAE">
            <w:pPr>
              <w:pStyle w:val="TableParagraph"/>
              <w:keepNext/>
              <w:spacing w:before="100" w:beforeAutospacing="1" w:after="100" w:afterAutospacing="1"/>
              <w:ind w:left="1" w:right="537"/>
              <w:jc w:val="right"/>
              <w:rPr>
                <w:sz w:val="14"/>
                <w:szCs w:val="14"/>
              </w:rPr>
            </w:pPr>
          </w:p>
        </w:tc>
        <w:tc>
          <w:tcPr>
            <w:tcW w:w="1417" w:type="dxa"/>
            <w:tcBorders>
              <w:top w:val="nil"/>
              <w:left w:val="nil"/>
              <w:bottom w:val="nil"/>
              <w:right w:val="nil"/>
            </w:tcBorders>
            <w:shd w:val="clear" w:color="auto" w:fill="auto"/>
            <w:vAlign w:val="center"/>
          </w:tcPr>
          <w:p w14:paraId="760D5EB3" w14:textId="46E8ED32"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+14.4%</w:t>
            </w:r>
          </w:p>
        </w:tc>
        <w:tc>
          <w:tcPr>
            <w:tcW w:w="1417" w:type="dxa"/>
            <w:tcBorders>
              <w:top w:val="nil"/>
              <w:left w:val="nil"/>
              <w:bottom w:val="nil"/>
              <w:right w:val="nil"/>
            </w:tcBorders>
            <w:shd w:val="clear" w:color="auto" w:fill="auto"/>
            <w:vAlign w:val="center"/>
          </w:tcPr>
          <w:p w14:paraId="79F6E2F9" w14:textId="6D6D4442"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+15.1%</w:t>
            </w:r>
          </w:p>
        </w:tc>
        <w:tc>
          <w:tcPr>
            <w:tcW w:w="57" w:type="dxa"/>
            <w:tcBorders>
              <w:top w:val="nil"/>
              <w:left w:val="nil"/>
              <w:bottom w:val="nil"/>
              <w:right w:val="nil"/>
            </w:tcBorders>
            <w:shd w:val="clear" w:color="auto" w:fill="auto"/>
            <w:vAlign w:val="center"/>
          </w:tcPr>
          <w:p w14:paraId="0F6E64AB" w14:textId="77777777" w:rsidR="008E2DAE" w:rsidRPr="00F4191D" w:rsidRDefault="008E2DAE" w:rsidP="008E2DAE">
            <w:pPr>
              <w:pStyle w:val="TableParagraph"/>
              <w:keepNext/>
              <w:spacing w:before="100" w:beforeAutospacing="1" w:after="100" w:afterAutospacing="1"/>
              <w:ind w:left="1" w:right="537"/>
              <w:jc w:val="right"/>
              <w:rPr>
                <w:sz w:val="14"/>
                <w:szCs w:val="14"/>
              </w:rPr>
            </w:pPr>
          </w:p>
        </w:tc>
        <w:tc>
          <w:tcPr>
            <w:tcW w:w="1417" w:type="dxa"/>
            <w:tcBorders>
              <w:top w:val="nil"/>
              <w:left w:val="nil"/>
              <w:bottom w:val="nil"/>
              <w:right w:val="nil"/>
            </w:tcBorders>
            <w:shd w:val="clear" w:color="auto" w:fill="auto"/>
            <w:vAlign w:val="center"/>
          </w:tcPr>
          <w:p w14:paraId="1918B17D" w14:textId="6672B506"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11.3%</w:t>
            </w:r>
          </w:p>
        </w:tc>
        <w:tc>
          <w:tcPr>
            <w:tcW w:w="1417" w:type="dxa"/>
            <w:tcBorders>
              <w:top w:val="nil"/>
              <w:left w:val="nil"/>
              <w:bottom w:val="nil"/>
              <w:right w:val="nil"/>
            </w:tcBorders>
            <w:shd w:val="clear" w:color="000000" w:fill="BBE7FF"/>
            <w:vAlign w:val="center"/>
          </w:tcPr>
          <w:p w14:paraId="635DD92E" w14:textId="65C2B759"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rFonts w:ascii="Verdana" w:hAnsi="Verdana"/>
                <w:color w:val="000000"/>
                <w:sz w:val="14"/>
                <w:szCs w:val="14"/>
              </w:rPr>
              <w:t>10.2%</w:t>
            </w:r>
          </w:p>
        </w:tc>
      </w:tr>
      <w:tr w:rsidR="008E2DAE" w:rsidRPr="00F4191D" w14:paraId="4AA2C558" w14:textId="77777777" w:rsidTr="00020B44">
        <w:trPr>
          <w:trHeight w:val="227"/>
          <w:jc w:val="center"/>
        </w:trPr>
        <w:tc>
          <w:tcPr>
            <w:tcW w:w="2948" w:type="dxa"/>
            <w:tcBorders>
              <w:bottom w:val="single" w:sz="8" w:space="0" w:color="0070AD" w:themeColor="accent1"/>
            </w:tcBorders>
            <w:vAlign w:val="center"/>
          </w:tcPr>
          <w:p w14:paraId="190C645B" w14:textId="25196624" w:rsidR="008E2DAE" w:rsidRPr="00F4191D" w:rsidRDefault="008E2DAE" w:rsidP="008E2DAE">
            <w:pPr>
              <w:pStyle w:val="TableParagraph"/>
              <w:keepNext/>
              <w:spacing w:before="100" w:beforeAutospacing="1" w:after="100" w:afterAutospacing="1"/>
              <w:ind w:left="142"/>
              <w:rPr>
                <w:sz w:val="14"/>
                <w:szCs w:val="14"/>
              </w:rPr>
            </w:pPr>
            <w:r w:rsidRPr="00F4191D">
              <w:rPr>
                <w:sz w:val="14"/>
                <w:szCs w:val="14"/>
              </w:rPr>
              <w:t>Asia</w:t>
            </w:r>
            <w:r w:rsidR="00A7499B">
              <w:rPr>
                <w:sz w:val="14"/>
                <w:szCs w:val="14"/>
              </w:rPr>
              <w:t>-</w:t>
            </w:r>
            <w:r w:rsidRPr="00F4191D">
              <w:rPr>
                <w:sz w:val="14"/>
                <w:szCs w:val="14"/>
              </w:rPr>
              <w:t>Pacific and Latin America</w:t>
            </w:r>
          </w:p>
        </w:tc>
        <w:tc>
          <w:tcPr>
            <w:tcW w:w="1361" w:type="dxa"/>
            <w:tcBorders>
              <w:top w:val="nil"/>
              <w:left w:val="nil"/>
              <w:bottom w:val="single" w:sz="8" w:space="0" w:color="0070AD"/>
              <w:right w:val="nil"/>
            </w:tcBorders>
            <w:shd w:val="clear" w:color="000000" w:fill="BBE7FF"/>
            <w:vAlign w:val="center"/>
          </w:tcPr>
          <w:p w14:paraId="0B72BE52" w14:textId="421C6459" w:rsidR="008E2DAE" w:rsidRPr="00F4191D" w:rsidRDefault="008E2DAE" w:rsidP="008E2DAE">
            <w:pPr>
              <w:pStyle w:val="TableParagraph"/>
              <w:keepNext/>
              <w:spacing w:before="100" w:beforeAutospacing="1" w:after="100" w:afterAutospacing="1"/>
              <w:ind w:left="1" w:right="481"/>
              <w:jc w:val="right"/>
              <w:rPr>
                <w:sz w:val="14"/>
                <w:szCs w:val="14"/>
              </w:rPr>
            </w:pPr>
            <w:r w:rsidRPr="00F4191D">
              <w:rPr>
                <w:sz w:val="14"/>
                <w:szCs w:val="14"/>
              </w:rPr>
              <w:t>544</w:t>
            </w:r>
          </w:p>
        </w:tc>
        <w:tc>
          <w:tcPr>
            <w:tcW w:w="57" w:type="dxa"/>
            <w:tcBorders>
              <w:top w:val="nil"/>
              <w:left w:val="nil"/>
              <w:bottom w:val="single" w:sz="8" w:space="0" w:color="0070AD"/>
              <w:right w:val="nil"/>
            </w:tcBorders>
            <w:shd w:val="clear" w:color="auto" w:fill="auto"/>
            <w:vAlign w:val="center"/>
          </w:tcPr>
          <w:p w14:paraId="4BFBF94D" w14:textId="77777777" w:rsidR="008E2DAE" w:rsidRPr="00F4191D" w:rsidRDefault="008E2DAE" w:rsidP="008E2DAE">
            <w:pPr>
              <w:pStyle w:val="TableParagraph"/>
              <w:keepNext/>
              <w:spacing w:before="100" w:beforeAutospacing="1" w:after="100" w:afterAutospacing="1"/>
              <w:ind w:left="1" w:right="537"/>
              <w:jc w:val="right"/>
              <w:rPr>
                <w:sz w:val="14"/>
                <w:szCs w:val="14"/>
              </w:rPr>
            </w:pPr>
            <w:r w:rsidRPr="00F4191D">
              <w:rPr>
                <w:sz w:val="14"/>
                <w:szCs w:val="14"/>
              </w:rPr>
              <w:t> </w:t>
            </w:r>
          </w:p>
        </w:tc>
        <w:tc>
          <w:tcPr>
            <w:tcW w:w="1417" w:type="dxa"/>
            <w:tcBorders>
              <w:top w:val="nil"/>
              <w:left w:val="nil"/>
              <w:bottom w:val="single" w:sz="8" w:space="0" w:color="0070AD"/>
              <w:right w:val="nil"/>
            </w:tcBorders>
            <w:shd w:val="clear" w:color="auto" w:fill="auto"/>
            <w:vAlign w:val="center"/>
          </w:tcPr>
          <w:p w14:paraId="1C97CA94" w14:textId="267519EA"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+5.8%</w:t>
            </w:r>
          </w:p>
        </w:tc>
        <w:tc>
          <w:tcPr>
            <w:tcW w:w="1417" w:type="dxa"/>
            <w:tcBorders>
              <w:top w:val="nil"/>
              <w:left w:val="nil"/>
              <w:bottom w:val="single" w:sz="8" w:space="0" w:color="0070AD"/>
              <w:right w:val="nil"/>
            </w:tcBorders>
            <w:shd w:val="clear" w:color="auto" w:fill="auto"/>
            <w:vAlign w:val="center"/>
          </w:tcPr>
          <w:p w14:paraId="06434DCF" w14:textId="607B4A42"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+11.4%</w:t>
            </w:r>
          </w:p>
        </w:tc>
        <w:tc>
          <w:tcPr>
            <w:tcW w:w="57" w:type="dxa"/>
            <w:tcBorders>
              <w:top w:val="nil"/>
              <w:left w:val="nil"/>
              <w:bottom w:val="single" w:sz="8" w:space="0" w:color="0070AD"/>
              <w:right w:val="nil"/>
            </w:tcBorders>
            <w:shd w:val="clear" w:color="auto" w:fill="auto"/>
            <w:vAlign w:val="center"/>
          </w:tcPr>
          <w:p w14:paraId="5F0CC0F5" w14:textId="77777777" w:rsidR="008E2DAE" w:rsidRPr="00F4191D" w:rsidRDefault="008E2DAE" w:rsidP="008E2DAE">
            <w:pPr>
              <w:pStyle w:val="TableParagraph"/>
              <w:keepNext/>
              <w:spacing w:before="100" w:beforeAutospacing="1" w:after="100" w:afterAutospacing="1"/>
              <w:ind w:left="1" w:right="537"/>
              <w:jc w:val="right"/>
              <w:rPr>
                <w:sz w:val="14"/>
                <w:szCs w:val="14"/>
              </w:rPr>
            </w:pPr>
            <w:r w:rsidRPr="00F4191D">
              <w:rPr>
                <w:sz w:val="14"/>
                <w:szCs w:val="14"/>
              </w:rPr>
              <w:t> </w:t>
            </w:r>
          </w:p>
        </w:tc>
        <w:tc>
          <w:tcPr>
            <w:tcW w:w="1417" w:type="dxa"/>
            <w:tcBorders>
              <w:top w:val="nil"/>
              <w:left w:val="nil"/>
              <w:bottom w:val="single" w:sz="8" w:space="0" w:color="0070AD"/>
              <w:right w:val="nil"/>
            </w:tcBorders>
            <w:shd w:val="clear" w:color="auto" w:fill="auto"/>
            <w:vAlign w:val="center"/>
          </w:tcPr>
          <w:p w14:paraId="07537124" w14:textId="259EFE95"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sz w:val="14"/>
                <w:szCs w:val="14"/>
              </w:rPr>
              <w:t>11.4%</w:t>
            </w:r>
          </w:p>
        </w:tc>
        <w:tc>
          <w:tcPr>
            <w:tcW w:w="1417" w:type="dxa"/>
            <w:tcBorders>
              <w:top w:val="nil"/>
              <w:left w:val="nil"/>
              <w:bottom w:val="single" w:sz="8" w:space="0" w:color="0070AD"/>
              <w:right w:val="nil"/>
            </w:tcBorders>
            <w:shd w:val="clear" w:color="000000" w:fill="BBE7FF"/>
            <w:vAlign w:val="center"/>
          </w:tcPr>
          <w:p w14:paraId="27282867" w14:textId="0C060B5C" w:rsidR="008E2DAE" w:rsidRPr="00F4191D" w:rsidRDefault="008E2DAE" w:rsidP="008E2DAE">
            <w:pPr>
              <w:keepNext/>
              <w:widowControl w:val="0"/>
              <w:spacing w:before="100" w:beforeAutospacing="1" w:after="100" w:afterAutospacing="1"/>
              <w:ind w:right="452"/>
              <w:jc w:val="right"/>
              <w:rPr>
                <w:rFonts w:eastAsia="Arial" w:cs="Arial"/>
                <w:sz w:val="14"/>
                <w:szCs w:val="14"/>
              </w:rPr>
            </w:pPr>
            <w:r w:rsidRPr="00F4191D">
              <w:rPr>
                <w:rFonts w:ascii="Verdana" w:hAnsi="Verdana"/>
                <w:color w:val="000000"/>
                <w:sz w:val="14"/>
                <w:szCs w:val="14"/>
              </w:rPr>
              <w:t>10.5%</w:t>
            </w:r>
          </w:p>
        </w:tc>
      </w:tr>
      <w:tr w:rsidR="008E2DAE" w:rsidRPr="00F4191D" w14:paraId="2AFC0284" w14:textId="77777777" w:rsidTr="00020B44">
        <w:trPr>
          <w:trHeight w:val="227"/>
          <w:jc w:val="center"/>
        </w:trPr>
        <w:tc>
          <w:tcPr>
            <w:tcW w:w="2948" w:type="dxa"/>
            <w:tcBorders>
              <w:top w:val="single" w:sz="8" w:space="0" w:color="0070AD" w:themeColor="accent1"/>
              <w:bottom w:val="single" w:sz="8" w:space="0" w:color="0070AD" w:themeColor="accent1"/>
            </w:tcBorders>
            <w:vAlign w:val="center"/>
          </w:tcPr>
          <w:p w14:paraId="61799736" w14:textId="77777777" w:rsidR="008E2DAE" w:rsidRPr="00F4191D" w:rsidRDefault="008E2DAE" w:rsidP="008E2DAE">
            <w:pPr>
              <w:pStyle w:val="TableParagraph"/>
              <w:keepNext/>
              <w:spacing w:before="100" w:beforeAutospacing="1" w:after="100" w:afterAutospacing="1"/>
              <w:ind w:left="63"/>
              <w:rPr>
                <w:b/>
                <w:color w:val="0070AD" w:themeColor="accent1"/>
                <w:sz w:val="14"/>
                <w:szCs w:val="14"/>
              </w:rPr>
            </w:pPr>
            <w:r w:rsidRPr="00F4191D">
              <w:rPr>
                <w:b/>
                <w:color w:val="0070AD" w:themeColor="accent1"/>
                <w:sz w:val="14"/>
                <w:szCs w:val="14"/>
              </w:rPr>
              <w:t>TOTAL</w:t>
            </w:r>
          </w:p>
        </w:tc>
        <w:tc>
          <w:tcPr>
            <w:tcW w:w="1361" w:type="dxa"/>
            <w:tcBorders>
              <w:top w:val="nil"/>
              <w:left w:val="nil"/>
              <w:bottom w:val="single" w:sz="8" w:space="0" w:color="0070AD"/>
              <w:right w:val="nil"/>
            </w:tcBorders>
            <w:shd w:val="clear" w:color="000000" w:fill="BBE7FF"/>
            <w:vAlign w:val="center"/>
          </w:tcPr>
          <w:p w14:paraId="10AACF15" w14:textId="21E48742" w:rsidR="008E2DAE" w:rsidRPr="00F4191D" w:rsidRDefault="008E2DAE" w:rsidP="008E2DAE">
            <w:pPr>
              <w:pStyle w:val="TableParagraph"/>
              <w:keepNext/>
              <w:spacing w:before="100" w:beforeAutospacing="1" w:after="100" w:afterAutospacing="1"/>
              <w:ind w:left="1" w:right="481"/>
              <w:jc w:val="right"/>
              <w:rPr>
                <w:b/>
                <w:color w:val="0070AD" w:themeColor="accent1"/>
                <w:sz w:val="14"/>
                <w:szCs w:val="14"/>
              </w:rPr>
            </w:pPr>
            <w:r w:rsidRPr="00F4191D">
              <w:rPr>
                <w:rFonts w:ascii="Verdana" w:hAnsi="Verdana"/>
                <w:b/>
                <w:color w:val="0070AD" w:themeColor="accent1"/>
                <w:sz w:val="14"/>
                <w:szCs w:val="16"/>
              </w:rPr>
              <w:t>7,581</w:t>
            </w:r>
          </w:p>
        </w:tc>
        <w:tc>
          <w:tcPr>
            <w:tcW w:w="57" w:type="dxa"/>
            <w:tcBorders>
              <w:top w:val="nil"/>
              <w:left w:val="nil"/>
              <w:bottom w:val="single" w:sz="8" w:space="0" w:color="0070AD"/>
              <w:right w:val="nil"/>
            </w:tcBorders>
            <w:shd w:val="clear" w:color="auto" w:fill="auto"/>
            <w:vAlign w:val="center"/>
          </w:tcPr>
          <w:p w14:paraId="03D711A7" w14:textId="77777777" w:rsidR="008E2DAE" w:rsidRPr="00F4191D" w:rsidRDefault="008E2DAE" w:rsidP="008E2DAE">
            <w:pPr>
              <w:pStyle w:val="TableParagraph"/>
              <w:keepNext/>
              <w:spacing w:before="100" w:beforeAutospacing="1" w:after="100" w:afterAutospacing="1"/>
              <w:ind w:left="1" w:right="537"/>
              <w:jc w:val="right"/>
              <w:rPr>
                <w:b/>
                <w:color w:val="0070AD" w:themeColor="accent1"/>
                <w:sz w:val="14"/>
                <w:szCs w:val="14"/>
              </w:rPr>
            </w:pPr>
            <w:r w:rsidRPr="00F4191D">
              <w:rPr>
                <w:b/>
                <w:color w:val="0070AD" w:themeColor="accent1"/>
                <w:sz w:val="14"/>
                <w:szCs w:val="14"/>
              </w:rPr>
              <w:t> </w:t>
            </w:r>
          </w:p>
        </w:tc>
        <w:tc>
          <w:tcPr>
            <w:tcW w:w="1417" w:type="dxa"/>
            <w:tcBorders>
              <w:top w:val="nil"/>
              <w:left w:val="nil"/>
              <w:bottom w:val="single" w:sz="8" w:space="0" w:color="0070AD"/>
              <w:right w:val="nil"/>
            </w:tcBorders>
            <w:shd w:val="clear" w:color="auto" w:fill="auto"/>
            <w:vAlign w:val="center"/>
          </w:tcPr>
          <w:p w14:paraId="6CCCEFE8" w14:textId="51BA8644" w:rsidR="008E2DAE" w:rsidRPr="00F4191D" w:rsidRDefault="008E2DAE" w:rsidP="008E2DAE">
            <w:pPr>
              <w:pStyle w:val="TableParagraph"/>
              <w:keepNext/>
              <w:spacing w:before="100" w:beforeAutospacing="1" w:after="100" w:afterAutospacing="1"/>
              <w:ind w:left="1" w:right="452"/>
              <w:jc w:val="right"/>
              <w:rPr>
                <w:b/>
                <w:color w:val="0070AD" w:themeColor="accent1"/>
                <w:sz w:val="14"/>
                <w:szCs w:val="14"/>
              </w:rPr>
            </w:pPr>
            <w:r w:rsidRPr="00F4191D">
              <w:rPr>
                <w:b/>
                <w:color w:val="0070AD" w:themeColor="accent1"/>
                <w:sz w:val="14"/>
                <w:szCs w:val="14"/>
              </w:rPr>
              <w:t>+8.2%</w:t>
            </w:r>
          </w:p>
        </w:tc>
        <w:tc>
          <w:tcPr>
            <w:tcW w:w="1417" w:type="dxa"/>
            <w:tcBorders>
              <w:top w:val="nil"/>
              <w:left w:val="nil"/>
              <w:bottom w:val="single" w:sz="8" w:space="0" w:color="0070AD"/>
              <w:right w:val="nil"/>
            </w:tcBorders>
            <w:shd w:val="clear" w:color="auto" w:fill="auto"/>
            <w:vAlign w:val="center"/>
          </w:tcPr>
          <w:p w14:paraId="0D1C98FC" w14:textId="3920F560" w:rsidR="008E2DAE" w:rsidRPr="00F4191D" w:rsidRDefault="008E2DAE" w:rsidP="008E2DAE">
            <w:pPr>
              <w:pStyle w:val="TableParagraph"/>
              <w:keepNext/>
              <w:spacing w:before="100" w:beforeAutospacing="1" w:after="100" w:afterAutospacing="1"/>
              <w:ind w:left="1" w:right="452"/>
              <w:jc w:val="right"/>
              <w:rPr>
                <w:b/>
                <w:color w:val="0070AD" w:themeColor="accent1"/>
                <w:sz w:val="14"/>
                <w:szCs w:val="14"/>
              </w:rPr>
            </w:pPr>
            <w:r w:rsidRPr="00F4191D">
              <w:rPr>
                <w:b/>
                <w:color w:val="0070AD" w:themeColor="accent1"/>
                <w:sz w:val="14"/>
                <w:szCs w:val="14"/>
              </w:rPr>
              <w:t>+7.9%</w:t>
            </w:r>
          </w:p>
        </w:tc>
        <w:tc>
          <w:tcPr>
            <w:tcW w:w="57" w:type="dxa"/>
            <w:tcBorders>
              <w:top w:val="nil"/>
              <w:left w:val="nil"/>
              <w:bottom w:val="single" w:sz="8" w:space="0" w:color="0070AD"/>
              <w:right w:val="nil"/>
            </w:tcBorders>
            <w:shd w:val="clear" w:color="auto" w:fill="auto"/>
            <w:vAlign w:val="center"/>
          </w:tcPr>
          <w:p w14:paraId="1D25BF36" w14:textId="77777777" w:rsidR="008E2DAE" w:rsidRPr="00F4191D" w:rsidRDefault="008E2DAE" w:rsidP="008E2DAE">
            <w:pPr>
              <w:pStyle w:val="TableParagraph"/>
              <w:keepNext/>
              <w:spacing w:before="100" w:beforeAutospacing="1" w:after="100" w:afterAutospacing="1"/>
              <w:ind w:left="1" w:right="537"/>
              <w:jc w:val="right"/>
              <w:rPr>
                <w:b/>
                <w:color w:val="0070AD" w:themeColor="accent1"/>
                <w:sz w:val="14"/>
                <w:szCs w:val="14"/>
              </w:rPr>
            </w:pPr>
            <w:r w:rsidRPr="00F4191D">
              <w:rPr>
                <w:b/>
                <w:color w:val="0070AD" w:themeColor="accent1"/>
                <w:sz w:val="14"/>
                <w:szCs w:val="14"/>
              </w:rPr>
              <w:t> </w:t>
            </w:r>
          </w:p>
        </w:tc>
        <w:tc>
          <w:tcPr>
            <w:tcW w:w="1417" w:type="dxa"/>
            <w:tcBorders>
              <w:top w:val="nil"/>
              <w:left w:val="nil"/>
              <w:bottom w:val="single" w:sz="8" w:space="0" w:color="0070AD"/>
              <w:right w:val="nil"/>
            </w:tcBorders>
            <w:shd w:val="clear" w:color="auto" w:fill="auto"/>
            <w:vAlign w:val="center"/>
          </w:tcPr>
          <w:p w14:paraId="4C252EEB" w14:textId="1BB831A4" w:rsidR="008E2DAE" w:rsidRPr="00F4191D" w:rsidRDefault="008E2DAE" w:rsidP="008E2DAE">
            <w:pPr>
              <w:pStyle w:val="TableParagraph"/>
              <w:keepNext/>
              <w:spacing w:before="100" w:beforeAutospacing="1" w:after="100" w:afterAutospacing="1"/>
              <w:ind w:left="1" w:right="452"/>
              <w:jc w:val="right"/>
              <w:rPr>
                <w:b/>
                <w:color w:val="0070AD" w:themeColor="accent1"/>
                <w:sz w:val="14"/>
                <w:szCs w:val="14"/>
              </w:rPr>
            </w:pPr>
            <w:r w:rsidRPr="00F4191D">
              <w:rPr>
                <w:b/>
                <w:color w:val="0070AD" w:themeColor="accent1"/>
                <w:sz w:val="14"/>
                <w:szCs w:val="14"/>
              </w:rPr>
              <w:t>11.4%</w:t>
            </w:r>
          </w:p>
        </w:tc>
        <w:tc>
          <w:tcPr>
            <w:tcW w:w="1417" w:type="dxa"/>
            <w:tcBorders>
              <w:top w:val="nil"/>
              <w:left w:val="nil"/>
              <w:bottom w:val="single" w:sz="8" w:space="0" w:color="0070AD"/>
              <w:right w:val="nil"/>
            </w:tcBorders>
            <w:shd w:val="clear" w:color="000000" w:fill="BBE7FF"/>
            <w:vAlign w:val="center"/>
          </w:tcPr>
          <w:p w14:paraId="4985BEF8" w14:textId="7E7B7391" w:rsidR="008E2DAE" w:rsidRPr="00F4191D" w:rsidRDefault="008E2DAE" w:rsidP="008E2DAE">
            <w:pPr>
              <w:pStyle w:val="TableParagraph"/>
              <w:keepNext/>
              <w:spacing w:before="100" w:beforeAutospacing="1" w:after="100" w:afterAutospacing="1"/>
              <w:ind w:left="1" w:right="452"/>
              <w:jc w:val="right"/>
              <w:rPr>
                <w:b/>
                <w:color w:val="0070AD" w:themeColor="accent1"/>
                <w:sz w:val="14"/>
                <w:szCs w:val="14"/>
              </w:rPr>
            </w:pPr>
            <w:r w:rsidRPr="00F4191D">
              <w:rPr>
                <w:rFonts w:ascii="Verdana" w:hAnsi="Verdana"/>
                <w:b/>
                <w:bCs/>
                <w:color w:val="0070AD"/>
                <w:sz w:val="14"/>
                <w:szCs w:val="14"/>
              </w:rPr>
              <w:t>10.8%</w:t>
            </w:r>
          </w:p>
        </w:tc>
      </w:tr>
      <w:bookmarkEnd w:id="20"/>
    </w:tbl>
    <w:p w14:paraId="20F9544D" w14:textId="77777777" w:rsidR="00D159DD" w:rsidRPr="00F4191D" w:rsidRDefault="00D159DD" w:rsidP="00D159DD"/>
    <w:p w14:paraId="557312A7" w14:textId="67F2E091" w:rsidR="00B00202" w:rsidRPr="00F4191D" w:rsidRDefault="00C96D53" w:rsidP="007D6284">
      <w:pPr>
        <w:pStyle w:val="Heading1"/>
      </w:pPr>
      <w:r w:rsidRPr="00F4191D">
        <w:t>RESULTS BY BUSINESS</w:t>
      </w:r>
    </w:p>
    <w:tbl>
      <w:tblPr>
        <w:tblW w:w="7230" w:type="dxa"/>
        <w:tblLayout w:type="fixed"/>
        <w:tblCellMar>
          <w:left w:w="0" w:type="dxa"/>
          <w:right w:w="0" w:type="dxa"/>
        </w:tblCellMar>
        <w:tblLook w:val="01E0" w:firstRow="1" w:lastRow="1" w:firstColumn="1" w:lastColumn="1" w:noHBand="0" w:noVBand="0"/>
      </w:tblPr>
      <w:tblGrid>
        <w:gridCol w:w="2977"/>
        <w:gridCol w:w="1418"/>
        <w:gridCol w:w="102"/>
        <w:gridCol w:w="2733"/>
      </w:tblGrid>
      <w:tr w:rsidR="00CC645F" w:rsidRPr="00F4191D" w14:paraId="0B7BE3D0" w14:textId="77777777" w:rsidTr="00C278DC">
        <w:trPr>
          <w:trHeight w:hRule="exact" w:val="454"/>
        </w:trPr>
        <w:tc>
          <w:tcPr>
            <w:tcW w:w="2977" w:type="dxa"/>
          </w:tcPr>
          <w:p w14:paraId="095F0F40" w14:textId="77777777" w:rsidR="00CC645F" w:rsidRPr="00F4191D" w:rsidRDefault="00CC645F" w:rsidP="00CC645F">
            <w:pPr>
              <w:keepNext/>
              <w:rPr>
                <w:sz w:val="14"/>
                <w:szCs w:val="14"/>
              </w:rPr>
            </w:pPr>
            <w:bookmarkStart w:id="21" w:name="_Hlk501462743"/>
          </w:p>
        </w:tc>
        <w:tc>
          <w:tcPr>
            <w:tcW w:w="1418" w:type="dxa"/>
            <w:vAlign w:val="center"/>
          </w:tcPr>
          <w:p w14:paraId="1ED8B03E" w14:textId="6919A3F4" w:rsidR="00CC645F" w:rsidRPr="00F4191D" w:rsidRDefault="00CC645F" w:rsidP="00CC645F">
            <w:pPr>
              <w:pStyle w:val="TableParagraph"/>
              <w:keepNext/>
              <w:jc w:val="center"/>
              <w:rPr>
                <w:rFonts w:cs="Arial"/>
                <w:b/>
                <w:bCs/>
                <w:sz w:val="14"/>
                <w:szCs w:val="14"/>
                <w:vertAlign w:val="superscript"/>
              </w:rPr>
            </w:pPr>
            <w:r w:rsidRPr="00F4191D">
              <w:rPr>
                <w:b/>
                <w:sz w:val="14"/>
                <w:szCs w:val="14"/>
              </w:rPr>
              <w:t>Total revenues</w:t>
            </w:r>
            <w:r w:rsidR="00565950" w:rsidRPr="00F4191D">
              <w:rPr>
                <w:rFonts w:cs="Arial"/>
                <w:sz w:val="14"/>
                <w:szCs w:val="14"/>
                <w:vertAlign w:val="superscript"/>
              </w:rPr>
              <w:fldChar w:fldCharType="begin"/>
            </w:r>
            <w:r w:rsidR="00565950" w:rsidRPr="00F4191D">
              <w:rPr>
                <w:b/>
                <w:sz w:val="14"/>
                <w:szCs w:val="14"/>
                <w:vertAlign w:val="superscript"/>
              </w:rPr>
              <w:instrText xml:space="preserve"> NOTEREF _Ref13738408 \h </w:instrText>
            </w:r>
            <w:r w:rsidR="00565950" w:rsidRPr="00F4191D">
              <w:rPr>
                <w:rFonts w:cs="Arial"/>
                <w:sz w:val="14"/>
                <w:szCs w:val="14"/>
                <w:vertAlign w:val="superscript"/>
              </w:rPr>
              <w:instrText xml:space="preserve"> \* MERGEFORMAT </w:instrText>
            </w:r>
            <w:r w:rsidR="00565950" w:rsidRPr="00F4191D">
              <w:rPr>
                <w:rFonts w:cs="Arial"/>
                <w:sz w:val="14"/>
                <w:szCs w:val="14"/>
                <w:vertAlign w:val="superscript"/>
              </w:rPr>
            </w:r>
            <w:r w:rsidR="00565950" w:rsidRPr="00F4191D">
              <w:rPr>
                <w:rFonts w:cs="Arial"/>
                <w:sz w:val="14"/>
                <w:szCs w:val="14"/>
                <w:vertAlign w:val="superscript"/>
              </w:rPr>
              <w:fldChar w:fldCharType="separate"/>
            </w:r>
            <w:r w:rsidR="00141EF2" w:rsidRPr="00141EF2">
              <w:rPr>
                <w:sz w:val="14"/>
                <w:szCs w:val="14"/>
              </w:rPr>
              <w:t>*</w:t>
            </w:r>
            <w:r w:rsidR="00565950" w:rsidRPr="00F4191D">
              <w:rPr>
                <w:rFonts w:cs="Arial"/>
                <w:sz w:val="14"/>
                <w:szCs w:val="14"/>
                <w:vertAlign w:val="superscript"/>
              </w:rPr>
              <w:fldChar w:fldCharType="end"/>
            </w:r>
          </w:p>
        </w:tc>
        <w:tc>
          <w:tcPr>
            <w:tcW w:w="102" w:type="dxa"/>
          </w:tcPr>
          <w:p w14:paraId="79EDF185" w14:textId="77777777" w:rsidR="00CC645F" w:rsidRPr="00F4191D" w:rsidRDefault="00CC645F" w:rsidP="00CC645F">
            <w:pPr>
              <w:pStyle w:val="TableParagraph"/>
              <w:keepNext/>
              <w:ind w:right="105"/>
              <w:jc w:val="center"/>
              <w:rPr>
                <w:b/>
                <w:sz w:val="14"/>
                <w:szCs w:val="14"/>
              </w:rPr>
            </w:pPr>
          </w:p>
        </w:tc>
        <w:tc>
          <w:tcPr>
            <w:tcW w:w="2733" w:type="dxa"/>
            <w:tcBorders>
              <w:bottom w:val="single" w:sz="8" w:space="0" w:color="0070AD" w:themeColor="accent1"/>
            </w:tcBorders>
            <w:vAlign w:val="center"/>
          </w:tcPr>
          <w:p w14:paraId="4C2390EE" w14:textId="3AC5D789" w:rsidR="00CC645F" w:rsidRPr="00F4191D" w:rsidRDefault="00CC645F" w:rsidP="00CC645F">
            <w:pPr>
              <w:pStyle w:val="TableParagraph"/>
              <w:keepNext/>
              <w:jc w:val="center"/>
              <w:rPr>
                <w:b/>
                <w:sz w:val="14"/>
                <w:szCs w:val="14"/>
              </w:rPr>
            </w:pPr>
            <w:r w:rsidRPr="00F4191D">
              <w:rPr>
                <w:b/>
                <w:sz w:val="14"/>
                <w:szCs w:val="14"/>
              </w:rPr>
              <w:t>Year-on-year growth</w:t>
            </w:r>
          </w:p>
        </w:tc>
      </w:tr>
      <w:tr w:rsidR="00CC645F" w:rsidRPr="00F4191D" w14:paraId="1531B3BE" w14:textId="77777777" w:rsidTr="00C278DC">
        <w:trPr>
          <w:trHeight w:hRule="exact" w:val="737"/>
        </w:trPr>
        <w:tc>
          <w:tcPr>
            <w:tcW w:w="2977" w:type="dxa"/>
            <w:tcBorders>
              <w:bottom w:val="single" w:sz="8" w:space="0" w:color="0070AD" w:themeColor="accent1"/>
            </w:tcBorders>
          </w:tcPr>
          <w:p w14:paraId="2ADF64E0" w14:textId="77777777" w:rsidR="00CC645F" w:rsidRPr="00F4191D" w:rsidRDefault="00CC645F" w:rsidP="00CC645F">
            <w:pPr>
              <w:keepNext/>
              <w:rPr>
                <w:sz w:val="14"/>
                <w:szCs w:val="14"/>
              </w:rPr>
            </w:pPr>
          </w:p>
        </w:tc>
        <w:tc>
          <w:tcPr>
            <w:tcW w:w="1418" w:type="dxa"/>
            <w:tcBorders>
              <w:top w:val="single" w:sz="8" w:space="0" w:color="0070AD" w:themeColor="accent1"/>
              <w:bottom w:val="single" w:sz="8" w:space="0" w:color="0070AD" w:themeColor="accent1"/>
            </w:tcBorders>
            <w:shd w:val="clear" w:color="auto" w:fill="BBE7FF" w:themeFill="accent1" w:themeFillTint="33"/>
            <w:vAlign w:val="center"/>
          </w:tcPr>
          <w:p w14:paraId="0001E20D" w14:textId="2AEDEDDA" w:rsidR="00CC645F" w:rsidRPr="00F4191D" w:rsidRDefault="00CC645F" w:rsidP="00CC645F">
            <w:pPr>
              <w:pStyle w:val="TableParagraph"/>
              <w:keepNext/>
              <w:ind w:left="1"/>
              <w:jc w:val="center"/>
              <w:rPr>
                <w:b/>
                <w:sz w:val="14"/>
                <w:szCs w:val="14"/>
              </w:rPr>
            </w:pPr>
            <w:r w:rsidRPr="00F4191D">
              <w:rPr>
                <w:b/>
                <w:sz w:val="14"/>
                <w:szCs w:val="14"/>
              </w:rPr>
              <w:t>H1 2020</w:t>
            </w:r>
          </w:p>
          <w:p w14:paraId="0FA06314" w14:textId="665B4FB6" w:rsidR="00CC645F" w:rsidRPr="00F4191D" w:rsidRDefault="00CC645F" w:rsidP="00CC645F">
            <w:pPr>
              <w:keepNext/>
              <w:jc w:val="center"/>
              <w:rPr>
                <w:b/>
                <w:sz w:val="14"/>
                <w:szCs w:val="14"/>
              </w:rPr>
            </w:pPr>
            <w:r w:rsidRPr="00F4191D">
              <w:rPr>
                <w:i/>
                <w:sz w:val="14"/>
                <w:szCs w:val="14"/>
              </w:rPr>
              <w:t>(% of Group revenues)</w:t>
            </w:r>
          </w:p>
        </w:tc>
        <w:tc>
          <w:tcPr>
            <w:tcW w:w="102" w:type="dxa"/>
            <w:tcBorders>
              <w:bottom w:val="single" w:sz="8" w:space="0" w:color="0070AD" w:themeColor="accent1"/>
            </w:tcBorders>
          </w:tcPr>
          <w:p w14:paraId="1705C1F2" w14:textId="77777777" w:rsidR="00CC645F" w:rsidRPr="00F4191D" w:rsidRDefault="00CC645F" w:rsidP="00CC645F">
            <w:pPr>
              <w:pStyle w:val="TableParagraph"/>
              <w:keepNext/>
              <w:spacing w:before="27"/>
              <w:ind w:right="162" w:firstLine="26"/>
              <w:jc w:val="center"/>
              <w:rPr>
                <w:b/>
                <w:sz w:val="14"/>
                <w:szCs w:val="14"/>
              </w:rPr>
            </w:pPr>
          </w:p>
        </w:tc>
        <w:tc>
          <w:tcPr>
            <w:tcW w:w="2733" w:type="dxa"/>
            <w:tcBorders>
              <w:top w:val="single" w:sz="8" w:space="0" w:color="0070AD" w:themeColor="accent1"/>
              <w:bottom w:val="single" w:sz="8" w:space="0" w:color="0070AD" w:themeColor="accent1"/>
            </w:tcBorders>
            <w:vAlign w:val="center"/>
          </w:tcPr>
          <w:p w14:paraId="5D6A9EC1" w14:textId="77777777" w:rsidR="00CC645F" w:rsidRPr="00F4191D" w:rsidRDefault="00CC645F" w:rsidP="00CC645F">
            <w:pPr>
              <w:pStyle w:val="TableParagraph"/>
              <w:keepNext/>
              <w:jc w:val="center"/>
              <w:rPr>
                <w:b/>
                <w:sz w:val="14"/>
                <w:szCs w:val="14"/>
              </w:rPr>
            </w:pPr>
            <w:r w:rsidRPr="00F4191D">
              <w:rPr>
                <w:b/>
                <w:sz w:val="14"/>
                <w:szCs w:val="14"/>
              </w:rPr>
              <w:t xml:space="preserve">At constant </w:t>
            </w:r>
            <w:r w:rsidRPr="00F4191D">
              <w:rPr>
                <w:b/>
                <w:sz w:val="14"/>
                <w:szCs w:val="14"/>
              </w:rPr>
              <w:br/>
              <w:t>exchange rates</w:t>
            </w:r>
          </w:p>
          <w:p w14:paraId="5E592B20" w14:textId="17B3AEAB" w:rsidR="00CC645F" w:rsidRPr="00F4191D" w:rsidRDefault="00CC645F" w:rsidP="00CC645F">
            <w:pPr>
              <w:pStyle w:val="TableParagraph"/>
              <w:keepNext/>
              <w:jc w:val="center"/>
              <w:rPr>
                <w:b/>
                <w:sz w:val="14"/>
                <w:szCs w:val="14"/>
              </w:rPr>
            </w:pPr>
            <w:r w:rsidRPr="00F4191D">
              <w:rPr>
                <w:b/>
                <w:sz w:val="14"/>
                <w:szCs w:val="14"/>
              </w:rPr>
              <w:t>in Total revenues</w:t>
            </w:r>
            <w:r w:rsidR="00565950" w:rsidRPr="00F4191D">
              <w:rPr>
                <w:rFonts w:cs="Arial"/>
                <w:sz w:val="14"/>
                <w:szCs w:val="14"/>
                <w:vertAlign w:val="superscript"/>
              </w:rPr>
              <w:fldChar w:fldCharType="begin"/>
            </w:r>
            <w:r w:rsidR="00565950" w:rsidRPr="00F4191D">
              <w:rPr>
                <w:b/>
                <w:sz w:val="14"/>
                <w:szCs w:val="14"/>
                <w:vertAlign w:val="superscript"/>
              </w:rPr>
              <w:instrText xml:space="preserve"> NOTEREF _Ref13738408 \h </w:instrText>
            </w:r>
            <w:r w:rsidR="00565950" w:rsidRPr="00F4191D">
              <w:rPr>
                <w:rFonts w:cs="Arial"/>
                <w:sz w:val="14"/>
                <w:szCs w:val="14"/>
                <w:vertAlign w:val="superscript"/>
              </w:rPr>
              <w:instrText xml:space="preserve"> \* MERGEFORMAT </w:instrText>
            </w:r>
            <w:r w:rsidR="00565950" w:rsidRPr="00F4191D">
              <w:rPr>
                <w:rFonts w:cs="Arial"/>
                <w:sz w:val="14"/>
                <w:szCs w:val="14"/>
                <w:vertAlign w:val="superscript"/>
              </w:rPr>
            </w:r>
            <w:r w:rsidR="00565950" w:rsidRPr="00F4191D">
              <w:rPr>
                <w:rFonts w:cs="Arial"/>
                <w:sz w:val="14"/>
                <w:szCs w:val="14"/>
                <w:vertAlign w:val="superscript"/>
              </w:rPr>
              <w:fldChar w:fldCharType="separate"/>
            </w:r>
            <w:r w:rsidR="00141EF2" w:rsidRPr="00141EF2">
              <w:rPr>
                <w:sz w:val="14"/>
                <w:szCs w:val="14"/>
              </w:rPr>
              <w:t>*</w:t>
            </w:r>
            <w:r w:rsidR="00565950" w:rsidRPr="00F4191D">
              <w:rPr>
                <w:rFonts w:cs="Arial"/>
                <w:sz w:val="14"/>
                <w:szCs w:val="14"/>
                <w:vertAlign w:val="superscript"/>
              </w:rPr>
              <w:fldChar w:fldCharType="end"/>
            </w:r>
          </w:p>
          <w:p w14:paraId="52EE25EC" w14:textId="1DD862BD" w:rsidR="00CC645F" w:rsidRPr="00F4191D" w:rsidRDefault="00CC645F" w:rsidP="00CC645F">
            <w:pPr>
              <w:pStyle w:val="TableParagraph"/>
              <w:keepNext/>
              <w:jc w:val="center"/>
              <w:rPr>
                <w:b/>
                <w:sz w:val="14"/>
                <w:szCs w:val="14"/>
              </w:rPr>
            </w:pPr>
            <w:r w:rsidRPr="00F4191D">
              <w:rPr>
                <w:b/>
                <w:sz w:val="14"/>
                <w:szCs w:val="14"/>
              </w:rPr>
              <w:t>of the business</w:t>
            </w:r>
          </w:p>
        </w:tc>
      </w:tr>
      <w:tr w:rsidR="00C278DC" w:rsidRPr="00F4191D" w14:paraId="605D2F81" w14:textId="77777777" w:rsidTr="00C278DC">
        <w:trPr>
          <w:trHeight w:val="227"/>
        </w:trPr>
        <w:tc>
          <w:tcPr>
            <w:tcW w:w="2977" w:type="dxa"/>
            <w:tcBorders>
              <w:top w:val="single" w:sz="8" w:space="0" w:color="0070AD" w:themeColor="accent1"/>
            </w:tcBorders>
            <w:vAlign w:val="center"/>
          </w:tcPr>
          <w:p w14:paraId="2EC92DCE" w14:textId="77777777" w:rsidR="00C278DC" w:rsidRPr="00F4191D" w:rsidRDefault="00C278DC" w:rsidP="00C278DC">
            <w:pPr>
              <w:pStyle w:val="TableParagraph"/>
              <w:keepNext/>
              <w:spacing w:before="52"/>
              <w:ind w:left="142"/>
              <w:jc w:val="left"/>
              <w:rPr>
                <w:sz w:val="14"/>
                <w:szCs w:val="14"/>
              </w:rPr>
            </w:pPr>
            <w:r w:rsidRPr="00F4191D">
              <w:rPr>
                <w:sz w:val="14"/>
                <w:szCs w:val="14"/>
              </w:rPr>
              <w:t>Strategy &amp; Transformation</w:t>
            </w:r>
          </w:p>
        </w:tc>
        <w:tc>
          <w:tcPr>
            <w:tcW w:w="1418" w:type="dxa"/>
            <w:tcBorders>
              <w:top w:val="single" w:sz="8" w:space="0" w:color="0070AD"/>
              <w:left w:val="nil"/>
              <w:bottom w:val="nil"/>
              <w:right w:val="nil"/>
            </w:tcBorders>
            <w:shd w:val="clear" w:color="000000" w:fill="BBE7FF"/>
            <w:vAlign w:val="center"/>
          </w:tcPr>
          <w:p w14:paraId="4C6C0CAF" w14:textId="10B330A1" w:rsidR="00C278DC" w:rsidRPr="00F4191D" w:rsidRDefault="00C278DC" w:rsidP="00C278DC">
            <w:pPr>
              <w:pStyle w:val="TableParagraph"/>
              <w:keepNext/>
              <w:spacing w:before="27"/>
              <w:ind w:right="537"/>
              <w:jc w:val="right"/>
              <w:rPr>
                <w:sz w:val="14"/>
                <w:szCs w:val="14"/>
              </w:rPr>
            </w:pPr>
            <w:r w:rsidRPr="00F4191D">
              <w:rPr>
                <w:rFonts w:ascii="Verdana" w:hAnsi="Verdana"/>
                <w:color w:val="000000"/>
                <w:sz w:val="14"/>
                <w:szCs w:val="14"/>
              </w:rPr>
              <w:t>7%</w:t>
            </w:r>
          </w:p>
        </w:tc>
        <w:tc>
          <w:tcPr>
            <w:tcW w:w="102" w:type="dxa"/>
            <w:tcBorders>
              <w:top w:val="single" w:sz="8" w:space="0" w:color="0070AD"/>
              <w:left w:val="nil"/>
              <w:bottom w:val="nil"/>
              <w:right w:val="nil"/>
            </w:tcBorders>
            <w:shd w:val="clear" w:color="auto" w:fill="auto"/>
            <w:vAlign w:val="center"/>
          </w:tcPr>
          <w:p w14:paraId="682F6DC3" w14:textId="2835B32F" w:rsidR="00C278DC" w:rsidRPr="00F4191D" w:rsidRDefault="00C278DC" w:rsidP="00C278DC">
            <w:pPr>
              <w:jc w:val="center"/>
              <w:rPr>
                <w:rFonts w:ascii="Verdana" w:hAnsi="Verdana"/>
                <w:color w:val="000000"/>
                <w:sz w:val="14"/>
                <w:szCs w:val="14"/>
              </w:rPr>
            </w:pPr>
            <w:r w:rsidRPr="00F4191D">
              <w:rPr>
                <w:rFonts w:ascii="Verdana" w:hAnsi="Verdana"/>
                <w:color w:val="000000"/>
                <w:sz w:val="14"/>
                <w:szCs w:val="14"/>
              </w:rPr>
              <w:t> </w:t>
            </w:r>
          </w:p>
        </w:tc>
        <w:tc>
          <w:tcPr>
            <w:tcW w:w="2733" w:type="dxa"/>
            <w:tcBorders>
              <w:top w:val="single" w:sz="8" w:space="0" w:color="0070AD"/>
              <w:left w:val="nil"/>
              <w:bottom w:val="nil"/>
              <w:right w:val="nil"/>
            </w:tcBorders>
            <w:shd w:val="clear" w:color="auto" w:fill="auto"/>
            <w:vAlign w:val="center"/>
          </w:tcPr>
          <w:p w14:paraId="7E92CA05" w14:textId="3BEBB2A2" w:rsidR="00C278DC" w:rsidRPr="00F4191D" w:rsidRDefault="00C278DC" w:rsidP="008E2DAE">
            <w:pPr>
              <w:ind w:right="1137"/>
              <w:jc w:val="right"/>
              <w:rPr>
                <w:rFonts w:ascii="Verdana" w:hAnsi="Verdana"/>
                <w:color w:val="000000"/>
                <w:sz w:val="14"/>
                <w:szCs w:val="14"/>
              </w:rPr>
            </w:pPr>
            <w:r w:rsidRPr="00F4191D">
              <w:rPr>
                <w:rFonts w:ascii="Verdana" w:hAnsi="Verdana"/>
                <w:color w:val="000000"/>
                <w:sz w:val="14"/>
                <w:szCs w:val="14"/>
              </w:rPr>
              <w:t>+8.6%</w:t>
            </w:r>
          </w:p>
        </w:tc>
      </w:tr>
      <w:tr w:rsidR="00C278DC" w:rsidRPr="00F4191D" w14:paraId="42BE755A" w14:textId="77777777" w:rsidTr="00C278DC">
        <w:trPr>
          <w:trHeight w:val="227"/>
        </w:trPr>
        <w:tc>
          <w:tcPr>
            <w:tcW w:w="2977" w:type="dxa"/>
            <w:vAlign w:val="center"/>
          </w:tcPr>
          <w:p w14:paraId="71F45448" w14:textId="77777777" w:rsidR="00C278DC" w:rsidRPr="00F4191D" w:rsidRDefault="00C278DC" w:rsidP="00C278DC">
            <w:pPr>
              <w:pStyle w:val="TableParagraph"/>
              <w:keepNext/>
              <w:spacing w:before="53"/>
              <w:ind w:left="142"/>
              <w:jc w:val="left"/>
              <w:rPr>
                <w:sz w:val="14"/>
                <w:szCs w:val="14"/>
              </w:rPr>
            </w:pPr>
            <w:r w:rsidRPr="00F4191D">
              <w:rPr>
                <w:sz w:val="14"/>
                <w:szCs w:val="14"/>
              </w:rPr>
              <w:t>Applications &amp; Technology</w:t>
            </w:r>
          </w:p>
        </w:tc>
        <w:tc>
          <w:tcPr>
            <w:tcW w:w="1418" w:type="dxa"/>
            <w:tcBorders>
              <w:top w:val="nil"/>
              <w:left w:val="nil"/>
              <w:bottom w:val="nil"/>
              <w:right w:val="nil"/>
            </w:tcBorders>
            <w:shd w:val="clear" w:color="000000" w:fill="BBE7FF"/>
            <w:vAlign w:val="center"/>
          </w:tcPr>
          <w:p w14:paraId="00A09C3E" w14:textId="29CE9EF7" w:rsidR="00C278DC" w:rsidRPr="00F4191D" w:rsidRDefault="00C278DC" w:rsidP="00C278DC">
            <w:pPr>
              <w:pStyle w:val="TableParagraph"/>
              <w:keepNext/>
              <w:spacing w:before="27"/>
              <w:ind w:right="537"/>
              <w:jc w:val="right"/>
              <w:rPr>
                <w:sz w:val="14"/>
                <w:szCs w:val="14"/>
              </w:rPr>
            </w:pPr>
            <w:r w:rsidRPr="00F4191D">
              <w:rPr>
                <w:rFonts w:ascii="Verdana" w:hAnsi="Verdana"/>
                <w:color w:val="000000"/>
                <w:sz w:val="14"/>
                <w:szCs w:val="14"/>
              </w:rPr>
              <w:t>65%</w:t>
            </w:r>
          </w:p>
        </w:tc>
        <w:tc>
          <w:tcPr>
            <w:tcW w:w="102" w:type="dxa"/>
            <w:tcBorders>
              <w:top w:val="nil"/>
              <w:left w:val="nil"/>
              <w:bottom w:val="nil"/>
              <w:right w:val="nil"/>
            </w:tcBorders>
            <w:shd w:val="clear" w:color="auto" w:fill="auto"/>
            <w:vAlign w:val="center"/>
          </w:tcPr>
          <w:p w14:paraId="2C969625" w14:textId="77777777" w:rsidR="00C278DC" w:rsidRPr="00F4191D" w:rsidRDefault="00C278DC" w:rsidP="00C278DC">
            <w:pPr>
              <w:ind w:firstLineChars="200" w:firstLine="280"/>
              <w:jc w:val="right"/>
              <w:rPr>
                <w:rFonts w:ascii="Verdana" w:hAnsi="Verdana"/>
                <w:color w:val="000000"/>
                <w:sz w:val="14"/>
                <w:szCs w:val="14"/>
              </w:rPr>
            </w:pPr>
          </w:p>
        </w:tc>
        <w:tc>
          <w:tcPr>
            <w:tcW w:w="2733" w:type="dxa"/>
            <w:tcBorders>
              <w:top w:val="nil"/>
              <w:left w:val="nil"/>
              <w:bottom w:val="nil"/>
              <w:right w:val="nil"/>
            </w:tcBorders>
            <w:shd w:val="clear" w:color="auto" w:fill="auto"/>
            <w:vAlign w:val="center"/>
          </w:tcPr>
          <w:p w14:paraId="280AD5F2" w14:textId="585DE8A4" w:rsidR="00C278DC" w:rsidRPr="00F4191D" w:rsidRDefault="00C278DC" w:rsidP="008E2DAE">
            <w:pPr>
              <w:ind w:right="1137"/>
              <w:jc w:val="right"/>
              <w:rPr>
                <w:rFonts w:ascii="Verdana" w:hAnsi="Verdana"/>
                <w:color w:val="000000"/>
                <w:sz w:val="14"/>
                <w:szCs w:val="14"/>
              </w:rPr>
            </w:pPr>
            <w:r w:rsidRPr="00F4191D">
              <w:rPr>
                <w:rFonts w:ascii="Verdana" w:hAnsi="Verdana"/>
                <w:color w:val="000000"/>
                <w:sz w:val="14"/>
                <w:szCs w:val="14"/>
              </w:rPr>
              <w:t>-1.3%</w:t>
            </w:r>
          </w:p>
        </w:tc>
      </w:tr>
      <w:tr w:rsidR="00C278DC" w:rsidRPr="00F4191D" w14:paraId="4A537165" w14:textId="77777777" w:rsidTr="00C278DC">
        <w:trPr>
          <w:trHeight w:val="227"/>
        </w:trPr>
        <w:tc>
          <w:tcPr>
            <w:tcW w:w="2977" w:type="dxa"/>
            <w:tcBorders>
              <w:bottom w:val="single" w:sz="8" w:space="0" w:color="0070AD" w:themeColor="accent1"/>
            </w:tcBorders>
            <w:vAlign w:val="center"/>
          </w:tcPr>
          <w:p w14:paraId="1FA8C405" w14:textId="77777777" w:rsidR="00C278DC" w:rsidRPr="00F4191D" w:rsidRDefault="00C278DC" w:rsidP="00C278DC">
            <w:pPr>
              <w:pStyle w:val="TableParagraph"/>
              <w:keepNext/>
              <w:spacing w:before="53"/>
              <w:ind w:left="142"/>
              <w:jc w:val="left"/>
              <w:rPr>
                <w:sz w:val="14"/>
                <w:szCs w:val="14"/>
              </w:rPr>
            </w:pPr>
            <w:r w:rsidRPr="00F4191D">
              <w:rPr>
                <w:sz w:val="14"/>
                <w:szCs w:val="14"/>
              </w:rPr>
              <w:t>Operations &amp; Engineering</w:t>
            </w:r>
          </w:p>
        </w:tc>
        <w:tc>
          <w:tcPr>
            <w:tcW w:w="1418" w:type="dxa"/>
            <w:tcBorders>
              <w:top w:val="nil"/>
              <w:left w:val="nil"/>
              <w:bottom w:val="single" w:sz="8" w:space="0" w:color="0070AD"/>
              <w:right w:val="nil"/>
            </w:tcBorders>
            <w:shd w:val="clear" w:color="000000" w:fill="BBE7FF"/>
            <w:vAlign w:val="center"/>
          </w:tcPr>
          <w:p w14:paraId="1E179BDC" w14:textId="21643B6E" w:rsidR="00C278DC" w:rsidRPr="00F4191D" w:rsidRDefault="00C278DC" w:rsidP="00C278DC">
            <w:pPr>
              <w:pStyle w:val="TableParagraph"/>
              <w:keepNext/>
              <w:spacing w:before="27"/>
              <w:ind w:right="537"/>
              <w:jc w:val="right"/>
              <w:rPr>
                <w:sz w:val="14"/>
                <w:szCs w:val="14"/>
              </w:rPr>
            </w:pPr>
            <w:r w:rsidRPr="00F4191D">
              <w:rPr>
                <w:rFonts w:ascii="Verdana" w:hAnsi="Verdana"/>
                <w:color w:val="000000"/>
                <w:sz w:val="14"/>
                <w:szCs w:val="14"/>
              </w:rPr>
              <w:t>28%</w:t>
            </w:r>
          </w:p>
        </w:tc>
        <w:tc>
          <w:tcPr>
            <w:tcW w:w="102" w:type="dxa"/>
            <w:tcBorders>
              <w:top w:val="nil"/>
              <w:left w:val="nil"/>
              <w:bottom w:val="single" w:sz="8" w:space="0" w:color="0070AD"/>
              <w:right w:val="nil"/>
            </w:tcBorders>
            <w:shd w:val="clear" w:color="auto" w:fill="auto"/>
            <w:vAlign w:val="center"/>
          </w:tcPr>
          <w:p w14:paraId="0AC31167" w14:textId="1D48B990" w:rsidR="00C278DC" w:rsidRPr="00F4191D" w:rsidRDefault="00C278DC" w:rsidP="00C278DC">
            <w:pPr>
              <w:ind w:firstLineChars="200" w:firstLine="280"/>
              <w:jc w:val="right"/>
              <w:rPr>
                <w:rFonts w:ascii="Verdana" w:hAnsi="Verdana"/>
                <w:color w:val="000000"/>
                <w:sz w:val="14"/>
                <w:szCs w:val="14"/>
              </w:rPr>
            </w:pPr>
            <w:r w:rsidRPr="00F4191D">
              <w:rPr>
                <w:rFonts w:ascii="Verdana" w:hAnsi="Verdana"/>
                <w:color w:val="000000"/>
                <w:sz w:val="14"/>
                <w:szCs w:val="14"/>
              </w:rPr>
              <w:t> </w:t>
            </w:r>
          </w:p>
        </w:tc>
        <w:tc>
          <w:tcPr>
            <w:tcW w:w="2733" w:type="dxa"/>
            <w:tcBorders>
              <w:top w:val="nil"/>
              <w:left w:val="nil"/>
              <w:bottom w:val="single" w:sz="8" w:space="0" w:color="0070AD"/>
              <w:right w:val="nil"/>
            </w:tcBorders>
            <w:shd w:val="clear" w:color="auto" w:fill="auto"/>
            <w:vAlign w:val="center"/>
          </w:tcPr>
          <w:p w14:paraId="787F6505" w14:textId="5750743A" w:rsidR="00C278DC" w:rsidRPr="00F4191D" w:rsidRDefault="00C278DC" w:rsidP="008E2DAE">
            <w:pPr>
              <w:ind w:right="1137"/>
              <w:jc w:val="right"/>
              <w:rPr>
                <w:rFonts w:ascii="Verdana" w:hAnsi="Verdana"/>
                <w:color w:val="000000"/>
                <w:sz w:val="14"/>
                <w:szCs w:val="14"/>
              </w:rPr>
            </w:pPr>
            <w:r w:rsidRPr="00F4191D">
              <w:rPr>
                <w:rFonts w:ascii="Verdana" w:hAnsi="Verdana"/>
                <w:color w:val="000000"/>
                <w:sz w:val="14"/>
                <w:szCs w:val="14"/>
              </w:rPr>
              <w:t>+37.2%</w:t>
            </w:r>
          </w:p>
        </w:tc>
      </w:tr>
      <w:bookmarkEnd w:id="21"/>
    </w:tbl>
    <w:p w14:paraId="494223AA" w14:textId="77777777" w:rsidR="00CC645F" w:rsidRPr="00F4191D" w:rsidRDefault="00CC645F">
      <w:pPr>
        <w:jc w:val="left"/>
        <w:rPr>
          <w:rFonts w:ascii="Verdana" w:hAnsi="Verdana" w:cs="Arial"/>
          <w:b/>
          <w:caps/>
        </w:rPr>
      </w:pPr>
    </w:p>
    <w:p w14:paraId="46937C68" w14:textId="77777777" w:rsidR="00D159DD" w:rsidRPr="00F4191D" w:rsidRDefault="00D159DD" w:rsidP="00D159DD">
      <w:pPr>
        <w:pStyle w:val="Heading1"/>
      </w:pPr>
      <w:r w:rsidRPr="00F4191D">
        <w:t>SUMMARY INCOME STATEMENT AND OPERATING MARGIN</w:t>
      </w:r>
    </w:p>
    <w:tbl>
      <w:tblPr>
        <w:tblW w:w="0" w:type="auto"/>
        <w:jc w:val="center"/>
        <w:tblLook w:val="04A0" w:firstRow="1" w:lastRow="0" w:firstColumn="1" w:lastColumn="0" w:noHBand="0" w:noVBand="1"/>
      </w:tblPr>
      <w:tblGrid>
        <w:gridCol w:w="5998"/>
        <w:gridCol w:w="1474"/>
        <w:gridCol w:w="1474"/>
        <w:gridCol w:w="1134"/>
      </w:tblGrid>
      <w:tr w:rsidR="00EF5205" w:rsidRPr="00F4191D" w14:paraId="00963888" w14:textId="77777777" w:rsidTr="00944C01">
        <w:trPr>
          <w:trHeight w:val="284"/>
          <w:jc w:val="center"/>
        </w:trPr>
        <w:tc>
          <w:tcPr>
            <w:tcW w:w="5998" w:type="dxa"/>
            <w:tcBorders>
              <w:bottom w:val="single" w:sz="8" w:space="0" w:color="0070AD" w:themeColor="accent1"/>
            </w:tcBorders>
            <w:vAlign w:val="center"/>
          </w:tcPr>
          <w:p w14:paraId="23187388" w14:textId="77777777" w:rsidR="00EF5205" w:rsidRPr="00F4191D" w:rsidRDefault="00EF5205" w:rsidP="00EF5205">
            <w:pPr>
              <w:keepNext/>
              <w:jc w:val="center"/>
              <w:rPr>
                <w:i/>
                <w:sz w:val="14"/>
                <w:szCs w:val="14"/>
              </w:rPr>
            </w:pPr>
            <w:r w:rsidRPr="00F4191D">
              <w:rPr>
                <w:i/>
                <w:sz w:val="14"/>
                <w:szCs w:val="14"/>
              </w:rPr>
              <w:t>(in millions of euros)</w:t>
            </w:r>
          </w:p>
        </w:tc>
        <w:tc>
          <w:tcPr>
            <w:tcW w:w="1474" w:type="dxa"/>
            <w:tcBorders>
              <w:bottom w:val="single" w:sz="8" w:space="0" w:color="0070AD" w:themeColor="accent1"/>
            </w:tcBorders>
            <w:vAlign w:val="center"/>
          </w:tcPr>
          <w:p w14:paraId="7C14E266" w14:textId="7C25D476" w:rsidR="00041C5B" w:rsidRPr="00F4191D" w:rsidRDefault="00EF5205" w:rsidP="00DE46AD">
            <w:pPr>
              <w:keepNext/>
              <w:jc w:val="center"/>
              <w:rPr>
                <w:rFonts w:ascii="Verdana" w:hAnsi="Verdana" w:cs="Arial"/>
                <w:b/>
                <w:sz w:val="14"/>
                <w:szCs w:val="16"/>
              </w:rPr>
            </w:pPr>
            <w:r w:rsidRPr="00F4191D">
              <w:rPr>
                <w:rFonts w:ascii="Verdana" w:hAnsi="Verdana"/>
                <w:b/>
                <w:sz w:val="14"/>
                <w:szCs w:val="16"/>
              </w:rPr>
              <w:t>H1 2019</w:t>
            </w:r>
          </w:p>
        </w:tc>
        <w:tc>
          <w:tcPr>
            <w:tcW w:w="1474" w:type="dxa"/>
            <w:tcBorders>
              <w:bottom w:val="single" w:sz="8" w:space="0" w:color="0070AD" w:themeColor="accent1"/>
            </w:tcBorders>
            <w:shd w:val="clear" w:color="auto" w:fill="BBE7FF" w:themeFill="accent1" w:themeFillTint="33"/>
            <w:vAlign w:val="center"/>
          </w:tcPr>
          <w:p w14:paraId="483E5386" w14:textId="0376CA83" w:rsidR="00041C5B" w:rsidRPr="00F4191D" w:rsidRDefault="00EF5205" w:rsidP="00DE46AD">
            <w:pPr>
              <w:keepNext/>
              <w:jc w:val="center"/>
              <w:rPr>
                <w:rFonts w:ascii="Verdana" w:hAnsi="Verdana" w:cs="Arial"/>
                <w:b/>
                <w:sz w:val="14"/>
                <w:szCs w:val="16"/>
              </w:rPr>
            </w:pPr>
            <w:r w:rsidRPr="00F4191D">
              <w:rPr>
                <w:rFonts w:ascii="Verdana" w:hAnsi="Verdana"/>
                <w:b/>
                <w:sz w:val="14"/>
                <w:szCs w:val="16"/>
              </w:rPr>
              <w:t>H1 2020</w:t>
            </w:r>
          </w:p>
        </w:tc>
        <w:tc>
          <w:tcPr>
            <w:tcW w:w="1134" w:type="dxa"/>
            <w:tcBorders>
              <w:bottom w:val="single" w:sz="8" w:space="0" w:color="0070AD" w:themeColor="accent1"/>
            </w:tcBorders>
            <w:shd w:val="clear" w:color="auto" w:fill="auto"/>
            <w:vAlign w:val="center"/>
          </w:tcPr>
          <w:p w14:paraId="1A1707E2" w14:textId="77777777" w:rsidR="00EF5205" w:rsidRPr="00F4191D" w:rsidRDefault="00EF5205" w:rsidP="00EF5205">
            <w:pPr>
              <w:keepNext/>
              <w:jc w:val="center"/>
              <w:rPr>
                <w:b/>
                <w:i/>
                <w:sz w:val="14"/>
                <w:szCs w:val="14"/>
              </w:rPr>
            </w:pPr>
            <w:r w:rsidRPr="00F4191D">
              <w:rPr>
                <w:b/>
                <w:i/>
                <w:sz w:val="14"/>
                <w:szCs w:val="14"/>
              </w:rPr>
              <w:t>Change</w:t>
            </w:r>
          </w:p>
        </w:tc>
      </w:tr>
      <w:tr w:rsidR="00576365" w:rsidRPr="00F4191D" w14:paraId="42212B74" w14:textId="77777777" w:rsidTr="00343205">
        <w:trPr>
          <w:trHeight w:val="227"/>
          <w:jc w:val="center"/>
        </w:trPr>
        <w:tc>
          <w:tcPr>
            <w:tcW w:w="5998" w:type="dxa"/>
            <w:tcBorders>
              <w:top w:val="single" w:sz="8" w:space="0" w:color="0070AD" w:themeColor="accent1"/>
              <w:bottom w:val="single" w:sz="8" w:space="0" w:color="0070AD" w:themeColor="accent1"/>
            </w:tcBorders>
            <w:shd w:val="clear" w:color="auto" w:fill="auto"/>
            <w:vAlign w:val="center"/>
          </w:tcPr>
          <w:p w14:paraId="1E035B34" w14:textId="77777777" w:rsidR="00576365" w:rsidRPr="00F4191D" w:rsidRDefault="00576365" w:rsidP="00576365">
            <w:pPr>
              <w:keepNext/>
              <w:rPr>
                <w:b/>
                <w:color w:val="0070AD" w:themeColor="accent1"/>
                <w:sz w:val="14"/>
                <w:szCs w:val="14"/>
              </w:rPr>
            </w:pPr>
            <w:r w:rsidRPr="00F4191D">
              <w:rPr>
                <w:b/>
                <w:color w:val="0070AD" w:themeColor="accent1"/>
                <w:sz w:val="14"/>
                <w:szCs w:val="14"/>
              </w:rPr>
              <w:t xml:space="preserve">Revenues </w:t>
            </w:r>
          </w:p>
        </w:tc>
        <w:tc>
          <w:tcPr>
            <w:tcW w:w="1474" w:type="dxa"/>
            <w:tcBorders>
              <w:top w:val="single" w:sz="8" w:space="0" w:color="0070AD"/>
              <w:left w:val="nil"/>
              <w:bottom w:val="single" w:sz="8" w:space="0" w:color="0070AD"/>
              <w:right w:val="nil"/>
            </w:tcBorders>
            <w:shd w:val="clear" w:color="auto" w:fill="auto"/>
            <w:vAlign w:val="center"/>
          </w:tcPr>
          <w:p w14:paraId="01CE8A4D" w14:textId="27324D36" w:rsidR="00576365" w:rsidRPr="00F4191D" w:rsidRDefault="00576365" w:rsidP="00576365">
            <w:pPr>
              <w:keepNext/>
              <w:ind w:left="-170" w:right="397"/>
              <w:jc w:val="right"/>
              <w:rPr>
                <w:b/>
                <w:color w:val="0070AD" w:themeColor="accent1"/>
                <w:sz w:val="14"/>
                <w:szCs w:val="14"/>
              </w:rPr>
            </w:pPr>
            <w:r w:rsidRPr="00F4191D">
              <w:rPr>
                <w:rFonts w:ascii="Verdana" w:hAnsi="Verdana"/>
                <w:b/>
                <w:bCs/>
                <w:color w:val="0070AD"/>
                <w:sz w:val="14"/>
                <w:szCs w:val="14"/>
              </w:rPr>
              <w:t xml:space="preserve">    7,007 </w:t>
            </w:r>
          </w:p>
        </w:tc>
        <w:tc>
          <w:tcPr>
            <w:tcW w:w="1474" w:type="dxa"/>
            <w:tcBorders>
              <w:top w:val="single" w:sz="8" w:space="0" w:color="0070AD"/>
              <w:left w:val="nil"/>
              <w:bottom w:val="single" w:sz="8" w:space="0" w:color="0070AD"/>
              <w:right w:val="nil"/>
            </w:tcBorders>
            <w:shd w:val="clear" w:color="000000" w:fill="BBE7FF"/>
            <w:vAlign w:val="center"/>
          </w:tcPr>
          <w:p w14:paraId="6B9C519F" w14:textId="199A6CAF" w:rsidR="00576365" w:rsidRPr="00F4191D" w:rsidRDefault="00576365" w:rsidP="00576365">
            <w:pPr>
              <w:keepNext/>
              <w:ind w:left="-170" w:right="397"/>
              <w:jc w:val="right"/>
              <w:rPr>
                <w:b/>
                <w:color w:val="0070AD" w:themeColor="accent1"/>
                <w:sz w:val="14"/>
                <w:szCs w:val="14"/>
              </w:rPr>
            </w:pPr>
            <w:r w:rsidRPr="00F4191D">
              <w:rPr>
                <w:rFonts w:ascii="Verdana" w:hAnsi="Verdana"/>
                <w:b/>
                <w:bCs/>
                <w:color w:val="0070AD"/>
                <w:sz w:val="14"/>
                <w:szCs w:val="14"/>
              </w:rPr>
              <w:t xml:space="preserve">       7,581 </w:t>
            </w:r>
          </w:p>
        </w:tc>
        <w:tc>
          <w:tcPr>
            <w:tcW w:w="1134" w:type="dxa"/>
            <w:tcBorders>
              <w:top w:val="single" w:sz="8" w:space="0" w:color="0070AD"/>
              <w:left w:val="nil"/>
              <w:bottom w:val="single" w:sz="8" w:space="0" w:color="0070AD"/>
              <w:right w:val="nil"/>
            </w:tcBorders>
            <w:shd w:val="clear" w:color="000000" w:fill="FFFFFF"/>
            <w:vAlign w:val="center"/>
          </w:tcPr>
          <w:p w14:paraId="66F4384F" w14:textId="03BA5431" w:rsidR="00576365" w:rsidRPr="00F4191D" w:rsidRDefault="00576365" w:rsidP="00576365">
            <w:pPr>
              <w:keepNext/>
              <w:jc w:val="center"/>
              <w:rPr>
                <w:b/>
                <w:color w:val="0070AD" w:themeColor="accent1"/>
                <w:sz w:val="14"/>
                <w:szCs w:val="14"/>
              </w:rPr>
            </w:pPr>
            <w:r w:rsidRPr="00F4191D">
              <w:rPr>
                <w:rFonts w:ascii="Verdana" w:hAnsi="Verdana"/>
                <w:b/>
                <w:bCs/>
                <w:color w:val="0070AD"/>
                <w:sz w:val="14"/>
                <w:szCs w:val="14"/>
              </w:rPr>
              <w:t>+8.2%</w:t>
            </w:r>
          </w:p>
        </w:tc>
      </w:tr>
      <w:tr w:rsidR="00576365" w:rsidRPr="00F4191D" w14:paraId="7A2DBEFA" w14:textId="77777777" w:rsidTr="00343205">
        <w:trPr>
          <w:trHeight w:val="227"/>
          <w:jc w:val="center"/>
        </w:trPr>
        <w:tc>
          <w:tcPr>
            <w:tcW w:w="5998" w:type="dxa"/>
            <w:tcBorders>
              <w:top w:val="single" w:sz="8" w:space="0" w:color="0070AD" w:themeColor="accent1"/>
              <w:bottom w:val="single" w:sz="8" w:space="0" w:color="0070AD" w:themeColor="accent1"/>
            </w:tcBorders>
            <w:shd w:val="clear" w:color="auto" w:fill="auto"/>
            <w:vAlign w:val="center"/>
          </w:tcPr>
          <w:p w14:paraId="0D8CEB8B" w14:textId="77777777" w:rsidR="00576365" w:rsidRPr="00F4191D" w:rsidRDefault="00576365" w:rsidP="00576365">
            <w:pPr>
              <w:keepNext/>
              <w:ind w:left="149"/>
              <w:rPr>
                <w:sz w:val="14"/>
                <w:szCs w:val="14"/>
              </w:rPr>
            </w:pPr>
            <w:r w:rsidRPr="00F4191D">
              <w:rPr>
                <w:sz w:val="14"/>
                <w:szCs w:val="14"/>
              </w:rPr>
              <w:t>Operating expenses</w:t>
            </w:r>
          </w:p>
        </w:tc>
        <w:tc>
          <w:tcPr>
            <w:tcW w:w="1474" w:type="dxa"/>
            <w:tcBorders>
              <w:top w:val="nil"/>
              <w:left w:val="nil"/>
              <w:bottom w:val="single" w:sz="8" w:space="0" w:color="0070AD"/>
              <w:right w:val="nil"/>
            </w:tcBorders>
            <w:shd w:val="clear" w:color="auto" w:fill="auto"/>
            <w:vAlign w:val="center"/>
          </w:tcPr>
          <w:p w14:paraId="7234E446" w14:textId="680B70DE" w:rsidR="00576365" w:rsidRPr="00F4191D" w:rsidRDefault="00576365" w:rsidP="00576365">
            <w:pPr>
              <w:keepNext/>
              <w:ind w:left="-170" w:right="397"/>
              <w:jc w:val="right"/>
              <w:rPr>
                <w:sz w:val="14"/>
                <w:szCs w:val="14"/>
              </w:rPr>
            </w:pPr>
            <w:r w:rsidRPr="00F4191D">
              <w:rPr>
                <w:rFonts w:ascii="Verdana" w:hAnsi="Verdana"/>
                <w:color w:val="000000"/>
                <w:sz w:val="14"/>
                <w:szCs w:val="14"/>
              </w:rPr>
              <w:t xml:space="preserve">       (6,210)</w:t>
            </w:r>
          </w:p>
        </w:tc>
        <w:tc>
          <w:tcPr>
            <w:tcW w:w="1474" w:type="dxa"/>
            <w:tcBorders>
              <w:top w:val="nil"/>
              <w:left w:val="nil"/>
              <w:bottom w:val="single" w:sz="8" w:space="0" w:color="0070AD"/>
              <w:right w:val="nil"/>
            </w:tcBorders>
            <w:shd w:val="clear" w:color="000000" w:fill="BBE7FF"/>
            <w:vAlign w:val="center"/>
          </w:tcPr>
          <w:p w14:paraId="722634C8" w14:textId="6F13CCA0" w:rsidR="00576365" w:rsidRPr="00F4191D" w:rsidRDefault="00576365" w:rsidP="00343205">
            <w:pPr>
              <w:keepNext/>
              <w:ind w:right="397"/>
              <w:rPr>
                <w:sz w:val="14"/>
                <w:szCs w:val="14"/>
              </w:rPr>
            </w:pPr>
            <w:r w:rsidRPr="00F4191D">
              <w:rPr>
                <w:rFonts w:ascii="Verdana" w:hAnsi="Verdana"/>
                <w:color w:val="000000"/>
                <w:sz w:val="14"/>
                <w:szCs w:val="14"/>
              </w:rPr>
              <w:t xml:space="preserve">      (6,763)</w:t>
            </w:r>
          </w:p>
        </w:tc>
        <w:tc>
          <w:tcPr>
            <w:tcW w:w="1134" w:type="dxa"/>
            <w:tcBorders>
              <w:top w:val="nil"/>
              <w:left w:val="nil"/>
              <w:bottom w:val="single" w:sz="8" w:space="0" w:color="0070AD"/>
              <w:right w:val="nil"/>
            </w:tcBorders>
            <w:shd w:val="clear" w:color="000000" w:fill="FFFFFF"/>
            <w:vAlign w:val="center"/>
          </w:tcPr>
          <w:p w14:paraId="3EC3D777" w14:textId="61AAFEDA" w:rsidR="00576365" w:rsidRPr="00F4191D" w:rsidRDefault="00576365" w:rsidP="00576365">
            <w:pPr>
              <w:keepNext/>
              <w:jc w:val="center"/>
              <w:rPr>
                <w:sz w:val="14"/>
                <w:szCs w:val="14"/>
              </w:rPr>
            </w:pPr>
          </w:p>
        </w:tc>
      </w:tr>
      <w:tr w:rsidR="00576365" w:rsidRPr="00F4191D" w14:paraId="2FE0F1BD" w14:textId="77777777" w:rsidTr="00343205">
        <w:trPr>
          <w:trHeight w:val="227"/>
          <w:jc w:val="center"/>
        </w:trPr>
        <w:tc>
          <w:tcPr>
            <w:tcW w:w="5998" w:type="dxa"/>
            <w:tcBorders>
              <w:top w:val="single" w:sz="8" w:space="0" w:color="0070AD" w:themeColor="accent1"/>
              <w:bottom w:val="single" w:sz="8" w:space="0" w:color="0070AD" w:themeColor="accent1"/>
            </w:tcBorders>
            <w:shd w:val="clear" w:color="auto" w:fill="auto"/>
            <w:vAlign w:val="center"/>
          </w:tcPr>
          <w:p w14:paraId="4804795A" w14:textId="77777777" w:rsidR="00576365" w:rsidRPr="00F4191D" w:rsidRDefault="00576365" w:rsidP="00576365">
            <w:pPr>
              <w:keepNext/>
              <w:rPr>
                <w:b/>
                <w:color w:val="0070AD" w:themeColor="accent1"/>
                <w:sz w:val="14"/>
                <w:szCs w:val="14"/>
              </w:rPr>
            </w:pPr>
            <w:r w:rsidRPr="00F4191D">
              <w:rPr>
                <w:b/>
                <w:color w:val="0070AD" w:themeColor="accent1"/>
                <w:sz w:val="14"/>
                <w:szCs w:val="14"/>
              </w:rPr>
              <w:t xml:space="preserve">Operating margin </w:t>
            </w:r>
          </w:p>
        </w:tc>
        <w:tc>
          <w:tcPr>
            <w:tcW w:w="1474" w:type="dxa"/>
            <w:tcBorders>
              <w:top w:val="nil"/>
              <w:left w:val="nil"/>
              <w:bottom w:val="single" w:sz="8" w:space="0" w:color="0070AD"/>
              <w:right w:val="nil"/>
            </w:tcBorders>
            <w:shd w:val="clear" w:color="auto" w:fill="auto"/>
            <w:vAlign w:val="center"/>
          </w:tcPr>
          <w:p w14:paraId="6EB04756" w14:textId="07021772" w:rsidR="00576365" w:rsidRPr="00F4191D" w:rsidRDefault="00576365" w:rsidP="00576365">
            <w:pPr>
              <w:keepNext/>
              <w:ind w:left="-170" w:right="397"/>
              <w:jc w:val="right"/>
              <w:rPr>
                <w:b/>
                <w:color w:val="0070AD" w:themeColor="accent1"/>
                <w:sz w:val="14"/>
                <w:szCs w:val="14"/>
              </w:rPr>
            </w:pPr>
            <w:r w:rsidRPr="00F4191D">
              <w:rPr>
                <w:rFonts w:ascii="Verdana" w:hAnsi="Verdana"/>
                <w:b/>
                <w:bCs/>
                <w:color w:val="0070AD"/>
                <w:sz w:val="14"/>
                <w:szCs w:val="14"/>
              </w:rPr>
              <w:t xml:space="preserve">       797 </w:t>
            </w:r>
          </w:p>
        </w:tc>
        <w:tc>
          <w:tcPr>
            <w:tcW w:w="1474" w:type="dxa"/>
            <w:tcBorders>
              <w:top w:val="nil"/>
              <w:left w:val="nil"/>
              <w:bottom w:val="single" w:sz="8" w:space="0" w:color="0070AD"/>
              <w:right w:val="nil"/>
            </w:tcBorders>
            <w:shd w:val="clear" w:color="000000" w:fill="BBE7FF"/>
            <w:vAlign w:val="center"/>
          </w:tcPr>
          <w:p w14:paraId="7BAD9FAE" w14:textId="3BB5223E" w:rsidR="00576365" w:rsidRPr="00F4191D" w:rsidRDefault="00576365" w:rsidP="00576365">
            <w:pPr>
              <w:keepNext/>
              <w:ind w:left="-170" w:right="397"/>
              <w:jc w:val="right"/>
              <w:rPr>
                <w:b/>
                <w:color w:val="0070AD" w:themeColor="accent1"/>
                <w:sz w:val="14"/>
                <w:szCs w:val="14"/>
              </w:rPr>
            </w:pPr>
            <w:r w:rsidRPr="00F4191D">
              <w:rPr>
                <w:rFonts w:ascii="Verdana" w:hAnsi="Verdana"/>
                <w:b/>
                <w:bCs/>
                <w:color w:val="0070AD"/>
                <w:sz w:val="14"/>
                <w:szCs w:val="14"/>
              </w:rPr>
              <w:t xml:space="preserve">           818 </w:t>
            </w:r>
          </w:p>
        </w:tc>
        <w:tc>
          <w:tcPr>
            <w:tcW w:w="1134" w:type="dxa"/>
            <w:tcBorders>
              <w:top w:val="nil"/>
              <w:left w:val="nil"/>
              <w:bottom w:val="single" w:sz="8" w:space="0" w:color="0070AD"/>
              <w:right w:val="nil"/>
            </w:tcBorders>
            <w:shd w:val="clear" w:color="000000" w:fill="FFFFFF"/>
            <w:vAlign w:val="center"/>
          </w:tcPr>
          <w:p w14:paraId="4ED3D6B6" w14:textId="33AD3485" w:rsidR="00576365" w:rsidRPr="00F4191D" w:rsidRDefault="00576365" w:rsidP="00576365">
            <w:pPr>
              <w:keepNext/>
              <w:jc w:val="center"/>
              <w:rPr>
                <w:b/>
                <w:color w:val="0070AD" w:themeColor="accent1"/>
                <w:sz w:val="14"/>
                <w:szCs w:val="14"/>
              </w:rPr>
            </w:pPr>
            <w:r w:rsidRPr="00F4191D">
              <w:rPr>
                <w:rFonts w:ascii="Verdana" w:hAnsi="Verdana"/>
                <w:b/>
                <w:bCs/>
                <w:color w:val="0070AD"/>
                <w:sz w:val="14"/>
                <w:szCs w:val="14"/>
              </w:rPr>
              <w:t>+3%</w:t>
            </w:r>
          </w:p>
        </w:tc>
      </w:tr>
      <w:tr w:rsidR="00576365" w:rsidRPr="00F4191D" w14:paraId="0E845C20" w14:textId="77777777" w:rsidTr="00343205">
        <w:trPr>
          <w:trHeight w:val="227"/>
          <w:jc w:val="center"/>
        </w:trPr>
        <w:tc>
          <w:tcPr>
            <w:tcW w:w="5998" w:type="dxa"/>
            <w:tcBorders>
              <w:top w:val="single" w:sz="8" w:space="0" w:color="0070AD" w:themeColor="accent1"/>
            </w:tcBorders>
            <w:shd w:val="clear" w:color="auto" w:fill="auto"/>
            <w:vAlign w:val="center"/>
          </w:tcPr>
          <w:p w14:paraId="63A6AF88" w14:textId="77777777" w:rsidR="00576365" w:rsidRPr="00F4191D" w:rsidRDefault="00576365" w:rsidP="00576365">
            <w:pPr>
              <w:keepNext/>
              <w:rPr>
                <w:rFonts w:cs="Arial"/>
                <w:i/>
                <w:sz w:val="14"/>
                <w:szCs w:val="14"/>
              </w:rPr>
            </w:pPr>
            <w:r w:rsidRPr="00F4191D">
              <w:rPr>
                <w:i/>
                <w:sz w:val="14"/>
                <w:szCs w:val="14"/>
              </w:rPr>
              <w:t>as a % of revenues</w:t>
            </w:r>
          </w:p>
        </w:tc>
        <w:tc>
          <w:tcPr>
            <w:tcW w:w="1474" w:type="dxa"/>
            <w:tcBorders>
              <w:top w:val="nil"/>
              <w:left w:val="nil"/>
              <w:bottom w:val="nil"/>
              <w:right w:val="nil"/>
            </w:tcBorders>
            <w:shd w:val="clear" w:color="auto" w:fill="auto"/>
            <w:vAlign w:val="center"/>
          </w:tcPr>
          <w:p w14:paraId="0CA8E660" w14:textId="17271E4B" w:rsidR="00576365" w:rsidRPr="00F4191D" w:rsidRDefault="00576365" w:rsidP="00576365">
            <w:pPr>
              <w:keepNext/>
              <w:ind w:left="-170" w:right="397"/>
              <w:jc w:val="right"/>
              <w:rPr>
                <w:rFonts w:cs="Arial"/>
                <w:i/>
                <w:sz w:val="14"/>
                <w:szCs w:val="14"/>
              </w:rPr>
            </w:pPr>
            <w:r w:rsidRPr="00F4191D">
              <w:rPr>
                <w:rFonts w:ascii="Verdana" w:hAnsi="Verdana"/>
                <w:color w:val="000000"/>
                <w:sz w:val="14"/>
                <w:szCs w:val="14"/>
              </w:rPr>
              <w:t>11.4%</w:t>
            </w:r>
          </w:p>
        </w:tc>
        <w:tc>
          <w:tcPr>
            <w:tcW w:w="1474" w:type="dxa"/>
            <w:tcBorders>
              <w:top w:val="nil"/>
              <w:left w:val="nil"/>
              <w:bottom w:val="nil"/>
              <w:right w:val="nil"/>
            </w:tcBorders>
            <w:shd w:val="clear" w:color="000000" w:fill="BBE7FF"/>
            <w:vAlign w:val="center"/>
          </w:tcPr>
          <w:p w14:paraId="469AAEEA" w14:textId="3B7D13DF" w:rsidR="00576365" w:rsidRPr="00F4191D" w:rsidRDefault="00576365" w:rsidP="00576365">
            <w:pPr>
              <w:keepNext/>
              <w:ind w:left="-170" w:right="397"/>
              <w:jc w:val="right"/>
              <w:rPr>
                <w:rFonts w:cs="Arial"/>
                <w:i/>
                <w:sz w:val="14"/>
                <w:szCs w:val="14"/>
              </w:rPr>
            </w:pPr>
            <w:r w:rsidRPr="00F4191D">
              <w:rPr>
                <w:rFonts w:ascii="Verdana" w:hAnsi="Verdana"/>
                <w:color w:val="000000"/>
                <w:sz w:val="14"/>
                <w:szCs w:val="14"/>
              </w:rPr>
              <w:t>10.8%</w:t>
            </w:r>
          </w:p>
        </w:tc>
        <w:tc>
          <w:tcPr>
            <w:tcW w:w="1134" w:type="dxa"/>
            <w:tcBorders>
              <w:top w:val="nil"/>
              <w:left w:val="nil"/>
              <w:bottom w:val="nil"/>
              <w:right w:val="nil"/>
            </w:tcBorders>
            <w:shd w:val="clear" w:color="000000" w:fill="FFFFFF"/>
            <w:vAlign w:val="center"/>
          </w:tcPr>
          <w:p w14:paraId="37353022" w14:textId="6D468891" w:rsidR="00576365" w:rsidRPr="00F4191D" w:rsidRDefault="00576365" w:rsidP="00576365">
            <w:pPr>
              <w:keepNext/>
              <w:jc w:val="center"/>
              <w:rPr>
                <w:rFonts w:cs="Arial"/>
                <w:i/>
                <w:sz w:val="14"/>
                <w:szCs w:val="14"/>
              </w:rPr>
            </w:pPr>
            <w:r w:rsidRPr="00F4191D">
              <w:rPr>
                <w:rFonts w:ascii="Verdana" w:hAnsi="Verdana"/>
                <w:i/>
                <w:iCs/>
                <w:color w:val="000000"/>
                <w:sz w:val="14"/>
                <w:szCs w:val="14"/>
              </w:rPr>
              <w:t>-60 bp</w:t>
            </w:r>
          </w:p>
        </w:tc>
      </w:tr>
      <w:tr w:rsidR="00576365" w:rsidRPr="00F4191D" w14:paraId="4BF9ACF2" w14:textId="77777777" w:rsidTr="00343205">
        <w:trPr>
          <w:trHeight w:val="227"/>
          <w:jc w:val="center"/>
        </w:trPr>
        <w:tc>
          <w:tcPr>
            <w:tcW w:w="5998" w:type="dxa"/>
            <w:tcBorders>
              <w:bottom w:val="single" w:sz="8" w:space="0" w:color="0070AD" w:themeColor="accent1"/>
            </w:tcBorders>
            <w:shd w:val="clear" w:color="auto" w:fill="auto"/>
            <w:vAlign w:val="center"/>
          </w:tcPr>
          <w:p w14:paraId="06CEEDF4" w14:textId="77777777" w:rsidR="00576365" w:rsidRPr="00F4191D" w:rsidRDefault="00576365" w:rsidP="00576365">
            <w:pPr>
              <w:keepNext/>
              <w:ind w:left="149"/>
              <w:rPr>
                <w:rFonts w:cs="Arial"/>
                <w:sz w:val="14"/>
                <w:szCs w:val="14"/>
              </w:rPr>
            </w:pPr>
            <w:r w:rsidRPr="00F4191D">
              <w:rPr>
                <w:sz w:val="14"/>
                <w:szCs w:val="14"/>
              </w:rPr>
              <w:t>Other operating income and expense</w:t>
            </w:r>
          </w:p>
        </w:tc>
        <w:tc>
          <w:tcPr>
            <w:tcW w:w="1474" w:type="dxa"/>
            <w:tcBorders>
              <w:top w:val="nil"/>
              <w:left w:val="nil"/>
              <w:bottom w:val="single" w:sz="8" w:space="0" w:color="0070AD"/>
              <w:right w:val="nil"/>
            </w:tcBorders>
            <w:shd w:val="clear" w:color="auto" w:fill="auto"/>
            <w:vAlign w:val="center"/>
          </w:tcPr>
          <w:p w14:paraId="4B8B5134" w14:textId="737F300C" w:rsidR="00576365" w:rsidRPr="00F4191D" w:rsidRDefault="00576365" w:rsidP="00576365">
            <w:pPr>
              <w:keepNext/>
              <w:ind w:left="-170" w:right="397"/>
              <w:jc w:val="right"/>
              <w:rPr>
                <w:rFonts w:cs="Arial"/>
                <w:sz w:val="14"/>
                <w:szCs w:val="14"/>
              </w:rPr>
            </w:pPr>
            <w:r w:rsidRPr="00F4191D">
              <w:rPr>
                <w:rFonts w:ascii="Verdana" w:hAnsi="Verdana"/>
                <w:sz w:val="14"/>
                <w:szCs w:val="14"/>
              </w:rPr>
              <w:t>(139)</w:t>
            </w:r>
          </w:p>
        </w:tc>
        <w:tc>
          <w:tcPr>
            <w:tcW w:w="1474" w:type="dxa"/>
            <w:tcBorders>
              <w:top w:val="nil"/>
              <w:left w:val="nil"/>
              <w:bottom w:val="single" w:sz="8" w:space="0" w:color="0070AD"/>
              <w:right w:val="nil"/>
            </w:tcBorders>
            <w:shd w:val="clear" w:color="000000" w:fill="BBE7FF"/>
            <w:vAlign w:val="center"/>
          </w:tcPr>
          <w:p w14:paraId="3AB70E22" w14:textId="6DE2776A" w:rsidR="00576365" w:rsidRPr="00F4191D" w:rsidRDefault="00664FDA" w:rsidP="00576365">
            <w:pPr>
              <w:keepNext/>
              <w:ind w:left="-170" w:right="397"/>
              <w:jc w:val="right"/>
              <w:rPr>
                <w:rFonts w:cs="Arial"/>
                <w:sz w:val="14"/>
                <w:szCs w:val="14"/>
              </w:rPr>
            </w:pPr>
            <w:r>
              <w:rPr>
                <w:rFonts w:ascii="Verdana" w:hAnsi="Verdana"/>
                <w:color w:val="000000"/>
                <w:sz w:val="14"/>
                <w:szCs w:val="14"/>
              </w:rPr>
              <w:t>(</w:t>
            </w:r>
            <w:r w:rsidR="00576365" w:rsidRPr="00F4191D">
              <w:rPr>
                <w:rFonts w:ascii="Verdana" w:hAnsi="Verdana"/>
                <w:color w:val="000000"/>
                <w:sz w:val="14"/>
                <w:szCs w:val="14"/>
              </w:rPr>
              <w:t>241</w:t>
            </w:r>
            <w:r>
              <w:rPr>
                <w:rFonts w:ascii="Verdana" w:hAnsi="Verdana"/>
                <w:color w:val="000000"/>
                <w:sz w:val="14"/>
                <w:szCs w:val="14"/>
              </w:rPr>
              <w:t>)</w:t>
            </w:r>
          </w:p>
        </w:tc>
        <w:tc>
          <w:tcPr>
            <w:tcW w:w="1134" w:type="dxa"/>
            <w:tcBorders>
              <w:top w:val="nil"/>
              <w:left w:val="nil"/>
              <w:bottom w:val="single" w:sz="8" w:space="0" w:color="0070AD"/>
              <w:right w:val="nil"/>
            </w:tcBorders>
            <w:shd w:val="clear" w:color="000000" w:fill="FFFFFF"/>
            <w:vAlign w:val="center"/>
          </w:tcPr>
          <w:p w14:paraId="1BA60AD1" w14:textId="07DDC3BE" w:rsidR="00576365" w:rsidRPr="00F4191D" w:rsidRDefault="00576365" w:rsidP="00576365">
            <w:pPr>
              <w:keepNext/>
              <w:jc w:val="center"/>
              <w:rPr>
                <w:rFonts w:cs="Arial"/>
                <w:sz w:val="14"/>
                <w:szCs w:val="14"/>
              </w:rPr>
            </w:pPr>
          </w:p>
        </w:tc>
      </w:tr>
      <w:tr w:rsidR="00576365" w:rsidRPr="00F4191D" w14:paraId="66FCEA6F" w14:textId="77777777" w:rsidTr="00343205">
        <w:trPr>
          <w:trHeight w:val="227"/>
          <w:jc w:val="center"/>
        </w:trPr>
        <w:tc>
          <w:tcPr>
            <w:tcW w:w="5998" w:type="dxa"/>
            <w:tcBorders>
              <w:top w:val="single" w:sz="8" w:space="0" w:color="0070AD" w:themeColor="accent1"/>
              <w:bottom w:val="single" w:sz="8" w:space="0" w:color="0070AD" w:themeColor="accent1"/>
            </w:tcBorders>
            <w:shd w:val="clear" w:color="auto" w:fill="auto"/>
            <w:vAlign w:val="center"/>
          </w:tcPr>
          <w:p w14:paraId="446CA285" w14:textId="77777777" w:rsidR="00576365" w:rsidRPr="00F4191D" w:rsidRDefault="00576365" w:rsidP="00576365">
            <w:pPr>
              <w:keepNext/>
              <w:rPr>
                <w:rFonts w:cs="Arial"/>
                <w:b/>
                <w:color w:val="0070AD" w:themeColor="accent1"/>
                <w:sz w:val="14"/>
                <w:szCs w:val="14"/>
              </w:rPr>
            </w:pPr>
            <w:r w:rsidRPr="00F4191D">
              <w:rPr>
                <w:b/>
                <w:color w:val="0070AD" w:themeColor="accent1"/>
                <w:sz w:val="14"/>
                <w:szCs w:val="14"/>
              </w:rPr>
              <w:t>Operating profit</w:t>
            </w:r>
          </w:p>
        </w:tc>
        <w:tc>
          <w:tcPr>
            <w:tcW w:w="1474" w:type="dxa"/>
            <w:tcBorders>
              <w:top w:val="nil"/>
              <w:left w:val="nil"/>
              <w:bottom w:val="single" w:sz="8" w:space="0" w:color="0070AD"/>
              <w:right w:val="nil"/>
            </w:tcBorders>
            <w:shd w:val="clear" w:color="auto" w:fill="auto"/>
            <w:vAlign w:val="center"/>
          </w:tcPr>
          <w:p w14:paraId="16A3A3A8" w14:textId="036E1C39" w:rsidR="00576365" w:rsidRPr="00F4191D" w:rsidRDefault="00576365" w:rsidP="00576365">
            <w:pPr>
              <w:keepNext/>
              <w:ind w:left="-170" w:right="397"/>
              <w:jc w:val="right"/>
              <w:rPr>
                <w:rFonts w:cs="Arial"/>
                <w:b/>
                <w:color w:val="0070AD" w:themeColor="accent1"/>
                <w:sz w:val="14"/>
                <w:szCs w:val="14"/>
              </w:rPr>
            </w:pPr>
            <w:r w:rsidRPr="00F4191D">
              <w:rPr>
                <w:rFonts w:ascii="Verdana" w:hAnsi="Verdana"/>
                <w:b/>
                <w:bCs/>
                <w:color w:val="0070AD"/>
                <w:sz w:val="14"/>
                <w:szCs w:val="14"/>
              </w:rPr>
              <w:t xml:space="preserve">      658 </w:t>
            </w:r>
          </w:p>
        </w:tc>
        <w:tc>
          <w:tcPr>
            <w:tcW w:w="1474" w:type="dxa"/>
            <w:tcBorders>
              <w:top w:val="nil"/>
              <w:left w:val="nil"/>
              <w:bottom w:val="single" w:sz="8" w:space="0" w:color="0070AD"/>
              <w:right w:val="nil"/>
            </w:tcBorders>
            <w:shd w:val="clear" w:color="000000" w:fill="BBE7FF"/>
            <w:vAlign w:val="center"/>
          </w:tcPr>
          <w:p w14:paraId="1ECA279E" w14:textId="11E504CE" w:rsidR="00576365" w:rsidRPr="00F4191D" w:rsidRDefault="00576365" w:rsidP="00576365">
            <w:pPr>
              <w:keepNext/>
              <w:ind w:left="-170" w:right="397"/>
              <w:jc w:val="right"/>
              <w:rPr>
                <w:rFonts w:cs="Arial"/>
                <w:b/>
                <w:color w:val="0070AD" w:themeColor="accent1"/>
                <w:sz w:val="14"/>
                <w:szCs w:val="14"/>
              </w:rPr>
            </w:pPr>
            <w:r w:rsidRPr="00F4191D">
              <w:rPr>
                <w:rFonts w:ascii="Verdana" w:hAnsi="Verdana"/>
                <w:b/>
                <w:bCs/>
                <w:color w:val="0070AD"/>
                <w:sz w:val="14"/>
                <w:szCs w:val="14"/>
              </w:rPr>
              <w:t xml:space="preserve">          577 </w:t>
            </w:r>
          </w:p>
        </w:tc>
        <w:tc>
          <w:tcPr>
            <w:tcW w:w="1134" w:type="dxa"/>
            <w:tcBorders>
              <w:top w:val="nil"/>
              <w:left w:val="nil"/>
              <w:bottom w:val="single" w:sz="8" w:space="0" w:color="0070AD"/>
              <w:right w:val="nil"/>
            </w:tcBorders>
            <w:shd w:val="clear" w:color="000000" w:fill="FFFFFF"/>
            <w:vAlign w:val="center"/>
          </w:tcPr>
          <w:p w14:paraId="4C5EAC18" w14:textId="240C0D14" w:rsidR="00576365" w:rsidRPr="00F4191D" w:rsidRDefault="00576365" w:rsidP="00576365">
            <w:pPr>
              <w:keepNext/>
              <w:jc w:val="center"/>
              <w:rPr>
                <w:rFonts w:cs="Arial"/>
                <w:b/>
                <w:color w:val="0070AD" w:themeColor="accent1"/>
                <w:sz w:val="14"/>
                <w:szCs w:val="14"/>
              </w:rPr>
            </w:pPr>
            <w:r w:rsidRPr="00F4191D">
              <w:rPr>
                <w:rFonts w:ascii="Verdana" w:hAnsi="Verdana"/>
                <w:b/>
                <w:bCs/>
                <w:color w:val="0070AD"/>
                <w:sz w:val="14"/>
                <w:szCs w:val="14"/>
              </w:rPr>
              <w:t>-12%</w:t>
            </w:r>
          </w:p>
        </w:tc>
      </w:tr>
      <w:tr w:rsidR="00576365" w:rsidRPr="00F4191D" w14:paraId="5AEF7389" w14:textId="77777777" w:rsidTr="00343205">
        <w:trPr>
          <w:trHeight w:val="227"/>
          <w:jc w:val="center"/>
        </w:trPr>
        <w:tc>
          <w:tcPr>
            <w:tcW w:w="5998" w:type="dxa"/>
            <w:tcBorders>
              <w:top w:val="single" w:sz="8" w:space="0" w:color="0070AD" w:themeColor="accent1"/>
            </w:tcBorders>
            <w:shd w:val="clear" w:color="auto" w:fill="auto"/>
            <w:vAlign w:val="center"/>
          </w:tcPr>
          <w:p w14:paraId="0FBA9CBD" w14:textId="77777777" w:rsidR="00576365" w:rsidRPr="00F4191D" w:rsidRDefault="00576365" w:rsidP="00576365">
            <w:pPr>
              <w:keepNext/>
              <w:rPr>
                <w:rFonts w:cs="Arial"/>
                <w:i/>
                <w:sz w:val="14"/>
                <w:szCs w:val="14"/>
              </w:rPr>
            </w:pPr>
            <w:r w:rsidRPr="00F4191D">
              <w:rPr>
                <w:i/>
                <w:sz w:val="14"/>
                <w:szCs w:val="14"/>
              </w:rPr>
              <w:t>as a % of revenues</w:t>
            </w:r>
          </w:p>
        </w:tc>
        <w:tc>
          <w:tcPr>
            <w:tcW w:w="1474" w:type="dxa"/>
            <w:tcBorders>
              <w:top w:val="nil"/>
              <w:left w:val="nil"/>
              <w:bottom w:val="nil"/>
              <w:right w:val="nil"/>
            </w:tcBorders>
            <w:shd w:val="clear" w:color="auto" w:fill="auto"/>
            <w:vAlign w:val="center"/>
          </w:tcPr>
          <w:p w14:paraId="051BAE2B" w14:textId="7A391212" w:rsidR="00576365" w:rsidRPr="00F4191D" w:rsidRDefault="00576365" w:rsidP="00576365">
            <w:pPr>
              <w:keepNext/>
              <w:ind w:left="-170" w:right="397"/>
              <w:jc w:val="right"/>
              <w:rPr>
                <w:rFonts w:cs="Arial"/>
                <w:i/>
                <w:sz w:val="14"/>
                <w:szCs w:val="14"/>
              </w:rPr>
            </w:pPr>
            <w:r w:rsidRPr="00F4191D">
              <w:rPr>
                <w:rFonts w:ascii="Verdana" w:hAnsi="Verdana"/>
                <w:color w:val="000000"/>
                <w:sz w:val="14"/>
                <w:szCs w:val="14"/>
              </w:rPr>
              <w:t>9.4%</w:t>
            </w:r>
          </w:p>
        </w:tc>
        <w:tc>
          <w:tcPr>
            <w:tcW w:w="1474" w:type="dxa"/>
            <w:tcBorders>
              <w:top w:val="nil"/>
              <w:left w:val="nil"/>
              <w:bottom w:val="nil"/>
              <w:right w:val="nil"/>
            </w:tcBorders>
            <w:shd w:val="clear" w:color="000000" w:fill="BBE7FF"/>
            <w:vAlign w:val="center"/>
          </w:tcPr>
          <w:p w14:paraId="11F5613E" w14:textId="5FF66445" w:rsidR="00576365" w:rsidRPr="00F4191D" w:rsidRDefault="00576365" w:rsidP="00343205">
            <w:pPr>
              <w:keepNext/>
              <w:ind w:left="-170" w:right="397"/>
              <w:jc w:val="right"/>
              <w:rPr>
                <w:rFonts w:cs="Arial"/>
                <w:i/>
                <w:sz w:val="14"/>
                <w:szCs w:val="14"/>
              </w:rPr>
            </w:pPr>
            <w:r w:rsidRPr="00F4191D">
              <w:rPr>
                <w:rFonts w:ascii="Verdana" w:hAnsi="Verdana"/>
                <w:color w:val="000000"/>
                <w:sz w:val="14"/>
                <w:szCs w:val="14"/>
              </w:rPr>
              <w:t>7.6%</w:t>
            </w:r>
          </w:p>
        </w:tc>
        <w:tc>
          <w:tcPr>
            <w:tcW w:w="1134" w:type="dxa"/>
            <w:tcBorders>
              <w:top w:val="nil"/>
              <w:left w:val="nil"/>
              <w:bottom w:val="nil"/>
              <w:right w:val="nil"/>
            </w:tcBorders>
            <w:shd w:val="clear" w:color="000000" w:fill="FFFFFF"/>
            <w:vAlign w:val="center"/>
          </w:tcPr>
          <w:p w14:paraId="0DA05527" w14:textId="73F791A7" w:rsidR="00576365" w:rsidRPr="00F4191D" w:rsidRDefault="00576365" w:rsidP="00576365">
            <w:pPr>
              <w:keepNext/>
              <w:jc w:val="center"/>
              <w:rPr>
                <w:rFonts w:cs="Arial"/>
                <w:i/>
                <w:sz w:val="14"/>
                <w:szCs w:val="14"/>
              </w:rPr>
            </w:pPr>
            <w:r w:rsidRPr="00F4191D">
              <w:rPr>
                <w:rFonts w:ascii="Verdana" w:hAnsi="Verdana"/>
                <w:i/>
                <w:iCs/>
                <w:color w:val="000000"/>
                <w:sz w:val="14"/>
                <w:szCs w:val="14"/>
              </w:rPr>
              <w:t>-180 bp</w:t>
            </w:r>
          </w:p>
        </w:tc>
      </w:tr>
      <w:tr w:rsidR="00576365" w:rsidRPr="00F4191D" w14:paraId="22B2C127" w14:textId="77777777" w:rsidTr="00343205">
        <w:trPr>
          <w:trHeight w:val="102"/>
          <w:jc w:val="center"/>
        </w:trPr>
        <w:tc>
          <w:tcPr>
            <w:tcW w:w="5998" w:type="dxa"/>
            <w:shd w:val="clear" w:color="auto" w:fill="auto"/>
            <w:vAlign w:val="center"/>
          </w:tcPr>
          <w:p w14:paraId="2F303BB7" w14:textId="77777777" w:rsidR="00576365" w:rsidRPr="00F4191D" w:rsidRDefault="00576365" w:rsidP="00576365">
            <w:pPr>
              <w:keepNext/>
              <w:ind w:left="149"/>
              <w:rPr>
                <w:rFonts w:cs="Arial"/>
                <w:sz w:val="14"/>
                <w:szCs w:val="14"/>
              </w:rPr>
            </w:pPr>
            <w:r w:rsidRPr="00F4191D">
              <w:rPr>
                <w:sz w:val="14"/>
                <w:szCs w:val="14"/>
              </w:rPr>
              <w:t>Net financial expense</w:t>
            </w:r>
          </w:p>
        </w:tc>
        <w:tc>
          <w:tcPr>
            <w:tcW w:w="1474" w:type="dxa"/>
            <w:tcBorders>
              <w:top w:val="nil"/>
              <w:left w:val="nil"/>
              <w:bottom w:val="nil"/>
              <w:right w:val="nil"/>
            </w:tcBorders>
            <w:shd w:val="clear" w:color="auto" w:fill="auto"/>
            <w:vAlign w:val="center"/>
          </w:tcPr>
          <w:p w14:paraId="686FB95D" w14:textId="4848BA77" w:rsidR="00576365" w:rsidRPr="00F4191D" w:rsidRDefault="00576365" w:rsidP="00576365">
            <w:pPr>
              <w:keepNext/>
              <w:ind w:left="-170" w:right="397"/>
              <w:jc w:val="right"/>
              <w:rPr>
                <w:rFonts w:cs="Arial"/>
                <w:sz w:val="14"/>
                <w:szCs w:val="14"/>
              </w:rPr>
            </w:pPr>
            <w:r w:rsidRPr="00F4191D">
              <w:rPr>
                <w:rFonts w:ascii="Verdana" w:hAnsi="Verdana"/>
                <w:color w:val="000000"/>
                <w:sz w:val="14"/>
                <w:szCs w:val="14"/>
              </w:rPr>
              <w:t xml:space="preserve">            (39)</w:t>
            </w:r>
          </w:p>
        </w:tc>
        <w:tc>
          <w:tcPr>
            <w:tcW w:w="1474" w:type="dxa"/>
            <w:tcBorders>
              <w:top w:val="nil"/>
              <w:left w:val="nil"/>
              <w:bottom w:val="nil"/>
              <w:right w:val="nil"/>
            </w:tcBorders>
            <w:shd w:val="clear" w:color="000000" w:fill="BBE7FF"/>
            <w:vAlign w:val="center"/>
          </w:tcPr>
          <w:p w14:paraId="2127157B" w14:textId="4AE34661" w:rsidR="00576365" w:rsidRPr="00F4191D" w:rsidRDefault="00576365" w:rsidP="00343205">
            <w:pPr>
              <w:keepNext/>
              <w:ind w:right="397"/>
              <w:jc w:val="right"/>
              <w:rPr>
                <w:rFonts w:cs="Arial"/>
                <w:sz w:val="14"/>
                <w:szCs w:val="14"/>
              </w:rPr>
            </w:pPr>
            <w:r w:rsidRPr="00F4191D">
              <w:rPr>
                <w:rFonts w:ascii="Verdana" w:hAnsi="Verdana"/>
                <w:color w:val="000000"/>
                <w:sz w:val="14"/>
                <w:szCs w:val="14"/>
              </w:rPr>
              <w:t xml:space="preserve">           (64)</w:t>
            </w:r>
          </w:p>
        </w:tc>
        <w:tc>
          <w:tcPr>
            <w:tcW w:w="1134" w:type="dxa"/>
            <w:tcBorders>
              <w:top w:val="nil"/>
              <w:left w:val="nil"/>
              <w:bottom w:val="nil"/>
              <w:right w:val="nil"/>
            </w:tcBorders>
            <w:shd w:val="clear" w:color="000000" w:fill="FFFFFF"/>
            <w:vAlign w:val="center"/>
          </w:tcPr>
          <w:p w14:paraId="736FCA5A" w14:textId="12AEFF76" w:rsidR="00576365" w:rsidRPr="00F4191D" w:rsidRDefault="00576365" w:rsidP="00576365">
            <w:pPr>
              <w:keepNext/>
              <w:jc w:val="center"/>
              <w:rPr>
                <w:rFonts w:cs="Arial"/>
                <w:sz w:val="14"/>
                <w:szCs w:val="14"/>
              </w:rPr>
            </w:pPr>
          </w:p>
        </w:tc>
      </w:tr>
      <w:tr w:rsidR="00576365" w:rsidRPr="00F4191D" w14:paraId="05A804B1" w14:textId="77777777" w:rsidTr="00343205">
        <w:trPr>
          <w:trHeight w:val="227"/>
          <w:jc w:val="center"/>
        </w:trPr>
        <w:tc>
          <w:tcPr>
            <w:tcW w:w="5998" w:type="dxa"/>
            <w:shd w:val="clear" w:color="auto" w:fill="auto"/>
            <w:vAlign w:val="center"/>
          </w:tcPr>
          <w:p w14:paraId="3EA8C2B8" w14:textId="77777777" w:rsidR="00576365" w:rsidRPr="00F4191D" w:rsidRDefault="00576365" w:rsidP="00576365">
            <w:pPr>
              <w:keepNext/>
              <w:ind w:left="149"/>
              <w:rPr>
                <w:rFonts w:cs="Arial"/>
                <w:sz w:val="14"/>
                <w:szCs w:val="14"/>
              </w:rPr>
            </w:pPr>
            <w:r w:rsidRPr="00F4191D">
              <w:rPr>
                <w:sz w:val="14"/>
                <w:szCs w:val="14"/>
              </w:rPr>
              <w:t>Income tax income/(expense)</w:t>
            </w:r>
          </w:p>
        </w:tc>
        <w:tc>
          <w:tcPr>
            <w:tcW w:w="1474" w:type="dxa"/>
            <w:tcBorders>
              <w:top w:val="nil"/>
              <w:left w:val="nil"/>
              <w:bottom w:val="nil"/>
              <w:right w:val="nil"/>
            </w:tcBorders>
            <w:shd w:val="clear" w:color="auto" w:fill="auto"/>
            <w:vAlign w:val="center"/>
          </w:tcPr>
          <w:p w14:paraId="6B42E69B" w14:textId="3A92AD1C" w:rsidR="00576365" w:rsidRPr="00F4191D" w:rsidRDefault="00576365" w:rsidP="00576365">
            <w:pPr>
              <w:keepNext/>
              <w:ind w:left="-170" w:right="397"/>
              <w:jc w:val="right"/>
              <w:rPr>
                <w:rFonts w:cs="Arial"/>
                <w:sz w:val="14"/>
                <w:szCs w:val="14"/>
              </w:rPr>
            </w:pPr>
            <w:r w:rsidRPr="00F4191D">
              <w:rPr>
                <w:rFonts w:ascii="Verdana" w:hAnsi="Verdana"/>
                <w:color w:val="000000"/>
                <w:sz w:val="14"/>
                <w:szCs w:val="14"/>
              </w:rPr>
              <w:t xml:space="preserve">          (232)</w:t>
            </w:r>
          </w:p>
        </w:tc>
        <w:tc>
          <w:tcPr>
            <w:tcW w:w="1474" w:type="dxa"/>
            <w:tcBorders>
              <w:top w:val="nil"/>
              <w:left w:val="nil"/>
              <w:bottom w:val="nil"/>
              <w:right w:val="nil"/>
            </w:tcBorders>
            <w:shd w:val="clear" w:color="000000" w:fill="BBE7FF"/>
            <w:vAlign w:val="center"/>
          </w:tcPr>
          <w:p w14:paraId="0095B961" w14:textId="0F68C9EC" w:rsidR="00576365" w:rsidRPr="00F4191D" w:rsidRDefault="00576365" w:rsidP="00343205">
            <w:pPr>
              <w:keepNext/>
              <w:ind w:right="397"/>
              <w:jc w:val="right"/>
              <w:rPr>
                <w:rFonts w:cs="Arial"/>
                <w:sz w:val="14"/>
                <w:szCs w:val="14"/>
              </w:rPr>
            </w:pPr>
            <w:r w:rsidRPr="00F4191D">
              <w:rPr>
                <w:rFonts w:ascii="Verdana" w:hAnsi="Verdana"/>
                <w:color w:val="000000"/>
                <w:sz w:val="14"/>
                <w:szCs w:val="14"/>
              </w:rPr>
              <w:t xml:space="preserve">         (204)</w:t>
            </w:r>
          </w:p>
        </w:tc>
        <w:tc>
          <w:tcPr>
            <w:tcW w:w="1134" w:type="dxa"/>
            <w:tcBorders>
              <w:top w:val="nil"/>
              <w:left w:val="nil"/>
              <w:bottom w:val="nil"/>
              <w:right w:val="nil"/>
            </w:tcBorders>
            <w:shd w:val="clear" w:color="000000" w:fill="FFFFFF"/>
            <w:vAlign w:val="center"/>
          </w:tcPr>
          <w:p w14:paraId="0AF57577" w14:textId="5E8B0E68" w:rsidR="00576365" w:rsidRPr="00F4191D" w:rsidRDefault="00576365" w:rsidP="00576365">
            <w:pPr>
              <w:keepNext/>
              <w:jc w:val="center"/>
              <w:rPr>
                <w:rFonts w:cs="Arial"/>
                <w:sz w:val="14"/>
                <w:szCs w:val="14"/>
              </w:rPr>
            </w:pPr>
          </w:p>
        </w:tc>
      </w:tr>
      <w:tr w:rsidR="00576365" w:rsidRPr="00F4191D" w14:paraId="15C2EDEB" w14:textId="77777777" w:rsidTr="00343205">
        <w:trPr>
          <w:trHeight w:val="227"/>
          <w:jc w:val="center"/>
        </w:trPr>
        <w:tc>
          <w:tcPr>
            <w:tcW w:w="5998" w:type="dxa"/>
            <w:tcBorders>
              <w:bottom w:val="single" w:sz="8" w:space="0" w:color="0070AD" w:themeColor="accent1"/>
            </w:tcBorders>
            <w:shd w:val="clear" w:color="auto" w:fill="auto"/>
            <w:vAlign w:val="center"/>
          </w:tcPr>
          <w:p w14:paraId="19C8AA98" w14:textId="77777777" w:rsidR="00576365" w:rsidRPr="00F4191D" w:rsidRDefault="00576365" w:rsidP="00576365">
            <w:pPr>
              <w:keepNext/>
              <w:ind w:left="149"/>
              <w:rPr>
                <w:rFonts w:cs="Arial"/>
                <w:sz w:val="14"/>
                <w:szCs w:val="14"/>
              </w:rPr>
            </w:pPr>
            <w:r w:rsidRPr="00F4191D">
              <w:rPr>
                <w:sz w:val="14"/>
                <w:szCs w:val="14"/>
              </w:rPr>
              <w:t>(-) Non-controlling interests</w:t>
            </w:r>
          </w:p>
        </w:tc>
        <w:tc>
          <w:tcPr>
            <w:tcW w:w="1474" w:type="dxa"/>
            <w:tcBorders>
              <w:top w:val="nil"/>
              <w:left w:val="nil"/>
              <w:bottom w:val="single" w:sz="8" w:space="0" w:color="0070AD"/>
              <w:right w:val="nil"/>
            </w:tcBorders>
            <w:shd w:val="clear" w:color="auto" w:fill="auto"/>
            <w:vAlign w:val="center"/>
          </w:tcPr>
          <w:p w14:paraId="42455276" w14:textId="512BBE4C" w:rsidR="00576365" w:rsidRPr="00F4191D" w:rsidRDefault="00576365" w:rsidP="00576365">
            <w:pPr>
              <w:keepNext/>
              <w:ind w:left="-170" w:right="397"/>
              <w:jc w:val="right"/>
              <w:rPr>
                <w:rFonts w:cs="Arial"/>
                <w:sz w:val="14"/>
                <w:szCs w:val="14"/>
              </w:rPr>
            </w:pPr>
            <w:r w:rsidRPr="00F4191D">
              <w:rPr>
                <w:rFonts w:ascii="Verdana" w:hAnsi="Verdana"/>
                <w:color w:val="000000"/>
                <w:sz w:val="14"/>
                <w:szCs w:val="14"/>
              </w:rPr>
              <w:t xml:space="preserve">                  1 </w:t>
            </w:r>
          </w:p>
        </w:tc>
        <w:tc>
          <w:tcPr>
            <w:tcW w:w="1474" w:type="dxa"/>
            <w:tcBorders>
              <w:top w:val="nil"/>
              <w:left w:val="nil"/>
              <w:bottom w:val="single" w:sz="8" w:space="0" w:color="0070AD"/>
              <w:right w:val="nil"/>
            </w:tcBorders>
            <w:shd w:val="clear" w:color="000000" w:fill="BBE7FF"/>
            <w:vAlign w:val="center"/>
          </w:tcPr>
          <w:p w14:paraId="787954C3" w14:textId="0B7F5E80" w:rsidR="00576365" w:rsidRPr="00F4191D" w:rsidRDefault="00576365" w:rsidP="00343205">
            <w:pPr>
              <w:keepNext/>
              <w:ind w:right="397"/>
              <w:jc w:val="right"/>
              <w:rPr>
                <w:rFonts w:cs="Arial"/>
                <w:sz w:val="14"/>
                <w:szCs w:val="14"/>
              </w:rPr>
            </w:pPr>
            <w:r w:rsidRPr="00F4191D">
              <w:rPr>
                <w:rFonts w:ascii="Verdana" w:hAnsi="Verdana"/>
                <w:color w:val="000000"/>
                <w:sz w:val="14"/>
                <w:szCs w:val="14"/>
              </w:rPr>
              <w:t xml:space="preserve">2 </w:t>
            </w:r>
          </w:p>
        </w:tc>
        <w:tc>
          <w:tcPr>
            <w:tcW w:w="1134" w:type="dxa"/>
            <w:tcBorders>
              <w:top w:val="nil"/>
              <w:left w:val="nil"/>
              <w:bottom w:val="single" w:sz="8" w:space="0" w:color="0070AD"/>
              <w:right w:val="nil"/>
            </w:tcBorders>
            <w:shd w:val="clear" w:color="000000" w:fill="FFFFFF"/>
            <w:vAlign w:val="center"/>
          </w:tcPr>
          <w:p w14:paraId="61B5C7E8" w14:textId="17B4A2FF" w:rsidR="00576365" w:rsidRPr="00F4191D" w:rsidRDefault="00576365" w:rsidP="00576365">
            <w:pPr>
              <w:keepNext/>
              <w:jc w:val="center"/>
              <w:rPr>
                <w:rFonts w:cs="Arial"/>
                <w:sz w:val="14"/>
                <w:szCs w:val="14"/>
              </w:rPr>
            </w:pPr>
          </w:p>
        </w:tc>
      </w:tr>
      <w:tr w:rsidR="00576365" w:rsidRPr="00F4191D" w14:paraId="7FEC8E8C" w14:textId="77777777" w:rsidTr="00343205">
        <w:trPr>
          <w:trHeight w:val="227"/>
          <w:jc w:val="center"/>
        </w:trPr>
        <w:tc>
          <w:tcPr>
            <w:tcW w:w="5998" w:type="dxa"/>
            <w:tcBorders>
              <w:top w:val="single" w:sz="8" w:space="0" w:color="0070AD" w:themeColor="accent1"/>
              <w:bottom w:val="single" w:sz="8" w:space="0" w:color="0070AD" w:themeColor="accent1"/>
            </w:tcBorders>
            <w:shd w:val="clear" w:color="auto" w:fill="auto"/>
            <w:vAlign w:val="center"/>
          </w:tcPr>
          <w:p w14:paraId="722E13A7" w14:textId="77777777" w:rsidR="00576365" w:rsidRPr="00F4191D" w:rsidRDefault="00576365" w:rsidP="00576365">
            <w:pPr>
              <w:keepNext/>
              <w:rPr>
                <w:rFonts w:cs="Arial"/>
                <w:b/>
                <w:color w:val="0070AD" w:themeColor="accent1"/>
                <w:sz w:val="14"/>
                <w:szCs w:val="14"/>
              </w:rPr>
            </w:pPr>
            <w:r w:rsidRPr="00F4191D">
              <w:rPr>
                <w:b/>
                <w:color w:val="0070AD" w:themeColor="accent1"/>
                <w:sz w:val="14"/>
                <w:szCs w:val="14"/>
              </w:rPr>
              <w:t>Profit for the period, Group share</w:t>
            </w:r>
          </w:p>
        </w:tc>
        <w:tc>
          <w:tcPr>
            <w:tcW w:w="1474" w:type="dxa"/>
            <w:tcBorders>
              <w:top w:val="nil"/>
              <w:left w:val="nil"/>
              <w:bottom w:val="single" w:sz="8" w:space="0" w:color="0070AD"/>
              <w:right w:val="nil"/>
            </w:tcBorders>
            <w:shd w:val="clear" w:color="auto" w:fill="auto"/>
            <w:vAlign w:val="center"/>
          </w:tcPr>
          <w:p w14:paraId="6CB4F237" w14:textId="550B5F46" w:rsidR="00576365" w:rsidRPr="00F4191D" w:rsidRDefault="00576365" w:rsidP="00576365">
            <w:pPr>
              <w:keepNext/>
              <w:ind w:left="-170" w:right="397"/>
              <w:jc w:val="right"/>
              <w:rPr>
                <w:rFonts w:cs="Arial"/>
                <w:b/>
                <w:color w:val="0070AD" w:themeColor="accent1"/>
                <w:sz w:val="14"/>
                <w:szCs w:val="14"/>
              </w:rPr>
            </w:pPr>
            <w:r w:rsidRPr="00F4191D">
              <w:rPr>
                <w:rFonts w:ascii="Verdana" w:hAnsi="Verdana"/>
                <w:b/>
                <w:bCs/>
                <w:color w:val="0070AD"/>
                <w:sz w:val="14"/>
                <w:szCs w:val="14"/>
              </w:rPr>
              <w:t xml:space="preserve">      388 </w:t>
            </w:r>
          </w:p>
        </w:tc>
        <w:tc>
          <w:tcPr>
            <w:tcW w:w="1474" w:type="dxa"/>
            <w:tcBorders>
              <w:top w:val="nil"/>
              <w:left w:val="nil"/>
              <w:bottom w:val="single" w:sz="8" w:space="0" w:color="0070AD"/>
              <w:right w:val="nil"/>
            </w:tcBorders>
            <w:shd w:val="clear" w:color="000000" w:fill="BBE7FF"/>
            <w:vAlign w:val="center"/>
          </w:tcPr>
          <w:p w14:paraId="74BD0E41" w14:textId="44D08BF4" w:rsidR="00576365" w:rsidRPr="00F4191D" w:rsidRDefault="00576365" w:rsidP="00576365">
            <w:pPr>
              <w:keepNext/>
              <w:ind w:left="-170" w:right="397"/>
              <w:jc w:val="right"/>
              <w:rPr>
                <w:rFonts w:cs="Arial"/>
                <w:b/>
                <w:color w:val="0070AD" w:themeColor="accent1"/>
                <w:sz w:val="14"/>
                <w:szCs w:val="14"/>
              </w:rPr>
            </w:pPr>
            <w:r w:rsidRPr="00F4191D">
              <w:rPr>
                <w:rFonts w:ascii="Verdana" w:hAnsi="Verdana"/>
                <w:b/>
                <w:bCs/>
                <w:color w:val="0070AD"/>
                <w:sz w:val="14"/>
                <w:szCs w:val="14"/>
              </w:rPr>
              <w:t xml:space="preserve">           311 </w:t>
            </w:r>
          </w:p>
        </w:tc>
        <w:tc>
          <w:tcPr>
            <w:tcW w:w="1134" w:type="dxa"/>
            <w:tcBorders>
              <w:top w:val="nil"/>
              <w:left w:val="nil"/>
              <w:bottom w:val="single" w:sz="8" w:space="0" w:color="0070AD"/>
              <w:right w:val="nil"/>
            </w:tcBorders>
            <w:shd w:val="clear" w:color="000000" w:fill="FFFFFF"/>
            <w:vAlign w:val="center"/>
          </w:tcPr>
          <w:p w14:paraId="13D8D192" w14:textId="04F167F2" w:rsidR="00576365" w:rsidRPr="00F4191D" w:rsidRDefault="00576365" w:rsidP="00576365">
            <w:pPr>
              <w:keepNext/>
              <w:jc w:val="center"/>
              <w:rPr>
                <w:rFonts w:cs="Arial"/>
                <w:b/>
                <w:color w:val="0070AD" w:themeColor="accent1"/>
                <w:sz w:val="14"/>
                <w:szCs w:val="14"/>
              </w:rPr>
            </w:pPr>
            <w:r w:rsidRPr="00F4191D">
              <w:rPr>
                <w:rFonts w:ascii="Verdana" w:hAnsi="Verdana"/>
                <w:b/>
                <w:bCs/>
                <w:color w:val="0070AD"/>
                <w:sz w:val="14"/>
                <w:szCs w:val="14"/>
              </w:rPr>
              <w:t>-20%</w:t>
            </w:r>
          </w:p>
        </w:tc>
      </w:tr>
    </w:tbl>
    <w:p w14:paraId="13BE772E" w14:textId="77777777" w:rsidR="00076691" w:rsidRPr="00F4191D" w:rsidRDefault="00076691" w:rsidP="000E732E"/>
    <w:p w14:paraId="42E9D179" w14:textId="5EAA865C" w:rsidR="00170B33" w:rsidRPr="00F4191D" w:rsidRDefault="00170B33" w:rsidP="00170B33">
      <w:pPr>
        <w:pStyle w:val="Heading1"/>
      </w:pPr>
      <w:bookmarkStart w:id="22" w:name="_Hlk519774797"/>
      <w:r w:rsidRPr="00F4191D">
        <w:t xml:space="preserve">NORMALIZED AND DILUTED EARNINGS PER SHARE </w:t>
      </w:r>
    </w:p>
    <w:tbl>
      <w:tblPr>
        <w:tblW w:w="0" w:type="auto"/>
        <w:jc w:val="center"/>
        <w:tblLook w:val="04A0" w:firstRow="1" w:lastRow="0" w:firstColumn="1" w:lastColumn="0" w:noHBand="0" w:noVBand="1"/>
      </w:tblPr>
      <w:tblGrid>
        <w:gridCol w:w="5998"/>
        <w:gridCol w:w="1474"/>
        <w:gridCol w:w="1474"/>
        <w:gridCol w:w="1134"/>
      </w:tblGrid>
      <w:tr w:rsidR="00745FC2" w:rsidRPr="00F4191D" w14:paraId="3D3C4D19" w14:textId="77777777" w:rsidTr="00944C01">
        <w:trPr>
          <w:trHeight w:val="284"/>
          <w:jc w:val="center"/>
        </w:trPr>
        <w:tc>
          <w:tcPr>
            <w:tcW w:w="5998" w:type="dxa"/>
            <w:tcBorders>
              <w:bottom w:val="single" w:sz="8" w:space="0" w:color="0070AD" w:themeColor="accent1"/>
            </w:tcBorders>
            <w:vAlign w:val="center"/>
          </w:tcPr>
          <w:p w14:paraId="1F15F0E4" w14:textId="77777777" w:rsidR="00745FC2" w:rsidRPr="00F4191D" w:rsidRDefault="00745FC2" w:rsidP="00745FC2">
            <w:pPr>
              <w:keepNext/>
              <w:widowControl w:val="0"/>
              <w:jc w:val="center"/>
              <w:rPr>
                <w:rFonts w:cs="Arial"/>
                <w:i/>
                <w:sz w:val="14"/>
                <w:szCs w:val="14"/>
              </w:rPr>
            </w:pPr>
            <w:r w:rsidRPr="00F4191D">
              <w:rPr>
                <w:i/>
                <w:sz w:val="14"/>
                <w:szCs w:val="14"/>
              </w:rPr>
              <w:t>(in millions of euros)</w:t>
            </w:r>
          </w:p>
        </w:tc>
        <w:tc>
          <w:tcPr>
            <w:tcW w:w="1474" w:type="dxa"/>
            <w:tcBorders>
              <w:bottom w:val="single" w:sz="8" w:space="0" w:color="0070AD" w:themeColor="accent1"/>
            </w:tcBorders>
            <w:vAlign w:val="center"/>
          </w:tcPr>
          <w:p w14:paraId="27C71DD1" w14:textId="68CB8D16" w:rsidR="00745FC2" w:rsidRPr="00F4191D" w:rsidRDefault="00745FC2" w:rsidP="00DE46AD">
            <w:pPr>
              <w:keepNext/>
              <w:jc w:val="center"/>
              <w:rPr>
                <w:rFonts w:ascii="Verdana" w:hAnsi="Verdana" w:cs="Arial"/>
                <w:b/>
                <w:sz w:val="14"/>
                <w:szCs w:val="16"/>
              </w:rPr>
            </w:pPr>
            <w:r w:rsidRPr="00F4191D">
              <w:rPr>
                <w:rFonts w:ascii="Verdana" w:hAnsi="Verdana"/>
                <w:b/>
                <w:sz w:val="14"/>
                <w:szCs w:val="16"/>
              </w:rPr>
              <w:t>H1 2019</w:t>
            </w:r>
          </w:p>
        </w:tc>
        <w:tc>
          <w:tcPr>
            <w:tcW w:w="1474" w:type="dxa"/>
            <w:tcBorders>
              <w:bottom w:val="single" w:sz="8" w:space="0" w:color="0070AD" w:themeColor="accent1"/>
            </w:tcBorders>
            <w:shd w:val="clear" w:color="auto" w:fill="BBE7FF" w:themeFill="accent1" w:themeFillTint="33"/>
            <w:vAlign w:val="center"/>
          </w:tcPr>
          <w:p w14:paraId="1CCF9D3D" w14:textId="5DC0F475" w:rsidR="00745FC2" w:rsidRPr="00F4191D" w:rsidRDefault="00745FC2" w:rsidP="00DE46AD">
            <w:pPr>
              <w:keepNext/>
              <w:jc w:val="center"/>
              <w:rPr>
                <w:rFonts w:ascii="Verdana" w:hAnsi="Verdana" w:cs="Arial"/>
                <w:b/>
                <w:sz w:val="14"/>
                <w:szCs w:val="16"/>
              </w:rPr>
            </w:pPr>
            <w:r w:rsidRPr="00F4191D">
              <w:rPr>
                <w:rFonts w:ascii="Verdana" w:hAnsi="Verdana"/>
                <w:b/>
                <w:sz w:val="14"/>
                <w:szCs w:val="16"/>
              </w:rPr>
              <w:t>H1 2020</w:t>
            </w:r>
          </w:p>
        </w:tc>
        <w:tc>
          <w:tcPr>
            <w:tcW w:w="1134" w:type="dxa"/>
            <w:tcBorders>
              <w:bottom w:val="single" w:sz="8" w:space="0" w:color="0070AD" w:themeColor="accent1"/>
            </w:tcBorders>
            <w:shd w:val="clear" w:color="auto" w:fill="auto"/>
            <w:vAlign w:val="center"/>
          </w:tcPr>
          <w:p w14:paraId="63CFFD7B" w14:textId="77777777" w:rsidR="00745FC2" w:rsidRPr="00F4191D" w:rsidRDefault="00745FC2" w:rsidP="00745FC2">
            <w:pPr>
              <w:keepNext/>
              <w:widowControl w:val="0"/>
              <w:jc w:val="center"/>
              <w:rPr>
                <w:rFonts w:cs="Arial"/>
                <w:b/>
                <w:i/>
                <w:sz w:val="14"/>
                <w:szCs w:val="14"/>
              </w:rPr>
            </w:pPr>
            <w:r w:rsidRPr="00F4191D">
              <w:rPr>
                <w:b/>
                <w:i/>
                <w:sz w:val="14"/>
                <w:szCs w:val="14"/>
              </w:rPr>
              <w:t>Change</w:t>
            </w:r>
          </w:p>
        </w:tc>
      </w:tr>
      <w:tr w:rsidR="00343205" w:rsidRPr="00F4191D" w14:paraId="048863A2"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4D6683C2" w14:textId="77777777" w:rsidR="00343205" w:rsidRPr="00F4191D" w:rsidRDefault="00343205" w:rsidP="00343205">
            <w:pPr>
              <w:keepNext/>
              <w:widowControl w:val="0"/>
              <w:ind w:left="149"/>
              <w:rPr>
                <w:rFonts w:cs="Arial"/>
                <w:sz w:val="14"/>
                <w:szCs w:val="14"/>
              </w:rPr>
            </w:pPr>
            <w:r w:rsidRPr="00F4191D">
              <w:rPr>
                <w:sz w:val="14"/>
                <w:szCs w:val="14"/>
              </w:rPr>
              <w:t>Average number of shares outstanding</w:t>
            </w:r>
          </w:p>
        </w:tc>
        <w:tc>
          <w:tcPr>
            <w:tcW w:w="1474" w:type="dxa"/>
            <w:tcBorders>
              <w:top w:val="single" w:sz="8" w:space="0" w:color="0070AD" w:themeColor="accent1"/>
              <w:bottom w:val="single" w:sz="8" w:space="0" w:color="0070AD" w:themeColor="accent1"/>
            </w:tcBorders>
            <w:shd w:val="clear" w:color="auto" w:fill="auto"/>
            <w:vAlign w:val="center"/>
          </w:tcPr>
          <w:p w14:paraId="70D994D9" w14:textId="18815DCD" w:rsidR="00343205" w:rsidRPr="00F4191D" w:rsidRDefault="00343205" w:rsidP="00343205">
            <w:pPr>
              <w:keepNext/>
              <w:widowControl w:val="0"/>
              <w:jc w:val="center"/>
              <w:rPr>
                <w:rFonts w:cs="Arial"/>
                <w:sz w:val="14"/>
                <w:szCs w:val="14"/>
              </w:rPr>
            </w:pPr>
            <w:r w:rsidRPr="00F4191D">
              <w:rPr>
                <w:sz w:val="14"/>
                <w:szCs w:val="14"/>
              </w:rPr>
              <w:t>165,843,357</w:t>
            </w:r>
          </w:p>
        </w:tc>
        <w:tc>
          <w:tcPr>
            <w:tcW w:w="1474" w:type="dxa"/>
            <w:tcBorders>
              <w:top w:val="nil"/>
              <w:left w:val="nil"/>
              <w:bottom w:val="nil"/>
              <w:right w:val="nil"/>
            </w:tcBorders>
            <w:shd w:val="clear" w:color="000000" w:fill="BBE7FF"/>
            <w:vAlign w:val="center"/>
          </w:tcPr>
          <w:p w14:paraId="66302DD5" w14:textId="497AE321" w:rsidR="00343205" w:rsidRPr="00F4191D" w:rsidRDefault="00343205" w:rsidP="00343205">
            <w:pPr>
              <w:keepNext/>
              <w:widowControl w:val="0"/>
              <w:jc w:val="center"/>
              <w:rPr>
                <w:rFonts w:cs="Arial"/>
                <w:sz w:val="14"/>
                <w:szCs w:val="14"/>
              </w:rPr>
            </w:pPr>
            <w:r w:rsidRPr="00F4191D">
              <w:rPr>
                <w:rFonts w:ascii="Verdana" w:hAnsi="Verdana"/>
                <w:color w:val="000000"/>
                <w:sz w:val="14"/>
                <w:szCs w:val="14"/>
              </w:rPr>
              <w:t>167,646,025</w:t>
            </w:r>
          </w:p>
        </w:tc>
        <w:tc>
          <w:tcPr>
            <w:tcW w:w="1134" w:type="dxa"/>
            <w:tcBorders>
              <w:top w:val="nil"/>
              <w:left w:val="nil"/>
              <w:bottom w:val="nil"/>
              <w:right w:val="nil"/>
            </w:tcBorders>
            <w:shd w:val="clear" w:color="000000" w:fill="FFFFFF"/>
            <w:vAlign w:val="center"/>
          </w:tcPr>
          <w:p w14:paraId="615B3EE3" w14:textId="3FCDFC64" w:rsidR="00343205" w:rsidRPr="00F4191D" w:rsidRDefault="00343205" w:rsidP="00343205">
            <w:pPr>
              <w:keepNext/>
              <w:widowControl w:val="0"/>
              <w:jc w:val="center"/>
              <w:rPr>
                <w:rFonts w:cs="Arial"/>
                <w:sz w:val="14"/>
                <w:szCs w:val="14"/>
              </w:rPr>
            </w:pPr>
          </w:p>
        </w:tc>
      </w:tr>
      <w:tr w:rsidR="00343205" w:rsidRPr="00F4191D" w14:paraId="28B5BF0F"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7F62F72B" w14:textId="273253DA" w:rsidR="00343205" w:rsidRPr="00F4191D" w:rsidRDefault="00343205" w:rsidP="00343205">
            <w:pPr>
              <w:keepNext/>
              <w:widowControl w:val="0"/>
              <w:rPr>
                <w:rFonts w:cs="Arial"/>
                <w:b/>
                <w:caps/>
                <w:color w:val="0070AD" w:themeColor="accent1"/>
                <w:sz w:val="14"/>
                <w:szCs w:val="14"/>
              </w:rPr>
            </w:pPr>
            <w:r w:rsidRPr="00F4191D">
              <w:rPr>
                <w:b/>
                <w:color w:val="0070AD" w:themeColor="accent1"/>
                <w:sz w:val="14"/>
                <w:szCs w:val="14"/>
              </w:rPr>
              <w:t>BASIC EARNINGS PER SHARE (in euros)</w:t>
            </w:r>
          </w:p>
        </w:tc>
        <w:tc>
          <w:tcPr>
            <w:tcW w:w="1474" w:type="dxa"/>
            <w:tcBorders>
              <w:top w:val="single" w:sz="8" w:space="0" w:color="0070AD" w:themeColor="accent1"/>
              <w:bottom w:val="single" w:sz="8" w:space="0" w:color="0070AD" w:themeColor="accent1"/>
            </w:tcBorders>
            <w:shd w:val="clear" w:color="auto" w:fill="auto"/>
            <w:vAlign w:val="center"/>
          </w:tcPr>
          <w:p w14:paraId="12B12B1A" w14:textId="0EB518B6" w:rsidR="00343205" w:rsidRPr="00F4191D" w:rsidRDefault="00343205" w:rsidP="00343205">
            <w:pPr>
              <w:keepNext/>
              <w:ind w:left="-170" w:right="397"/>
              <w:jc w:val="right"/>
              <w:rPr>
                <w:rFonts w:cs="Arial"/>
                <w:b/>
                <w:color w:val="0070AD" w:themeColor="accent1"/>
                <w:sz w:val="14"/>
                <w:szCs w:val="14"/>
              </w:rPr>
            </w:pPr>
            <w:r w:rsidRPr="00F4191D">
              <w:rPr>
                <w:b/>
                <w:color w:val="0070AD" w:themeColor="accent1"/>
                <w:sz w:val="14"/>
                <w:szCs w:val="14"/>
              </w:rPr>
              <w:t>2.34</w:t>
            </w:r>
          </w:p>
        </w:tc>
        <w:tc>
          <w:tcPr>
            <w:tcW w:w="1474" w:type="dxa"/>
            <w:tcBorders>
              <w:top w:val="single" w:sz="8" w:space="0" w:color="0070AD"/>
              <w:left w:val="nil"/>
              <w:bottom w:val="single" w:sz="8" w:space="0" w:color="0070AD"/>
              <w:right w:val="nil"/>
            </w:tcBorders>
            <w:shd w:val="clear" w:color="000000" w:fill="BBE7FF"/>
            <w:vAlign w:val="center"/>
          </w:tcPr>
          <w:p w14:paraId="31CF4F4D" w14:textId="5FB58FB5" w:rsidR="00343205" w:rsidRPr="00F4191D" w:rsidRDefault="00343205" w:rsidP="00343205">
            <w:pPr>
              <w:keepNext/>
              <w:ind w:left="-170" w:right="397"/>
              <w:jc w:val="right"/>
              <w:rPr>
                <w:rFonts w:cs="Arial"/>
                <w:b/>
                <w:color w:val="0070AD" w:themeColor="accent1"/>
                <w:sz w:val="14"/>
                <w:szCs w:val="14"/>
              </w:rPr>
            </w:pPr>
            <w:r w:rsidRPr="00F4191D">
              <w:rPr>
                <w:rFonts w:ascii="Verdana" w:hAnsi="Verdana"/>
                <w:b/>
                <w:bCs/>
                <w:color w:val="0070AD"/>
                <w:sz w:val="14"/>
                <w:szCs w:val="14"/>
              </w:rPr>
              <w:t>1.86</w:t>
            </w:r>
          </w:p>
        </w:tc>
        <w:tc>
          <w:tcPr>
            <w:tcW w:w="1134" w:type="dxa"/>
            <w:tcBorders>
              <w:top w:val="single" w:sz="8" w:space="0" w:color="0070AD"/>
              <w:left w:val="nil"/>
              <w:bottom w:val="single" w:sz="8" w:space="0" w:color="0070AD"/>
              <w:right w:val="nil"/>
            </w:tcBorders>
            <w:shd w:val="clear" w:color="000000" w:fill="FFFFFF"/>
            <w:vAlign w:val="center"/>
          </w:tcPr>
          <w:p w14:paraId="7922020E" w14:textId="5D862FCD" w:rsidR="00343205" w:rsidRPr="00F4191D" w:rsidRDefault="00343205" w:rsidP="00343205">
            <w:pPr>
              <w:keepNext/>
              <w:widowControl w:val="0"/>
              <w:jc w:val="center"/>
              <w:rPr>
                <w:rFonts w:cs="Arial"/>
                <w:b/>
                <w:color w:val="0070AD" w:themeColor="accent1"/>
                <w:sz w:val="14"/>
                <w:szCs w:val="14"/>
              </w:rPr>
            </w:pPr>
            <w:r w:rsidRPr="00F4191D">
              <w:rPr>
                <w:rFonts w:ascii="Verdana" w:hAnsi="Verdana"/>
                <w:b/>
                <w:bCs/>
                <w:color w:val="0070AD"/>
                <w:sz w:val="14"/>
                <w:szCs w:val="14"/>
              </w:rPr>
              <w:t>-21%</w:t>
            </w:r>
          </w:p>
        </w:tc>
      </w:tr>
      <w:tr w:rsidR="00343205" w:rsidRPr="00F4191D" w14:paraId="25ED2F25"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5F6F728C" w14:textId="77777777" w:rsidR="00343205" w:rsidRPr="00F4191D" w:rsidRDefault="00343205" w:rsidP="00343205">
            <w:pPr>
              <w:keepNext/>
              <w:widowControl w:val="0"/>
              <w:ind w:left="149"/>
              <w:rPr>
                <w:rFonts w:cs="Arial"/>
                <w:sz w:val="14"/>
                <w:szCs w:val="14"/>
              </w:rPr>
            </w:pPr>
            <w:r w:rsidRPr="00F4191D">
              <w:rPr>
                <w:sz w:val="14"/>
                <w:szCs w:val="14"/>
              </w:rPr>
              <w:t>Diluted average number of shares outstanding</w:t>
            </w:r>
          </w:p>
        </w:tc>
        <w:tc>
          <w:tcPr>
            <w:tcW w:w="1474" w:type="dxa"/>
            <w:tcBorders>
              <w:top w:val="single" w:sz="8" w:space="0" w:color="0070AD" w:themeColor="accent1"/>
              <w:bottom w:val="single" w:sz="8" w:space="0" w:color="0070AD" w:themeColor="accent1"/>
            </w:tcBorders>
            <w:shd w:val="clear" w:color="auto" w:fill="auto"/>
            <w:vAlign w:val="center"/>
          </w:tcPr>
          <w:p w14:paraId="518A455E" w14:textId="0E5EA7B4" w:rsidR="00343205" w:rsidRPr="00F4191D" w:rsidRDefault="00343205" w:rsidP="00343205">
            <w:pPr>
              <w:keepNext/>
              <w:widowControl w:val="0"/>
              <w:jc w:val="center"/>
              <w:rPr>
                <w:rFonts w:cs="Arial"/>
                <w:sz w:val="14"/>
                <w:szCs w:val="14"/>
              </w:rPr>
            </w:pPr>
            <w:r w:rsidRPr="00F4191D">
              <w:rPr>
                <w:rFonts w:ascii="Verdana" w:hAnsi="Verdana"/>
                <w:sz w:val="14"/>
              </w:rPr>
              <w:t>170,864,789</w:t>
            </w:r>
          </w:p>
        </w:tc>
        <w:tc>
          <w:tcPr>
            <w:tcW w:w="1474" w:type="dxa"/>
            <w:tcBorders>
              <w:top w:val="nil"/>
              <w:left w:val="nil"/>
              <w:bottom w:val="nil"/>
              <w:right w:val="nil"/>
            </w:tcBorders>
            <w:shd w:val="clear" w:color="000000" w:fill="BBE7FF"/>
            <w:vAlign w:val="center"/>
          </w:tcPr>
          <w:p w14:paraId="4093FF31" w14:textId="4F58B493" w:rsidR="00343205" w:rsidRPr="00F4191D" w:rsidRDefault="00343205" w:rsidP="00343205">
            <w:pPr>
              <w:keepNext/>
              <w:widowControl w:val="0"/>
              <w:jc w:val="center"/>
              <w:rPr>
                <w:rFonts w:cs="Arial"/>
                <w:sz w:val="14"/>
                <w:szCs w:val="14"/>
              </w:rPr>
            </w:pPr>
            <w:r w:rsidRPr="00F4191D">
              <w:rPr>
                <w:rFonts w:ascii="Verdana" w:hAnsi="Verdana"/>
                <w:color w:val="000000"/>
                <w:sz w:val="14"/>
                <w:szCs w:val="14"/>
              </w:rPr>
              <w:t>172,704,349</w:t>
            </w:r>
          </w:p>
        </w:tc>
        <w:tc>
          <w:tcPr>
            <w:tcW w:w="1134" w:type="dxa"/>
            <w:tcBorders>
              <w:top w:val="nil"/>
              <w:left w:val="nil"/>
              <w:bottom w:val="nil"/>
              <w:right w:val="nil"/>
            </w:tcBorders>
            <w:shd w:val="clear" w:color="000000" w:fill="FFFFFF"/>
            <w:vAlign w:val="center"/>
          </w:tcPr>
          <w:p w14:paraId="08B1BEB1" w14:textId="77FFDF30" w:rsidR="00343205" w:rsidRPr="00F4191D" w:rsidRDefault="00343205" w:rsidP="00343205">
            <w:pPr>
              <w:keepNext/>
              <w:widowControl w:val="0"/>
              <w:jc w:val="center"/>
              <w:rPr>
                <w:rFonts w:cs="Arial"/>
                <w:sz w:val="14"/>
                <w:szCs w:val="14"/>
              </w:rPr>
            </w:pPr>
          </w:p>
        </w:tc>
      </w:tr>
      <w:tr w:rsidR="00343205" w:rsidRPr="00F4191D" w14:paraId="4C6A1F14"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173663AE" w14:textId="133D13B1" w:rsidR="00343205" w:rsidRPr="00F4191D" w:rsidRDefault="00343205" w:rsidP="00343205">
            <w:pPr>
              <w:widowControl w:val="0"/>
              <w:rPr>
                <w:rFonts w:cs="Arial"/>
                <w:b/>
                <w:caps/>
                <w:color w:val="0070AD" w:themeColor="accent1"/>
                <w:sz w:val="14"/>
                <w:szCs w:val="14"/>
              </w:rPr>
            </w:pPr>
            <w:r w:rsidRPr="00F4191D">
              <w:rPr>
                <w:b/>
                <w:color w:val="0070AD" w:themeColor="accent1"/>
                <w:sz w:val="14"/>
                <w:szCs w:val="14"/>
              </w:rPr>
              <w:t>DILUTED EARNINGS PER SHARE (in euros)</w:t>
            </w:r>
          </w:p>
        </w:tc>
        <w:tc>
          <w:tcPr>
            <w:tcW w:w="1474" w:type="dxa"/>
            <w:tcBorders>
              <w:top w:val="single" w:sz="8" w:space="0" w:color="0070AD" w:themeColor="accent1"/>
              <w:bottom w:val="single" w:sz="8" w:space="0" w:color="0070AD" w:themeColor="accent1"/>
            </w:tcBorders>
            <w:shd w:val="clear" w:color="auto" w:fill="auto"/>
            <w:vAlign w:val="center"/>
          </w:tcPr>
          <w:p w14:paraId="1C9AB765" w14:textId="219010BB" w:rsidR="00343205" w:rsidRPr="00F4191D" w:rsidRDefault="00343205" w:rsidP="00343205">
            <w:pPr>
              <w:keepNext/>
              <w:ind w:left="-170" w:right="397"/>
              <w:jc w:val="right"/>
              <w:rPr>
                <w:rFonts w:cs="Arial"/>
                <w:b/>
                <w:color w:val="0070AD" w:themeColor="accent1"/>
                <w:sz w:val="14"/>
                <w:szCs w:val="14"/>
              </w:rPr>
            </w:pPr>
            <w:r w:rsidRPr="00F4191D">
              <w:rPr>
                <w:b/>
                <w:color w:val="0070AD" w:themeColor="accent1"/>
                <w:sz w:val="14"/>
                <w:szCs w:val="14"/>
              </w:rPr>
              <w:t>2.27</w:t>
            </w:r>
          </w:p>
        </w:tc>
        <w:tc>
          <w:tcPr>
            <w:tcW w:w="1474" w:type="dxa"/>
            <w:tcBorders>
              <w:top w:val="single" w:sz="8" w:space="0" w:color="0070AD"/>
              <w:left w:val="nil"/>
              <w:bottom w:val="single" w:sz="8" w:space="0" w:color="0070AD"/>
              <w:right w:val="nil"/>
            </w:tcBorders>
            <w:shd w:val="clear" w:color="000000" w:fill="BBE7FF"/>
            <w:vAlign w:val="center"/>
          </w:tcPr>
          <w:p w14:paraId="767A6578" w14:textId="4C2C0D72" w:rsidR="00343205" w:rsidRPr="00F4191D" w:rsidRDefault="00343205" w:rsidP="00343205">
            <w:pPr>
              <w:keepNext/>
              <w:ind w:left="-170" w:right="397"/>
              <w:jc w:val="right"/>
              <w:rPr>
                <w:rFonts w:cs="Arial"/>
                <w:b/>
                <w:color w:val="0070AD" w:themeColor="accent1"/>
                <w:sz w:val="14"/>
                <w:szCs w:val="14"/>
              </w:rPr>
            </w:pPr>
            <w:r w:rsidRPr="00F4191D">
              <w:rPr>
                <w:rFonts w:ascii="Verdana" w:hAnsi="Verdana"/>
                <w:b/>
                <w:bCs/>
                <w:color w:val="0070AD"/>
                <w:sz w:val="14"/>
                <w:szCs w:val="14"/>
              </w:rPr>
              <w:t>1.80</w:t>
            </w:r>
          </w:p>
        </w:tc>
        <w:tc>
          <w:tcPr>
            <w:tcW w:w="1134" w:type="dxa"/>
            <w:tcBorders>
              <w:top w:val="single" w:sz="8" w:space="0" w:color="0070AD"/>
              <w:left w:val="nil"/>
              <w:bottom w:val="single" w:sz="8" w:space="0" w:color="0070AD"/>
              <w:right w:val="nil"/>
            </w:tcBorders>
            <w:shd w:val="clear" w:color="000000" w:fill="FFFFFF"/>
            <w:vAlign w:val="center"/>
          </w:tcPr>
          <w:p w14:paraId="5093AD3F" w14:textId="2E8EB9AB" w:rsidR="00343205" w:rsidRPr="00F4191D" w:rsidRDefault="00343205" w:rsidP="00343205">
            <w:pPr>
              <w:widowControl w:val="0"/>
              <w:jc w:val="center"/>
              <w:rPr>
                <w:rFonts w:cs="Arial"/>
                <w:b/>
                <w:color w:val="0070AD" w:themeColor="accent1"/>
                <w:sz w:val="14"/>
                <w:szCs w:val="14"/>
              </w:rPr>
            </w:pPr>
            <w:r w:rsidRPr="00F4191D">
              <w:rPr>
                <w:rFonts w:ascii="Verdana" w:hAnsi="Verdana"/>
                <w:b/>
                <w:bCs/>
                <w:color w:val="0070AD"/>
                <w:sz w:val="14"/>
                <w:szCs w:val="14"/>
              </w:rPr>
              <w:t>-21%</w:t>
            </w:r>
          </w:p>
        </w:tc>
      </w:tr>
      <w:tr w:rsidR="00170B33" w:rsidRPr="00F4191D" w14:paraId="07836C01" w14:textId="77777777" w:rsidTr="00944C01">
        <w:trPr>
          <w:trHeight w:val="227"/>
          <w:jc w:val="center"/>
        </w:trPr>
        <w:tc>
          <w:tcPr>
            <w:tcW w:w="5998" w:type="dxa"/>
            <w:tcBorders>
              <w:top w:val="single" w:sz="8" w:space="0" w:color="0070AD" w:themeColor="accent1"/>
            </w:tcBorders>
            <w:shd w:val="clear" w:color="auto" w:fill="auto"/>
            <w:vAlign w:val="center"/>
          </w:tcPr>
          <w:p w14:paraId="1E373043" w14:textId="77777777" w:rsidR="00170B33" w:rsidRPr="00F4191D" w:rsidRDefault="00170B33" w:rsidP="00E178EA">
            <w:pPr>
              <w:widowControl w:val="0"/>
              <w:rPr>
                <w:rFonts w:cs="Arial"/>
                <w:b/>
                <w:color w:val="0070AD" w:themeColor="accent1"/>
                <w:sz w:val="14"/>
                <w:szCs w:val="14"/>
              </w:rPr>
            </w:pPr>
          </w:p>
        </w:tc>
        <w:tc>
          <w:tcPr>
            <w:tcW w:w="1474" w:type="dxa"/>
            <w:tcBorders>
              <w:top w:val="single" w:sz="8" w:space="0" w:color="0070AD" w:themeColor="accent1"/>
            </w:tcBorders>
            <w:shd w:val="clear" w:color="auto" w:fill="auto"/>
            <w:vAlign w:val="center"/>
          </w:tcPr>
          <w:p w14:paraId="464346B1" w14:textId="77777777" w:rsidR="00170B33" w:rsidRPr="00F4191D" w:rsidRDefault="00170B33" w:rsidP="00E178EA">
            <w:pPr>
              <w:widowControl w:val="0"/>
              <w:ind w:left="-170" w:right="567"/>
              <w:jc w:val="right"/>
              <w:rPr>
                <w:rFonts w:cs="Arial"/>
                <w:b/>
                <w:color w:val="0070AD" w:themeColor="accent1"/>
                <w:sz w:val="14"/>
                <w:szCs w:val="14"/>
              </w:rPr>
            </w:pPr>
          </w:p>
        </w:tc>
        <w:tc>
          <w:tcPr>
            <w:tcW w:w="1474" w:type="dxa"/>
            <w:tcBorders>
              <w:top w:val="single" w:sz="8" w:space="0" w:color="0070AD" w:themeColor="accent1"/>
            </w:tcBorders>
            <w:shd w:val="clear" w:color="auto" w:fill="auto"/>
            <w:vAlign w:val="center"/>
          </w:tcPr>
          <w:p w14:paraId="1DFBD1AA" w14:textId="77777777" w:rsidR="00170B33" w:rsidRPr="00F4191D" w:rsidRDefault="00170B33" w:rsidP="00E178EA">
            <w:pPr>
              <w:widowControl w:val="0"/>
              <w:ind w:left="-170" w:right="567"/>
              <w:jc w:val="right"/>
              <w:rPr>
                <w:rFonts w:cs="Arial"/>
                <w:b/>
                <w:color w:val="0070AD" w:themeColor="accent1"/>
                <w:sz w:val="14"/>
                <w:szCs w:val="14"/>
              </w:rPr>
            </w:pPr>
          </w:p>
        </w:tc>
        <w:tc>
          <w:tcPr>
            <w:tcW w:w="1134" w:type="dxa"/>
            <w:tcBorders>
              <w:top w:val="single" w:sz="8" w:space="0" w:color="0070AD" w:themeColor="accent1"/>
            </w:tcBorders>
            <w:shd w:val="clear" w:color="auto" w:fill="auto"/>
            <w:vAlign w:val="center"/>
          </w:tcPr>
          <w:p w14:paraId="60A726AC" w14:textId="77777777" w:rsidR="00170B33" w:rsidRPr="00F4191D" w:rsidRDefault="00170B33" w:rsidP="00E178EA">
            <w:pPr>
              <w:widowControl w:val="0"/>
              <w:jc w:val="center"/>
              <w:rPr>
                <w:rFonts w:cs="Arial"/>
                <w:b/>
                <w:color w:val="0070AD" w:themeColor="accent1"/>
                <w:sz w:val="14"/>
                <w:szCs w:val="14"/>
              </w:rPr>
            </w:pPr>
          </w:p>
        </w:tc>
      </w:tr>
      <w:tr w:rsidR="00745FC2" w:rsidRPr="00F4191D" w14:paraId="2215F1BF" w14:textId="77777777" w:rsidTr="00A9758A">
        <w:trPr>
          <w:trHeight w:val="284"/>
          <w:jc w:val="center"/>
        </w:trPr>
        <w:tc>
          <w:tcPr>
            <w:tcW w:w="5998" w:type="dxa"/>
            <w:tcBorders>
              <w:bottom w:val="single" w:sz="8" w:space="0" w:color="0070AD" w:themeColor="accent1"/>
            </w:tcBorders>
            <w:vAlign w:val="center"/>
          </w:tcPr>
          <w:p w14:paraId="57D31BD5" w14:textId="77777777" w:rsidR="00745FC2" w:rsidRPr="00F4191D" w:rsidRDefault="00745FC2" w:rsidP="00745FC2">
            <w:pPr>
              <w:keepNext/>
              <w:widowControl w:val="0"/>
              <w:jc w:val="center"/>
              <w:rPr>
                <w:rFonts w:cs="Arial"/>
                <w:i/>
                <w:sz w:val="14"/>
                <w:szCs w:val="14"/>
              </w:rPr>
            </w:pPr>
            <w:r w:rsidRPr="00F4191D">
              <w:rPr>
                <w:i/>
                <w:sz w:val="14"/>
                <w:szCs w:val="14"/>
              </w:rPr>
              <w:t>(in millions of euros)</w:t>
            </w:r>
          </w:p>
        </w:tc>
        <w:tc>
          <w:tcPr>
            <w:tcW w:w="1474" w:type="dxa"/>
            <w:tcBorders>
              <w:bottom w:val="single" w:sz="8" w:space="0" w:color="0070AD" w:themeColor="accent1"/>
            </w:tcBorders>
            <w:shd w:val="clear" w:color="auto" w:fill="auto"/>
            <w:vAlign w:val="center"/>
          </w:tcPr>
          <w:p w14:paraId="64594845" w14:textId="77777777" w:rsidR="00745FC2" w:rsidRPr="00F4191D" w:rsidRDefault="00745FC2" w:rsidP="00745FC2">
            <w:pPr>
              <w:keepNext/>
              <w:jc w:val="center"/>
              <w:rPr>
                <w:rFonts w:ascii="Verdana" w:hAnsi="Verdana" w:cs="Arial"/>
                <w:b/>
                <w:sz w:val="14"/>
                <w:szCs w:val="16"/>
              </w:rPr>
            </w:pPr>
            <w:r w:rsidRPr="00F4191D">
              <w:rPr>
                <w:rFonts w:ascii="Verdana" w:hAnsi="Verdana"/>
                <w:b/>
                <w:sz w:val="14"/>
                <w:szCs w:val="16"/>
              </w:rPr>
              <w:t>H1 2019</w:t>
            </w:r>
          </w:p>
          <w:p w14:paraId="58DFA06E" w14:textId="60CF3565" w:rsidR="00745FC2" w:rsidRPr="00F4191D" w:rsidRDefault="00745FC2" w:rsidP="00A9758A">
            <w:pPr>
              <w:keepNext/>
              <w:jc w:val="center"/>
              <w:rPr>
                <w:rFonts w:ascii="Verdana" w:hAnsi="Verdana" w:cs="Arial"/>
                <w:b/>
                <w:sz w:val="14"/>
                <w:szCs w:val="16"/>
              </w:rPr>
            </w:pPr>
          </w:p>
        </w:tc>
        <w:tc>
          <w:tcPr>
            <w:tcW w:w="1474" w:type="dxa"/>
            <w:tcBorders>
              <w:bottom w:val="single" w:sz="8" w:space="0" w:color="0070AD" w:themeColor="accent1"/>
            </w:tcBorders>
            <w:shd w:val="clear" w:color="auto" w:fill="BBE7FF" w:themeFill="accent1" w:themeFillTint="33"/>
            <w:vAlign w:val="center"/>
          </w:tcPr>
          <w:p w14:paraId="07DED757" w14:textId="77777777" w:rsidR="00745FC2" w:rsidRPr="00F4191D" w:rsidRDefault="00745FC2" w:rsidP="00745FC2">
            <w:pPr>
              <w:keepNext/>
              <w:jc w:val="center"/>
              <w:rPr>
                <w:rFonts w:ascii="Verdana" w:hAnsi="Verdana" w:cs="Arial"/>
                <w:b/>
                <w:sz w:val="14"/>
                <w:szCs w:val="16"/>
              </w:rPr>
            </w:pPr>
            <w:r w:rsidRPr="00F4191D">
              <w:rPr>
                <w:rFonts w:ascii="Verdana" w:hAnsi="Verdana"/>
                <w:b/>
                <w:sz w:val="14"/>
                <w:szCs w:val="16"/>
              </w:rPr>
              <w:t>H1 2020</w:t>
            </w:r>
          </w:p>
          <w:p w14:paraId="161A84F0" w14:textId="4DF4E143" w:rsidR="00745FC2" w:rsidRPr="00F4191D" w:rsidRDefault="00745FC2" w:rsidP="00A9758A">
            <w:pPr>
              <w:keepNext/>
              <w:jc w:val="center"/>
              <w:rPr>
                <w:rFonts w:ascii="Verdana" w:hAnsi="Verdana" w:cs="Arial"/>
                <w:b/>
                <w:sz w:val="14"/>
                <w:szCs w:val="16"/>
              </w:rPr>
            </w:pPr>
          </w:p>
        </w:tc>
        <w:tc>
          <w:tcPr>
            <w:tcW w:w="1134" w:type="dxa"/>
            <w:tcBorders>
              <w:bottom w:val="single" w:sz="8" w:space="0" w:color="0070AD" w:themeColor="accent1"/>
            </w:tcBorders>
            <w:shd w:val="clear" w:color="auto" w:fill="auto"/>
            <w:vAlign w:val="center"/>
          </w:tcPr>
          <w:p w14:paraId="126AB106" w14:textId="77777777" w:rsidR="00745FC2" w:rsidRPr="00F4191D" w:rsidRDefault="00745FC2" w:rsidP="00745FC2">
            <w:pPr>
              <w:keepNext/>
              <w:widowControl w:val="0"/>
              <w:jc w:val="center"/>
              <w:rPr>
                <w:rFonts w:cs="Arial"/>
                <w:b/>
                <w:i/>
                <w:sz w:val="14"/>
                <w:szCs w:val="14"/>
              </w:rPr>
            </w:pPr>
            <w:r w:rsidRPr="00F4191D">
              <w:rPr>
                <w:b/>
                <w:i/>
                <w:sz w:val="14"/>
                <w:szCs w:val="14"/>
              </w:rPr>
              <w:t>Change</w:t>
            </w:r>
          </w:p>
        </w:tc>
      </w:tr>
      <w:tr w:rsidR="00343205" w:rsidRPr="00F4191D" w14:paraId="4A548CB1"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3EE7F990" w14:textId="77777777" w:rsidR="00343205" w:rsidRPr="00F4191D" w:rsidRDefault="00343205" w:rsidP="00343205">
            <w:pPr>
              <w:keepNext/>
              <w:widowControl w:val="0"/>
              <w:rPr>
                <w:rFonts w:cs="Arial"/>
                <w:b/>
                <w:color w:val="0070AD" w:themeColor="accent1"/>
                <w:sz w:val="14"/>
                <w:szCs w:val="14"/>
              </w:rPr>
            </w:pPr>
            <w:r w:rsidRPr="00F4191D">
              <w:rPr>
                <w:b/>
                <w:color w:val="0070AD" w:themeColor="accent1"/>
                <w:sz w:val="14"/>
                <w:szCs w:val="14"/>
              </w:rPr>
              <w:t>Profit for the period, Group share</w:t>
            </w:r>
          </w:p>
        </w:tc>
        <w:tc>
          <w:tcPr>
            <w:tcW w:w="1474" w:type="dxa"/>
            <w:tcBorders>
              <w:top w:val="single" w:sz="8" w:space="0" w:color="0070AD" w:themeColor="accent1"/>
              <w:bottom w:val="single" w:sz="8" w:space="0" w:color="0070AD" w:themeColor="accent1"/>
            </w:tcBorders>
            <w:shd w:val="clear" w:color="auto" w:fill="auto"/>
            <w:vAlign w:val="center"/>
          </w:tcPr>
          <w:p w14:paraId="645DE699" w14:textId="60C1987B" w:rsidR="00343205" w:rsidRPr="00F4191D" w:rsidRDefault="00343205" w:rsidP="00343205">
            <w:pPr>
              <w:keepNext/>
              <w:ind w:left="-170" w:right="397"/>
              <w:jc w:val="right"/>
              <w:rPr>
                <w:rFonts w:cs="Arial"/>
                <w:b/>
                <w:color w:val="0070AD" w:themeColor="accent1"/>
                <w:sz w:val="14"/>
                <w:szCs w:val="14"/>
              </w:rPr>
            </w:pPr>
            <w:r w:rsidRPr="00F4191D">
              <w:rPr>
                <w:rFonts w:ascii="Verdana" w:hAnsi="Verdana"/>
                <w:b/>
                <w:color w:val="0070AD" w:themeColor="accent1"/>
                <w:sz w:val="14"/>
              </w:rPr>
              <w:t>388</w:t>
            </w:r>
          </w:p>
        </w:tc>
        <w:tc>
          <w:tcPr>
            <w:tcW w:w="1474" w:type="dxa"/>
            <w:tcBorders>
              <w:top w:val="single" w:sz="8" w:space="0" w:color="0070AD"/>
              <w:left w:val="nil"/>
              <w:bottom w:val="single" w:sz="8" w:space="0" w:color="0070AD"/>
              <w:right w:val="nil"/>
            </w:tcBorders>
            <w:shd w:val="clear" w:color="000000" w:fill="BBE7FF"/>
            <w:vAlign w:val="center"/>
          </w:tcPr>
          <w:p w14:paraId="01645AE5" w14:textId="1E83F2B0" w:rsidR="00343205" w:rsidRPr="00F4191D" w:rsidRDefault="00343205" w:rsidP="00343205">
            <w:pPr>
              <w:keepNext/>
              <w:ind w:left="-170" w:right="397"/>
              <w:jc w:val="right"/>
              <w:rPr>
                <w:rFonts w:cs="Arial"/>
                <w:b/>
                <w:color w:val="0070AD" w:themeColor="accent1"/>
                <w:sz w:val="14"/>
                <w:szCs w:val="14"/>
              </w:rPr>
            </w:pPr>
            <w:r w:rsidRPr="00F4191D">
              <w:rPr>
                <w:rFonts w:ascii="Verdana" w:hAnsi="Verdana"/>
                <w:b/>
                <w:bCs/>
                <w:color w:val="0070AD"/>
                <w:sz w:val="14"/>
                <w:szCs w:val="14"/>
              </w:rPr>
              <w:t xml:space="preserve">           311 </w:t>
            </w:r>
          </w:p>
        </w:tc>
        <w:tc>
          <w:tcPr>
            <w:tcW w:w="1134" w:type="dxa"/>
            <w:tcBorders>
              <w:top w:val="single" w:sz="8" w:space="0" w:color="0070AD"/>
              <w:left w:val="nil"/>
              <w:bottom w:val="single" w:sz="8" w:space="0" w:color="0070AD"/>
              <w:right w:val="nil"/>
            </w:tcBorders>
            <w:shd w:val="clear" w:color="000000" w:fill="FFFFFF"/>
            <w:vAlign w:val="center"/>
          </w:tcPr>
          <w:p w14:paraId="01FFB878" w14:textId="4701FA1E" w:rsidR="00343205" w:rsidRPr="00F4191D" w:rsidRDefault="00343205" w:rsidP="00343205">
            <w:pPr>
              <w:keepNext/>
              <w:widowControl w:val="0"/>
              <w:jc w:val="center"/>
              <w:rPr>
                <w:rFonts w:cs="Arial"/>
                <w:b/>
                <w:color w:val="0070AD" w:themeColor="accent1"/>
                <w:sz w:val="14"/>
                <w:szCs w:val="14"/>
              </w:rPr>
            </w:pPr>
            <w:r w:rsidRPr="00F4191D">
              <w:rPr>
                <w:rFonts w:ascii="Verdana" w:hAnsi="Verdana"/>
                <w:b/>
                <w:bCs/>
                <w:color w:val="0070AD"/>
                <w:sz w:val="14"/>
                <w:szCs w:val="14"/>
              </w:rPr>
              <w:t>-20%</w:t>
            </w:r>
          </w:p>
        </w:tc>
      </w:tr>
      <w:tr w:rsidR="00343205" w:rsidRPr="00F4191D" w14:paraId="1D92EFA6" w14:textId="77777777" w:rsidTr="00343205">
        <w:trPr>
          <w:trHeight w:val="227"/>
          <w:jc w:val="center"/>
        </w:trPr>
        <w:tc>
          <w:tcPr>
            <w:tcW w:w="5998" w:type="dxa"/>
            <w:tcBorders>
              <w:top w:val="single" w:sz="8" w:space="0" w:color="0070AD" w:themeColor="accent1"/>
            </w:tcBorders>
            <w:vAlign w:val="center"/>
          </w:tcPr>
          <w:p w14:paraId="28A63103" w14:textId="4A33D528" w:rsidR="00343205" w:rsidRPr="00F4191D" w:rsidRDefault="00343205" w:rsidP="00343205">
            <w:pPr>
              <w:keepNext/>
              <w:widowControl w:val="0"/>
              <w:ind w:left="149"/>
              <w:rPr>
                <w:rFonts w:cs="Arial"/>
                <w:sz w:val="14"/>
                <w:szCs w:val="14"/>
              </w:rPr>
            </w:pPr>
            <w:r w:rsidRPr="00F4191D">
              <w:rPr>
                <w:sz w:val="14"/>
                <w:szCs w:val="14"/>
              </w:rPr>
              <w:t>Effective tax rate, excluding the transitional tax expense</w:t>
            </w:r>
          </w:p>
        </w:tc>
        <w:tc>
          <w:tcPr>
            <w:tcW w:w="1474" w:type="dxa"/>
            <w:tcBorders>
              <w:top w:val="single" w:sz="8" w:space="0" w:color="0070AD" w:themeColor="accent1"/>
            </w:tcBorders>
            <w:shd w:val="clear" w:color="auto" w:fill="auto"/>
            <w:vAlign w:val="center"/>
          </w:tcPr>
          <w:p w14:paraId="0AB30EFE" w14:textId="6A74432C" w:rsidR="00343205" w:rsidRPr="00F4191D" w:rsidRDefault="00343205" w:rsidP="00343205">
            <w:pPr>
              <w:keepNext/>
              <w:ind w:left="-170" w:right="397"/>
              <w:jc w:val="right"/>
              <w:rPr>
                <w:rFonts w:cs="Arial"/>
                <w:sz w:val="14"/>
                <w:szCs w:val="14"/>
              </w:rPr>
            </w:pPr>
            <w:r w:rsidRPr="00F4191D">
              <w:rPr>
                <w:rFonts w:ascii="Verdana" w:hAnsi="Verdana"/>
                <w:sz w:val="14"/>
              </w:rPr>
              <w:t>32.6%</w:t>
            </w:r>
          </w:p>
        </w:tc>
        <w:tc>
          <w:tcPr>
            <w:tcW w:w="1474" w:type="dxa"/>
            <w:tcBorders>
              <w:top w:val="nil"/>
              <w:left w:val="nil"/>
              <w:bottom w:val="nil"/>
              <w:right w:val="nil"/>
            </w:tcBorders>
            <w:shd w:val="clear" w:color="000000" w:fill="BBE7FF"/>
            <w:vAlign w:val="center"/>
          </w:tcPr>
          <w:p w14:paraId="1252E404" w14:textId="25C26859" w:rsidR="00343205" w:rsidRPr="00F4191D" w:rsidRDefault="00343205" w:rsidP="00343205">
            <w:pPr>
              <w:keepNext/>
              <w:ind w:left="-170" w:right="397"/>
              <w:jc w:val="right"/>
              <w:rPr>
                <w:rFonts w:cs="Arial"/>
                <w:sz w:val="14"/>
                <w:szCs w:val="14"/>
              </w:rPr>
            </w:pPr>
            <w:r w:rsidRPr="00F4191D">
              <w:rPr>
                <w:rFonts w:ascii="Verdana" w:hAnsi="Verdana"/>
                <w:color w:val="000000"/>
                <w:sz w:val="14"/>
                <w:szCs w:val="14"/>
              </w:rPr>
              <w:t>34.6%</w:t>
            </w:r>
          </w:p>
        </w:tc>
        <w:tc>
          <w:tcPr>
            <w:tcW w:w="1134" w:type="dxa"/>
            <w:tcBorders>
              <w:top w:val="nil"/>
              <w:left w:val="nil"/>
              <w:bottom w:val="nil"/>
              <w:right w:val="nil"/>
            </w:tcBorders>
            <w:shd w:val="clear" w:color="000000" w:fill="FFFFFF"/>
            <w:vAlign w:val="center"/>
          </w:tcPr>
          <w:p w14:paraId="11023AB5" w14:textId="5A33DCEB" w:rsidR="00343205" w:rsidRPr="00F4191D" w:rsidRDefault="00343205" w:rsidP="00343205">
            <w:pPr>
              <w:keepNext/>
              <w:widowControl w:val="0"/>
              <w:jc w:val="center"/>
              <w:rPr>
                <w:rFonts w:cs="Arial"/>
                <w:sz w:val="14"/>
                <w:szCs w:val="14"/>
              </w:rPr>
            </w:pPr>
            <w:r w:rsidRPr="00F4191D">
              <w:rPr>
                <w:rFonts w:ascii="Verdana" w:hAnsi="Verdana"/>
                <w:i/>
                <w:iCs/>
                <w:color w:val="000000"/>
                <w:sz w:val="14"/>
                <w:szCs w:val="14"/>
              </w:rPr>
              <w:t>+200 bp</w:t>
            </w:r>
          </w:p>
        </w:tc>
      </w:tr>
      <w:tr w:rsidR="00343205" w:rsidRPr="00F4191D" w14:paraId="3751D49F" w14:textId="77777777" w:rsidTr="00343205">
        <w:trPr>
          <w:trHeight w:val="227"/>
          <w:jc w:val="center"/>
        </w:trPr>
        <w:tc>
          <w:tcPr>
            <w:tcW w:w="5998" w:type="dxa"/>
            <w:tcBorders>
              <w:bottom w:val="single" w:sz="8" w:space="0" w:color="0070AD" w:themeColor="accent1"/>
            </w:tcBorders>
            <w:vAlign w:val="center"/>
          </w:tcPr>
          <w:p w14:paraId="29006822" w14:textId="77777777" w:rsidR="00343205" w:rsidRPr="00F4191D" w:rsidRDefault="00343205" w:rsidP="00343205">
            <w:pPr>
              <w:keepNext/>
              <w:widowControl w:val="0"/>
              <w:ind w:left="149"/>
              <w:rPr>
                <w:rFonts w:cs="Arial"/>
                <w:sz w:val="14"/>
                <w:szCs w:val="14"/>
              </w:rPr>
            </w:pPr>
            <w:r w:rsidRPr="00F4191D">
              <w:rPr>
                <w:sz w:val="14"/>
                <w:szCs w:val="14"/>
              </w:rPr>
              <w:t>(-) Other operating income and expenses, net of tax</w:t>
            </w:r>
          </w:p>
        </w:tc>
        <w:tc>
          <w:tcPr>
            <w:tcW w:w="1474" w:type="dxa"/>
            <w:tcBorders>
              <w:bottom w:val="single" w:sz="8" w:space="0" w:color="0070AD" w:themeColor="accent1"/>
            </w:tcBorders>
            <w:shd w:val="clear" w:color="auto" w:fill="auto"/>
            <w:vAlign w:val="center"/>
          </w:tcPr>
          <w:p w14:paraId="0FA79601" w14:textId="4034651D" w:rsidR="00343205" w:rsidRPr="00F4191D" w:rsidRDefault="00343205" w:rsidP="00343205">
            <w:pPr>
              <w:keepNext/>
              <w:ind w:left="-170" w:right="397"/>
              <w:jc w:val="right"/>
              <w:rPr>
                <w:rFonts w:cs="Arial"/>
                <w:sz w:val="14"/>
                <w:szCs w:val="14"/>
              </w:rPr>
            </w:pPr>
            <w:r w:rsidRPr="00F4191D">
              <w:rPr>
                <w:rFonts w:ascii="Verdana" w:hAnsi="Verdana"/>
                <w:sz w:val="14"/>
              </w:rPr>
              <w:t>93</w:t>
            </w:r>
          </w:p>
        </w:tc>
        <w:tc>
          <w:tcPr>
            <w:tcW w:w="1474" w:type="dxa"/>
            <w:tcBorders>
              <w:top w:val="nil"/>
              <w:left w:val="nil"/>
              <w:bottom w:val="single" w:sz="8" w:space="0" w:color="0070AD"/>
              <w:right w:val="nil"/>
            </w:tcBorders>
            <w:shd w:val="clear" w:color="000000" w:fill="BBE7FF"/>
            <w:vAlign w:val="center"/>
          </w:tcPr>
          <w:p w14:paraId="2B3259F0" w14:textId="77A5A7C2" w:rsidR="00343205" w:rsidRPr="00F4191D" w:rsidRDefault="00343205" w:rsidP="00343205">
            <w:pPr>
              <w:keepNext/>
              <w:ind w:right="397"/>
              <w:jc w:val="right"/>
              <w:rPr>
                <w:rFonts w:cs="Arial"/>
                <w:sz w:val="14"/>
                <w:szCs w:val="14"/>
              </w:rPr>
            </w:pPr>
            <w:r w:rsidRPr="00F4191D">
              <w:rPr>
                <w:rFonts w:ascii="Verdana" w:hAnsi="Verdana"/>
                <w:color w:val="000000"/>
                <w:sz w:val="14"/>
                <w:szCs w:val="14"/>
              </w:rPr>
              <w:t xml:space="preserve">    </w:t>
            </w:r>
            <w:r w:rsidR="00874204" w:rsidRPr="00F4191D">
              <w:rPr>
                <w:rFonts w:ascii="Verdana" w:hAnsi="Verdana"/>
                <w:color w:val="000000"/>
                <w:sz w:val="14"/>
                <w:szCs w:val="14"/>
              </w:rPr>
              <w:t xml:space="preserve">158 </w:t>
            </w:r>
          </w:p>
        </w:tc>
        <w:tc>
          <w:tcPr>
            <w:tcW w:w="1134" w:type="dxa"/>
            <w:tcBorders>
              <w:top w:val="nil"/>
              <w:left w:val="nil"/>
              <w:bottom w:val="single" w:sz="8" w:space="0" w:color="0070AD"/>
              <w:right w:val="nil"/>
            </w:tcBorders>
            <w:shd w:val="clear" w:color="000000" w:fill="FFFFFF"/>
            <w:vAlign w:val="center"/>
          </w:tcPr>
          <w:p w14:paraId="45B12128" w14:textId="2E222727" w:rsidR="00343205" w:rsidRPr="00F4191D" w:rsidRDefault="00343205" w:rsidP="00343205">
            <w:pPr>
              <w:keepNext/>
              <w:widowControl w:val="0"/>
              <w:jc w:val="center"/>
              <w:rPr>
                <w:rFonts w:cs="Arial"/>
                <w:sz w:val="14"/>
                <w:szCs w:val="14"/>
              </w:rPr>
            </w:pPr>
          </w:p>
        </w:tc>
      </w:tr>
      <w:tr w:rsidR="00343205" w:rsidRPr="00F4191D" w14:paraId="7E6964A1"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5956B07A" w14:textId="77777777" w:rsidR="00343205" w:rsidRPr="00F4191D" w:rsidRDefault="00343205" w:rsidP="00343205">
            <w:pPr>
              <w:keepNext/>
              <w:widowControl w:val="0"/>
              <w:rPr>
                <w:rFonts w:cs="Arial"/>
                <w:b/>
                <w:color w:val="0070AD" w:themeColor="accent1"/>
                <w:sz w:val="14"/>
                <w:szCs w:val="14"/>
              </w:rPr>
            </w:pPr>
            <w:r w:rsidRPr="00F4191D">
              <w:rPr>
                <w:b/>
                <w:color w:val="0070AD" w:themeColor="accent1"/>
                <w:sz w:val="14"/>
                <w:szCs w:val="14"/>
              </w:rPr>
              <w:t>Normalized profit for the period</w:t>
            </w:r>
          </w:p>
        </w:tc>
        <w:tc>
          <w:tcPr>
            <w:tcW w:w="1474" w:type="dxa"/>
            <w:tcBorders>
              <w:top w:val="single" w:sz="8" w:space="0" w:color="0070AD" w:themeColor="accent1"/>
              <w:bottom w:val="single" w:sz="8" w:space="0" w:color="0070AD" w:themeColor="accent1"/>
            </w:tcBorders>
            <w:shd w:val="clear" w:color="auto" w:fill="auto"/>
            <w:vAlign w:val="center"/>
          </w:tcPr>
          <w:p w14:paraId="6DBD148E" w14:textId="6D501004" w:rsidR="00343205" w:rsidRPr="00F4191D" w:rsidRDefault="00343205" w:rsidP="00343205">
            <w:pPr>
              <w:keepNext/>
              <w:ind w:left="-170" w:right="397"/>
              <w:jc w:val="right"/>
              <w:rPr>
                <w:rFonts w:cs="Arial"/>
                <w:b/>
                <w:color w:val="0070AD" w:themeColor="accent1"/>
                <w:sz w:val="14"/>
                <w:szCs w:val="14"/>
              </w:rPr>
            </w:pPr>
            <w:r w:rsidRPr="00F4191D">
              <w:rPr>
                <w:rFonts w:ascii="Verdana" w:hAnsi="Verdana"/>
                <w:b/>
                <w:color w:val="0070AD" w:themeColor="accent1"/>
                <w:sz w:val="14"/>
              </w:rPr>
              <w:t>481</w:t>
            </w:r>
          </w:p>
        </w:tc>
        <w:tc>
          <w:tcPr>
            <w:tcW w:w="1474" w:type="dxa"/>
            <w:tcBorders>
              <w:top w:val="nil"/>
              <w:left w:val="nil"/>
              <w:bottom w:val="single" w:sz="8" w:space="0" w:color="0070AD"/>
              <w:right w:val="nil"/>
            </w:tcBorders>
            <w:shd w:val="clear" w:color="000000" w:fill="BBE7FF"/>
            <w:vAlign w:val="center"/>
          </w:tcPr>
          <w:p w14:paraId="09CA7C6E" w14:textId="3240F3CD" w:rsidR="00343205" w:rsidRPr="00F4191D" w:rsidRDefault="00343205" w:rsidP="00343205">
            <w:pPr>
              <w:keepNext/>
              <w:ind w:left="-170" w:right="397"/>
              <w:jc w:val="right"/>
              <w:rPr>
                <w:rFonts w:cs="Arial"/>
                <w:b/>
                <w:color w:val="0070AD" w:themeColor="accent1"/>
                <w:sz w:val="14"/>
                <w:szCs w:val="14"/>
              </w:rPr>
            </w:pPr>
            <w:r w:rsidRPr="00F4191D">
              <w:rPr>
                <w:rFonts w:ascii="Verdana" w:hAnsi="Verdana"/>
                <w:b/>
                <w:bCs/>
                <w:color w:val="0070AD"/>
                <w:sz w:val="14"/>
                <w:szCs w:val="14"/>
              </w:rPr>
              <w:t xml:space="preserve">         </w:t>
            </w:r>
            <w:r w:rsidR="00874204" w:rsidRPr="00F4191D">
              <w:rPr>
                <w:rFonts w:ascii="Verdana" w:hAnsi="Verdana"/>
                <w:b/>
                <w:bCs/>
                <w:color w:val="0070AD"/>
                <w:sz w:val="14"/>
                <w:szCs w:val="14"/>
              </w:rPr>
              <w:t>469</w:t>
            </w:r>
            <w:r w:rsidRPr="00F4191D">
              <w:rPr>
                <w:rFonts w:ascii="Verdana" w:hAnsi="Verdana"/>
                <w:b/>
                <w:bCs/>
                <w:color w:val="0070AD"/>
                <w:sz w:val="14"/>
                <w:szCs w:val="14"/>
              </w:rPr>
              <w:t xml:space="preserve"> </w:t>
            </w:r>
          </w:p>
        </w:tc>
        <w:tc>
          <w:tcPr>
            <w:tcW w:w="1134" w:type="dxa"/>
            <w:tcBorders>
              <w:top w:val="nil"/>
              <w:left w:val="nil"/>
              <w:bottom w:val="single" w:sz="8" w:space="0" w:color="0070AD"/>
              <w:right w:val="nil"/>
            </w:tcBorders>
            <w:shd w:val="clear" w:color="000000" w:fill="FFFFFF"/>
            <w:vAlign w:val="center"/>
          </w:tcPr>
          <w:p w14:paraId="381450B8" w14:textId="316BE0CD" w:rsidR="00343205" w:rsidRPr="00F4191D" w:rsidRDefault="00343205" w:rsidP="00343205">
            <w:pPr>
              <w:keepNext/>
              <w:widowControl w:val="0"/>
              <w:jc w:val="center"/>
              <w:rPr>
                <w:rFonts w:cs="Arial"/>
                <w:b/>
                <w:color w:val="0070AD" w:themeColor="accent1"/>
                <w:sz w:val="14"/>
                <w:szCs w:val="14"/>
              </w:rPr>
            </w:pPr>
            <w:r w:rsidRPr="00F4191D">
              <w:rPr>
                <w:rFonts w:ascii="Verdana" w:hAnsi="Verdana"/>
                <w:b/>
                <w:bCs/>
                <w:color w:val="0070AD"/>
                <w:sz w:val="14"/>
                <w:szCs w:val="14"/>
              </w:rPr>
              <w:t>-3%</w:t>
            </w:r>
          </w:p>
        </w:tc>
      </w:tr>
      <w:tr w:rsidR="00343205" w:rsidRPr="00F4191D" w14:paraId="45995240"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2C4660C3" w14:textId="77777777" w:rsidR="00343205" w:rsidRPr="00F4191D" w:rsidRDefault="00343205" w:rsidP="00343205">
            <w:pPr>
              <w:keepNext/>
              <w:widowControl w:val="0"/>
              <w:ind w:left="149"/>
              <w:rPr>
                <w:rFonts w:cs="Arial"/>
                <w:sz w:val="14"/>
                <w:szCs w:val="14"/>
              </w:rPr>
            </w:pPr>
            <w:r w:rsidRPr="00F4191D">
              <w:rPr>
                <w:sz w:val="14"/>
                <w:szCs w:val="14"/>
              </w:rPr>
              <w:t>Average number of shares outstanding</w:t>
            </w:r>
          </w:p>
        </w:tc>
        <w:tc>
          <w:tcPr>
            <w:tcW w:w="1474" w:type="dxa"/>
            <w:tcBorders>
              <w:top w:val="single" w:sz="8" w:space="0" w:color="0070AD" w:themeColor="accent1"/>
              <w:bottom w:val="single" w:sz="8" w:space="0" w:color="0070AD" w:themeColor="accent1"/>
            </w:tcBorders>
            <w:shd w:val="clear" w:color="auto" w:fill="auto"/>
            <w:vAlign w:val="center"/>
          </w:tcPr>
          <w:p w14:paraId="22FADE73" w14:textId="4F57535F" w:rsidR="00343205" w:rsidRPr="00F4191D" w:rsidRDefault="00343205" w:rsidP="00343205">
            <w:pPr>
              <w:keepNext/>
              <w:widowControl w:val="0"/>
              <w:jc w:val="center"/>
              <w:rPr>
                <w:rFonts w:cs="Arial"/>
                <w:sz w:val="14"/>
                <w:szCs w:val="14"/>
              </w:rPr>
            </w:pPr>
            <w:r w:rsidRPr="00F4191D">
              <w:rPr>
                <w:sz w:val="14"/>
                <w:szCs w:val="14"/>
              </w:rPr>
              <w:t>165,843,357</w:t>
            </w:r>
          </w:p>
        </w:tc>
        <w:tc>
          <w:tcPr>
            <w:tcW w:w="1474" w:type="dxa"/>
            <w:tcBorders>
              <w:top w:val="nil"/>
              <w:left w:val="nil"/>
              <w:bottom w:val="nil"/>
              <w:right w:val="nil"/>
            </w:tcBorders>
            <w:shd w:val="clear" w:color="000000" w:fill="BBE7FF"/>
            <w:vAlign w:val="center"/>
          </w:tcPr>
          <w:p w14:paraId="0D34B1CE" w14:textId="1E1A094A" w:rsidR="00343205" w:rsidRPr="00F4191D" w:rsidRDefault="00343205" w:rsidP="00343205">
            <w:pPr>
              <w:keepNext/>
              <w:widowControl w:val="0"/>
              <w:jc w:val="center"/>
              <w:rPr>
                <w:rFonts w:cs="Arial"/>
                <w:sz w:val="14"/>
                <w:szCs w:val="14"/>
              </w:rPr>
            </w:pPr>
            <w:r w:rsidRPr="00F4191D">
              <w:rPr>
                <w:rFonts w:ascii="Verdana" w:hAnsi="Verdana"/>
                <w:color w:val="000000"/>
                <w:sz w:val="14"/>
                <w:szCs w:val="14"/>
              </w:rPr>
              <w:t>167,646,025</w:t>
            </w:r>
          </w:p>
        </w:tc>
        <w:tc>
          <w:tcPr>
            <w:tcW w:w="1134" w:type="dxa"/>
            <w:tcBorders>
              <w:top w:val="nil"/>
              <w:left w:val="nil"/>
              <w:bottom w:val="nil"/>
              <w:right w:val="nil"/>
            </w:tcBorders>
            <w:shd w:val="clear" w:color="000000" w:fill="FFFFFF"/>
            <w:vAlign w:val="center"/>
          </w:tcPr>
          <w:p w14:paraId="3995DF03" w14:textId="6F44E09A" w:rsidR="00343205" w:rsidRPr="00F4191D" w:rsidRDefault="00343205" w:rsidP="00343205">
            <w:pPr>
              <w:keepNext/>
              <w:widowControl w:val="0"/>
              <w:jc w:val="center"/>
              <w:rPr>
                <w:rFonts w:cs="Arial"/>
                <w:sz w:val="14"/>
                <w:szCs w:val="14"/>
              </w:rPr>
            </w:pPr>
          </w:p>
        </w:tc>
      </w:tr>
      <w:tr w:rsidR="00343205" w:rsidRPr="00F4191D" w14:paraId="6923D670" w14:textId="77777777" w:rsidTr="00343205">
        <w:trPr>
          <w:trHeight w:val="227"/>
          <w:jc w:val="center"/>
        </w:trPr>
        <w:tc>
          <w:tcPr>
            <w:tcW w:w="5998" w:type="dxa"/>
            <w:tcBorders>
              <w:top w:val="single" w:sz="8" w:space="0" w:color="0070AD" w:themeColor="accent1"/>
              <w:bottom w:val="single" w:sz="8" w:space="0" w:color="0070AD" w:themeColor="accent1"/>
            </w:tcBorders>
            <w:vAlign w:val="center"/>
          </w:tcPr>
          <w:p w14:paraId="25F54B20" w14:textId="2AC1399F" w:rsidR="00343205" w:rsidRPr="00F4191D" w:rsidRDefault="00343205" w:rsidP="00343205">
            <w:pPr>
              <w:widowControl w:val="0"/>
              <w:rPr>
                <w:rFonts w:cs="Arial"/>
                <w:b/>
                <w:caps/>
                <w:color w:val="0070AD" w:themeColor="accent1"/>
                <w:sz w:val="14"/>
                <w:szCs w:val="14"/>
              </w:rPr>
            </w:pPr>
            <w:r w:rsidRPr="00F4191D">
              <w:rPr>
                <w:b/>
                <w:bCs/>
                <w:color w:val="0070AD" w:themeColor="accent1"/>
                <w:sz w:val="14"/>
                <w:szCs w:val="14"/>
              </w:rPr>
              <w:t>NORMALIZED EARNINGS PER SHARE</w:t>
            </w:r>
            <w:r w:rsidRPr="00F4191D">
              <w:rPr>
                <w:color w:val="0070AD" w:themeColor="accent1"/>
                <w:sz w:val="14"/>
                <w:szCs w:val="14"/>
              </w:rPr>
              <w:t xml:space="preserve"> </w:t>
            </w:r>
            <w:r w:rsidRPr="00F4191D">
              <w:rPr>
                <w:i/>
                <w:iCs/>
                <w:color w:val="0070AD" w:themeColor="accent1"/>
                <w:sz w:val="14"/>
                <w:szCs w:val="14"/>
              </w:rPr>
              <w:t>(in euros)</w:t>
            </w:r>
          </w:p>
        </w:tc>
        <w:tc>
          <w:tcPr>
            <w:tcW w:w="1474" w:type="dxa"/>
            <w:tcBorders>
              <w:top w:val="single" w:sz="8" w:space="0" w:color="0070AD" w:themeColor="accent1"/>
              <w:bottom w:val="single" w:sz="8" w:space="0" w:color="0070AD" w:themeColor="accent1"/>
            </w:tcBorders>
            <w:shd w:val="clear" w:color="auto" w:fill="auto"/>
            <w:vAlign w:val="center"/>
          </w:tcPr>
          <w:p w14:paraId="4E4FD75A" w14:textId="2854AB28" w:rsidR="00343205" w:rsidRPr="00F4191D" w:rsidRDefault="00343205" w:rsidP="00343205">
            <w:pPr>
              <w:keepNext/>
              <w:ind w:left="-170" w:right="397"/>
              <w:jc w:val="right"/>
              <w:rPr>
                <w:rFonts w:cs="Arial"/>
                <w:b/>
                <w:color w:val="0070AD" w:themeColor="accent1"/>
                <w:sz w:val="14"/>
                <w:szCs w:val="14"/>
              </w:rPr>
            </w:pPr>
            <w:r w:rsidRPr="00F4191D">
              <w:rPr>
                <w:rFonts w:ascii="Verdana" w:hAnsi="Verdana"/>
                <w:b/>
                <w:color w:val="0070AD" w:themeColor="accent1"/>
                <w:sz w:val="14"/>
              </w:rPr>
              <w:t>2.90</w:t>
            </w:r>
          </w:p>
        </w:tc>
        <w:tc>
          <w:tcPr>
            <w:tcW w:w="1474" w:type="dxa"/>
            <w:tcBorders>
              <w:top w:val="single" w:sz="8" w:space="0" w:color="0070AD"/>
              <w:left w:val="nil"/>
              <w:bottom w:val="single" w:sz="8" w:space="0" w:color="0070AD"/>
              <w:right w:val="nil"/>
            </w:tcBorders>
            <w:shd w:val="clear" w:color="000000" w:fill="BBE7FF"/>
            <w:vAlign w:val="center"/>
          </w:tcPr>
          <w:p w14:paraId="68057188" w14:textId="7F81EB26" w:rsidR="00343205" w:rsidRPr="00F4191D" w:rsidRDefault="00343205" w:rsidP="00343205">
            <w:pPr>
              <w:keepNext/>
              <w:ind w:left="-170" w:right="397"/>
              <w:jc w:val="right"/>
              <w:rPr>
                <w:rFonts w:cs="Arial"/>
                <w:b/>
                <w:color w:val="0070AD" w:themeColor="accent1"/>
                <w:sz w:val="14"/>
                <w:szCs w:val="14"/>
              </w:rPr>
            </w:pPr>
            <w:r w:rsidRPr="00F4191D">
              <w:rPr>
                <w:rFonts w:ascii="Verdana" w:hAnsi="Verdana"/>
                <w:b/>
                <w:bCs/>
                <w:color w:val="0070AD"/>
                <w:sz w:val="14"/>
                <w:szCs w:val="14"/>
              </w:rPr>
              <w:t>2.80</w:t>
            </w:r>
          </w:p>
        </w:tc>
        <w:tc>
          <w:tcPr>
            <w:tcW w:w="1134" w:type="dxa"/>
            <w:tcBorders>
              <w:top w:val="single" w:sz="8" w:space="0" w:color="0070AD"/>
              <w:left w:val="nil"/>
              <w:bottom w:val="single" w:sz="8" w:space="0" w:color="0070AD"/>
              <w:right w:val="nil"/>
            </w:tcBorders>
            <w:shd w:val="clear" w:color="000000" w:fill="FFFFFF"/>
            <w:vAlign w:val="center"/>
          </w:tcPr>
          <w:p w14:paraId="33E16671" w14:textId="601C8D0B" w:rsidR="00343205" w:rsidRPr="00F4191D" w:rsidRDefault="00343205" w:rsidP="00343205">
            <w:pPr>
              <w:widowControl w:val="0"/>
              <w:jc w:val="center"/>
              <w:rPr>
                <w:rFonts w:cs="Arial"/>
                <w:b/>
                <w:color w:val="0070AD" w:themeColor="accent1"/>
                <w:sz w:val="14"/>
                <w:szCs w:val="14"/>
              </w:rPr>
            </w:pPr>
            <w:r w:rsidRPr="00F4191D">
              <w:rPr>
                <w:rFonts w:ascii="Verdana" w:hAnsi="Verdana"/>
                <w:b/>
                <w:bCs/>
                <w:color w:val="0070AD"/>
                <w:sz w:val="14"/>
                <w:szCs w:val="14"/>
              </w:rPr>
              <w:t>-4%</w:t>
            </w:r>
          </w:p>
        </w:tc>
      </w:tr>
    </w:tbl>
    <w:p w14:paraId="74265745" w14:textId="77777777" w:rsidR="005C76A8" w:rsidRPr="00F4191D" w:rsidRDefault="005C76A8" w:rsidP="004D0F0D">
      <w:pPr>
        <w:spacing w:before="120" w:after="120"/>
      </w:pPr>
    </w:p>
    <w:p w14:paraId="02811A2C" w14:textId="62511A29" w:rsidR="00170B33" w:rsidRPr="00F4191D" w:rsidRDefault="00170B33" w:rsidP="004D0F0D">
      <w:pPr>
        <w:spacing w:before="120" w:after="120"/>
        <w:rPr>
          <w:rFonts w:ascii="Verdana" w:hAnsi="Verdana" w:cs="Arial"/>
        </w:rPr>
      </w:pPr>
      <w:r w:rsidRPr="00F4191D">
        <w:t>The Group recognized an income tax expense in respect of the transitional impact of the US tax reform of €30 million in H1 2019 and €26 million in H1 2020. This reduced basic and diluted earnings per share and normalized earnings per share by €0.</w:t>
      </w:r>
      <w:r w:rsidR="00874204" w:rsidRPr="00F4191D">
        <w:t xml:space="preserve">15 </w:t>
      </w:r>
      <w:r w:rsidRPr="00F4191D">
        <w:t>in H1 2020.</w:t>
      </w:r>
    </w:p>
    <w:p w14:paraId="1EE67B47" w14:textId="13E5A419" w:rsidR="00170B33" w:rsidRPr="00F4191D" w:rsidRDefault="00170B33" w:rsidP="00170B33">
      <w:pPr>
        <w:pStyle w:val="BodyText"/>
        <w:keepLines/>
        <w:spacing w:line="240" w:lineRule="auto"/>
        <w:rPr>
          <w:b/>
          <w:caps/>
        </w:rPr>
      </w:pPr>
      <w:r w:rsidRPr="00F4191D">
        <w:rPr>
          <w:rFonts w:ascii="Verdana" w:hAnsi="Verdana"/>
        </w:rPr>
        <w:t>Adjusted for this income tax expense, normalized earnings per share is €2.95 in H1 2020.</w:t>
      </w:r>
    </w:p>
    <w:tbl>
      <w:tblPr>
        <w:tblW w:w="0" w:type="auto"/>
        <w:jc w:val="center"/>
        <w:tblLook w:val="04A0" w:firstRow="1" w:lastRow="0" w:firstColumn="1" w:lastColumn="0" w:noHBand="0" w:noVBand="1"/>
      </w:tblPr>
      <w:tblGrid>
        <w:gridCol w:w="5998"/>
        <w:gridCol w:w="1474"/>
        <w:gridCol w:w="1474"/>
        <w:gridCol w:w="1134"/>
      </w:tblGrid>
      <w:tr w:rsidR="00745FC2" w:rsidRPr="00F4191D" w14:paraId="00E3C397" w14:textId="77777777" w:rsidTr="2C79DB7B">
        <w:trPr>
          <w:trHeight w:val="284"/>
          <w:jc w:val="center"/>
        </w:trPr>
        <w:tc>
          <w:tcPr>
            <w:tcW w:w="5998" w:type="dxa"/>
            <w:tcBorders>
              <w:bottom w:val="single" w:sz="8" w:space="0" w:color="0070AD" w:themeColor="accent1"/>
            </w:tcBorders>
            <w:vAlign w:val="center"/>
          </w:tcPr>
          <w:p w14:paraId="0B141E8D" w14:textId="77777777" w:rsidR="00745FC2" w:rsidRPr="00F4191D" w:rsidRDefault="00745FC2" w:rsidP="00745FC2">
            <w:pPr>
              <w:keepNext/>
              <w:jc w:val="center"/>
              <w:rPr>
                <w:rFonts w:cs="Arial"/>
                <w:i/>
                <w:sz w:val="14"/>
                <w:szCs w:val="14"/>
              </w:rPr>
            </w:pPr>
            <w:r w:rsidRPr="00F4191D">
              <w:rPr>
                <w:i/>
                <w:sz w:val="14"/>
                <w:szCs w:val="14"/>
              </w:rPr>
              <w:t>(in millions of euros)</w:t>
            </w:r>
          </w:p>
        </w:tc>
        <w:tc>
          <w:tcPr>
            <w:tcW w:w="1474" w:type="dxa"/>
            <w:tcBorders>
              <w:bottom w:val="single" w:sz="8" w:space="0" w:color="0070AD" w:themeColor="accent1"/>
            </w:tcBorders>
            <w:vAlign w:val="center"/>
          </w:tcPr>
          <w:p w14:paraId="1DE4ACD7" w14:textId="4BF37642" w:rsidR="00745FC2" w:rsidRPr="00F4191D" w:rsidRDefault="00745FC2" w:rsidP="00DE46AD">
            <w:pPr>
              <w:keepNext/>
              <w:jc w:val="center"/>
              <w:rPr>
                <w:rFonts w:ascii="Verdana" w:hAnsi="Verdana" w:cs="Arial"/>
                <w:b/>
                <w:sz w:val="14"/>
                <w:szCs w:val="16"/>
              </w:rPr>
            </w:pPr>
            <w:r w:rsidRPr="00F4191D">
              <w:rPr>
                <w:rFonts w:ascii="Verdana" w:hAnsi="Verdana"/>
                <w:b/>
                <w:sz w:val="14"/>
                <w:szCs w:val="16"/>
              </w:rPr>
              <w:t>H1 2019</w:t>
            </w:r>
          </w:p>
        </w:tc>
        <w:tc>
          <w:tcPr>
            <w:tcW w:w="1474" w:type="dxa"/>
            <w:tcBorders>
              <w:bottom w:val="single" w:sz="8" w:space="0" w:color="0070AD" w:themeColor="accent1"/>
            </w:tcBorders>
            <w:shd w:val="clear" w:color="auto" w:fill="BBE7FF" w:themeFill="accent1" w:themeFillTint="33"/>
            <w:vAlign w:val="center"/>
          </w:tcPr>
          <w:p w14:paraId="68C76E9F" w14:textId="09DABCEE" w:rsidR="00745FC2" w:rsidRPr="00F4191D" w:rsidRDefault="00745FC2" w:rsidP="00DE46AD">
            <w:pPr>
              <w:keepNext/>
              <w:jc w:val="center"/>
              <w:rPr>
                <w:rFonts w:ascii="Verdana" w:hAnsi="Verdana" w:cs="Arial"/>
                <w:b/>
                <w:sz w:val="14"/>
                <w:szCs w:val="16"/>
              </w:rPr>
            </w:pPr>
            <w:r w:rsidRPr="00F4191D">
              <w:rPr>
                <w:rFonts w:ascii="Verdana" w:hAnsi="Verdana"/>
                <w:b/>
                <w:sz w:val="14"/>
                <w:szCs w:val="16"/>
              </w:rPr>
              <w:t>H1 2020</w:t>
            </w:r>
          </w:p>
        </w:tc>
        <w:tc>
          <w:tcPr>
            <w:tcW w:w="1134" w:type="dxa"/>
            <w:tcBorders>
              <w:bottom w:val="single" w:sz="8" w:space="0" w:color="0070AD" w:themeColor="accent1"/>
            </w:tcBorders>
            <w:shd w:val="clear" w:color="auto" w:fill="auto"/>
            <w:vAlign w:val="center"/>
          </w:tcPr>
          <w:p w14:paraId="45EBC4A5" w14:textId="77777777" w:rsidR="00745FC2" w:rsidRPr="00F4191D" w:rsidRDefault="00745FC2" w:rsidP="00745FC2">
            <w:pPr>
              <w:keepNext/>
              <w:jc w:val="center"/>
              <w:rPr>
                <w:rFonts w:cs="Arial"/>
                <w:b/>
                <w:i/>
                <w:sz w:val="14"/>
                <w:szCs w:val="14"/>
              </w:rPr>
            </w:pPr>
            <w:r w:rsidRPr="00F4191D">
              <w:rPr>
                <w:b/>
                <w:i/>
                <w:sz w:val="14"/>
                <w:szCs w:val="14"/>
              </w:rPr>
              <w:t>Change</w:t>
            </w:r>
          </w:p>
        </w:tc>
      </w:tr>
      <w:tr w:rsidR="001047E0" w:rsidRPr="00F4191D" w14:paraId="1A996FAD" w14:textId="77777777" w:rsidTr="2C79DB7B">
        <w:trPr>
          <w:trHeight w:val="227"/>
          <w:jc w:val="center"/>
        </w:trPr>
        <w:tc>
          <w:tcPr>
            <w:tcW w:w="5998" w:type="dxa"/>
            <w:tcBorders>
              <w:top w:val="single" w:sz="8" w:space="0" w:color="0070AD" w:themeColor="accent1"/>
              <w:bottom w:val="single" w:sz="8" w:space="0" w:color="0070AD" w:themeColor="accent1"/>
            </w:tcBorders>
            <w:vAlign w:val="center"/>
          </w:tcPr>
          <w:p w14:paraId="3CD31C92" w14:textId="77777777" w:rsidR="001047E0" w:rsidRPr="00F4191D" w:rsidRDefault="001047E0" w:rsidP="001047E0">
            <w:pPr>
              <w:keepNext/>
              <w:rPr>
                <w:rFonts w:cs="Arial"/>
                <w:b/>
                <w:color w:val="0070AD" w:themeColor="accent1"/>
                <w:sz w:val="14"/>
                <w:szCs w:val="14"/>
              </w:rPr>
            </w:pPr>
            <w:r w:rsidRPr="00F4191D">
              <w:rPr>
                <w:b/>
                <w:bCs/>
                <w:color w:val="0070AD" w:themeColor="accent1"/>
                <w:sz w:val="14"/>
                <w:szCs w:val="14"/>
              </w:rPr>
              <w:t>Normalized earnings per share</w:t>
            </w:r>
            <w:r w:rsidRPr="00F4191D">
              <w:rPr>
                <w:color w:val="0070AD" w:themeColor="accent1"/>
                <w:sz w:val="14"/>
                <w:szCs w:val="14"/>
              </w:rPr>
              <w:t xml:space="preserve"> </w:t>
            </w:r>
            <w:r w:rsidRPr="00F4191D">
              <w:rPr>
                <w:i/>
                <w:iCs/>
                <w:color w:val="0070AD" w:themeColor="accent1"/>
                <w:sz w:val="14"/>
                <w:szCs w:val="14"/>
              </w:rPr>
              <w:t>(in euros)</w:t>
            </w:r>
          </w:p>
        </w:tc>
        <w:tc>
          <w:tcPr>
            <w:tcW w:w="1474" w:type="dxa"/>
            <w:tcBorders>
              <w:top w:val="single" w:sz="8" w:space="0" w:color="0070AD" w:themeColor="accent1"/>
              <w:bottom w:val="single" w:sz="8" w:space="0" w:color="0070AD" w:themeColor="accent1"/>
            </w:tcBorders>
            <w:shd w:val="clear" w:color="auto" w:fill="auto"/>
            <w:vAlign w:val="center"/>
          </w:tcPr>
          <w:p w14:paraId="09FBE708" w14:textId="4A7FC54B" w:rsidR="001047E0" w:rsidRPr="00F4191D" w:rsidRDefault="001047E0" w:rsidP="001047E0">
            <w:pPr>
              <w:keepNext/>
              <w:ind w:left="-170" w:right="397"/>
              <w:jc w:val="right"/>
              <w:rPr>
                <w:rFonts w:cs="Arial"/>
                <w:b/>
                <w:color w:val="0070AD" w:themeColor="accent1"/>
                <w:sz w:val="14"/>
                <w:szCs w:val="14"/>
              </w:rPr>
            </w:pPr>
            <w:r w:rsidRPr="00F4191D">
              <w:rPr>
                <w:b/>
                <w:color w:val="0070AD" w:themeColor="accent1"/>
                <w:sz w:val="14"/>
                <w:szCs w:val="14"/>
              </w:rPr>
              <w:t>2.90</w:t>
            </w:r>
          </w:p>
        </w:tc>
        <w:tc>
          <w:tcPr>
            <w:tcW w:w="1474" w:type="dxa"/>
            <w:tcBorders>
              <w:top w:val="single" w:sz="8" w:space="0" w:color="0070AD" w:themeColor="accent1"/>
              <w:left w:val="nil"/>
              <w:bottom w:val="single" w:sz="8" w:space="0" w:color="0070AD" w:themeColor="accent1"/>
              <w:right w:val="nil"/>
            </w:tcBorders>
            <w:shd w:val="clear" w:color="auto" w:fill="BBE7FF" w:themeFill="accent1" w:themeFillTint="33"/>
            <w:vAlign w:val="center"/>
          </w:tcPr>
          <w:p w14:paraId="1FDAE29E" w14:textId="5A7953E2" w:rsidR="001047E0" w:rsidRPr="00F4191D" w:rsidRDefault="3361FADE" w:rsidP="2C79DB7B">
            <w:pPr>
              <w:keepNext/>
              <w:ind w:left="-170" w:right="397"/>
              <w:jc w:val="right"/>
              <w:rPr>
                <w:rFonts w:cs="Arial"/>
                <w:b/>
                <w:bCs/>
                <w:color w:val="0070AD" w:themeColor="accent1"/>
                <w:sz w:val="14"/>
                <w:szCs w:val="14"/>
              </w:rPr>
            </w:pPr>
            <w:r w:rsidRPr="00F4191D">
              <w:rPr>
                <w:rFonts w:ascii="Verdana" w:hAnsi="Verdana"/>
                <w:b/>
                <w:bCs/>
                <w:color w:val="0070AD" w:themeColor="accent1"/>
                <w:sz w:val="14"/>
                <w:szCs w:val="14"/>
              </w:rPr>
              <w:t xml:space="preserve">2.80 </w:t>
            </w:r>
          </w:p>
        </w:tc>
        <w:tc>
          <w:tcPr>
            <w:tcW w:w="1134" w:type="dxa"/>
            <w:tcBorders>
              <w:top w:val="single" w:sz="8" w:space="0" w:color="0070AD" w:themeColor="accent1"/>
              <w:left w:val="nil"/>
              <w:bottom w:val="single" w:sz="8" w:space="0" w:color="0070AD" w:themeColor="accent1"/>
              <w:right w:val="nil"/>
            </w:tcBorders>
            <w:shd w:val="clear" w:color="auto" w:fill="FFFFFF" w:themeFill="background1"/>
            <w:vAlign w:val="center"/>
          </w:tcPr>
          <w:p w14:paraId="2B349088" w14:textId="177BE171" w:rsidR="001047E0" w:rsidRPr="00F4191D" w:rsidRDefault="001047E0" w:rsidP="001047E0">
            <w:pPr>
              <w:keepNext/>
              <w:jc w:val="center"/>
              <w:rPr>
                <w:rFonts w:cs="Arial"/>
                <w:b/>
                <w:color w:val="0070AD" w:themeColor="accent1"/>
                <w:sz w:val="14"/>
                <w:szCs w:val="14"/>
              </w:rPr>
            </w:pPr>
            <w:r w:rsidRPr="00F4191D">
              <w:rPr>
                <w:rFonts w:ascii="Verdana" w:hAnsi="Verdana"/>
                <w:b/>
                <w:bCs/>
                <w:color w:val="0070AD"/>
                <w:sz w:val="14"/>
                <w:szCs w:val="14"/>
              </w:rPr>
              <w:t>-4%</w:t>
            </w:r>
          </w:p>
        </w:tc>
      </w:tr>
      <w:tr w:rsidR="001047E0" w:rsidRPr="00F4191D" w14:paraId="5095F4C2" w14:textId="77777777" w:rsidTr="2C79DB7B">
        <w:trPr>
          <w:trHeight w:val="227"/>
          <w:jc w:val="center"/>
        </w:trPr>
        <w:tc>
          <w:tcPr>
            <w:tcW w:w="5998" w:type="dxa"/>
            <w:tcBorders>
              <w:top w:val="single" w:sz="8" w:space="0" w:color="0070AD" w:themeColor="accent1"/>
              <w:bottom w:val="single" w:sz="8" w:space="0" w:color="0070AD" w:themeColor="accent1"/>
            </w:tcBorders>
            <w:vAlign w:val="center"/>
          </w:tcPr>
          <w:p w14:paraId="0B5DF127" w14:textId="0F1221C6" w:rsidR="001047E0" w:rsidRPr="00F4191D" w:rsidRDefault="001047E0" w:rsidP="001047E0">
            <w:pPr>
              <w:keepNext/>
              <w:ind w:left="149"/>
              <w:rPr>
                <w:rFonts w:cs="Arial"/>
                <w:sz w:val="14"/>
                <w:szCs w:val="14"/>
              </w:rPr>
            </w:pPr>
            <w:r w:rsidRPr="00F4191D">
              <w:rPr>
                <w:sz w:val="14"/>
                <w:szCs w:val="14"/>
              </w:rPr>
              <w:t xml:space="preserve">Transitional tax expense </w:t>
            </w:r>
          </w:p>
        </w:tc>
        <w:tc>
          <w:tcPr>
            <w:tcW w:w="1474" w:type="dxa"/>
            <w:tcBorders>
              <w:top w:val="single" w:sz="8" w:space="0" w:color="0070AD" w:themeColor="accent1"/>
              <w:bottom w:val="single" w:sz="8" w:space="0" w:color="0070AD" w:themeColor="accent1"/>
            </w:tcBorders>
            <w:shd w:val="clear" w:color="auto" w:fill="auto"/>
            <w:vAlign w:val="center"/>
          </w:tcPr>
          <w:p w14:paraId="2DF92C93" w14:textId="55225879" w:rsidR="001047E0" w:rsidRPr="00F4191D" w:rsidRDefault="001047E0" w:rsidP="001047E0">
            <w:pPr>
              <w:keepNext/>
              <w:ind w:left="-170" w:right="397"/>
              <w:jc w:val="right"/>
              <w:rPr>
                <w:rFonts w:cs="Arial"/>
                <w:sz w:val="14"/>
                <w:szCs w:val="14"/>
              </w:rPr>
            </w:pPr>
            <w:r w:rsidRPr="00F4191D">
              <w:rPr>
                <w:sz w:val="14"/>
                <w:szCs w:val="14"/>
              </w:rPr>
              <w:t>30</w:t>
            </w:r>
          </w:p>
        </w:tc>
        <w:tc>
          <w:tcPr>
            <w:tcW w:w="1474" w:type="dxa"/>
            <w:tcBorders>
              <w:top w:val="nil"/>
              <w:left w:val="nil"/>
              <w:bottom w:val="single" w:sz="8" w:space="0" w:color="0070AD" w:themeColor="accent1"/>
              <w:right w:val="nil"/>
            </w:tcBorders>
            <w:shd w:val="clear" w:color="auto" w:fill="BBE7FF" w:themeFill="accent1" w:themeFillTint="33"/>
            <w:vAlign w:val="center"/>
          </w:tcPr>
          <w:p w14:paraId="4B2FE136" w14:textId="71E6772D" w:rsidR="001047E0" w:rsidRPr="00F4191D" w:rsidRDefault="00E930E6" w:rsidP="001047E0">
            <w:pPr>
              <w:keepNext/>
              <w:ind w:right="397"/>
              <w:jc w:val="right"/>
              <w:rPr>
                <w:rFonts w:cs="Arial"/>
                <w:sz w:val="14"/>
                <w:szCs w:val="14"/>
                <w:highlight w:val="yellow"/>
              </w:rPr>
            </w:pPr>
            <w:r w:rsidRPr="00F4191D">
              <w:rPr>
                <w:sz w:val="14"/>
                <w:szCs w:val="14"/>
              </w:rPr>
              <w:t>26</w:t>
            </w:r>
          </w:p>
        </w:tc>
        <w:tc>
          <w:tcPr>
            <w:tcW w:w="1134" w:type="dxa"/>
            <w:tcBorders>
              <w:top w:val="nil"/>
              <w:left w:val="nil"/>
              <w:bottom w:val="single" w:sz="8" w:space="0" w:color="0070AD" w:themeColor="accent1"/>
              <w:right w:val="nil"/>
            </w:tcBorders>
            <w:shd w:val="clear" w:color="auto" w:fill="FFFFFF" w:themeFill="background1"/>
            <w:vAlign w:val="center"/>
          </w:tcPr>
          <w:p w14:paraId="06DFBE58" w14:textId="3176E758" w:rsidR="001047E0" w:rsidRPr="00F4191D" w:rsidRDefault="3361FADE" w:rsidP="001047E0">
            <w:pPr>
              <w:keepNext/>
              <w:jc w:val="center"/>
              <w:rPr>
                <w:rFonts w:cs="Arial"/>
                <w:sz w:val="14"/>
                <w:szCs w:val="14"/>
                <w:highlight w:val="yellow"/>
              </w:rPr>
            </w:pPr>
            <w:r w:rsidRPr="00F4191D">
              <w:rPr>
                <w:rFonts w:ascii="Verdana" w:hAnsi="Verdana"/>
                <w:color w:val="000000" w:themeColor="text1"/>
                <w:sz w:val="14"/>
                <w:szCs w:val="14"/>
                <w:highlight w:val="yellow"/>
              </w:rPr>
              <w:t xml:space="preserve"> </w:t>
            </w:r>
            <w:r w:rsidRPr="00F4191D">
              <w:rPr>
                <w:rFonts w:ascii="Verdana" w:hAnsi="Verdana"/>
                <w:sz w:val="14"/>
                <w:szCs w:val="14"/>
                <w:highlight w:val="yellow"/>
              </w:rPr>
              <w:t xml:space="preserve">                              </w:t>
            </w:r>
            <w:r w:rsidRPr="00F4191D">
              <w:rPr>
                <w:rFonts w:ascii="Verdana" w:hAnsi="Verdana"/>
                <w:color w:val="000000" w:themeColor="text1"/>
                <w:sz w:val="14"/>
                <w:szCs w:val="14"/>
                <w:highlight w:val="yellow"/>
              </w:rPr>
              <w:t xml:space="preserve"> </w:t>
            </w:r>
          </w:p>
        </w:tc>
      </w:tr>
      <w:tr w:rsidR="001047E0" w:rsidRPr="00F4191D" w14:paraId="6162426A" w14:textId="77777777" w:rsidTr="2C79DB7B">
        <w:trPr>
          <w:trHeight w:val="227"/>
          <w:jc w:val="center"/>
        </w:trPr>
        <w:tc>
          <w:tcPr>
            <w:tcW w:w="5998" w:type="dxa"/>
            <w:tcBorders>
              <w:top w:val="single" w:sz="8" w:space="0" w:color="0070AD" w:themeColor="accent1"/>
              <w:bottom w:val="single" w:sz="8" w:space="0" w:color="0070AD" w:themeColor="accent1"/>
            </w:tcBorders>
            <w:vAlign w:val="center"/>
          </w:tcPr>
          <w:p w14:paraId="23DB988F" w14:textId="77777777" w:rsidR="001047E0" w:rsidRPr="00F4191D" w:rsidRDefault="001047E0" w:rsidP="001047E0">
            <w:pPr>
              <w:keepNext/>
              <w:ind w:left="149"/>
              <w:rPr>
                <w:rFonts w:cs="Arial"/>
                <w:sz w:val="14"/>
                <w:szCs w:val="14"/>
              </w:rPr>
            </w:pPr>
            <w:r w:rsidRPr="00F4191D">
              <w:rPr>
                <w:sz w:val="14"/>
                <w:szCs w:val="14"/>
              </w:rPr>
              <w:t>Average number of shares outstanding</w:t>
            </w:r>
          </w:p>
        </w:tc>
        <w:tc>
          <w:tcPr>
            <w:tcW w:w="1474" w:type="dxa"/>
            <w:tcBorders>
              <w:top w:val="single" w:sz="8" w:space="0" w:color="0070AD" w:themeColor="accent1"/>
              <w:bottom w:val="single" w:sz="8" w:space="0" w:color="0070AD" w:themeColor="accent1"/>
            </w:tcBorders>
            <w:shd w:val="clear" w:color="auto" w:fill="auto"/>
            <w:vAlign w:val="center"/>
          </w:tcPr>
          <w:p w14:paraId="3A7876DF" w14:textId="69CBA8B6" w:rsidR="001047E0" w:rsidRPr="00F4191D" w:rsidRDefault="001047E0" w:rsidP="001047E0">
            <w:pPr>
              <w:keepNext/>
              <w:jc w:val="center"/>
              <w:rPr>
                <w:rFonts w:cs="Arial"/>
                <w:sz w:val="14"/>
                <w:szCs w:val="14"/>
              </w:rPr>
            </w:pPr>
            <w:r w:rsidRPr="00F4191D">
              <w:rPr>
                <w:sz w:val="14"/>
                <w:szCs w:val="14"/>
              </w:rPr>
              <w:t>165,843,357</w:t>
            </w:r>
          </w:p>
        </w:tc>
        <w:tc>
          <w:tcPr>
            <w:tcW w:w="1474" w:type="dxa"/>
            <w:tcBorders>
              <w:top w:val="nil"/>
              <w:left w:val="nil"/>
              <w:bottom w:val="single" w:sz="8" w:space="0" w:color="0070AD" w:themeColor="accent1"/>
              <w:right w:val="nil"/>
            </w:tcBorders>
            <w:shd w:val="clear" w:color="auto" w:fill="BBE7FF" w:themeFill="accent1" w:themeFillTint="33"/>
            <w:vAlign w:val="center"/>
          </w:tcPr>
          <w:p w14:paraId="3A752972" w14:textId="4589FF7E" w:rsidR="001047E0" w:rsidRPr="00F4191D" w:rsidRDefault="001047E0" w:rsidP="001047E0">
            <w:pPr>
              <w:keepNext/>
              <w:jc w:val="center"/>
              <w:rPr>
                <w:rFonts w:cs="Arial"/>
                <w:sz w:val="14"/>
                <w:szCs w:val="14"/>
              </w:rPr>
            </w:pPr>
            <w:r w:rsidRPr="00F4191D">
              <w:rPr>
                <w:rFonts w:ascii="Verdana" w:hAnsi="Verdana"/>
                <w:color w:val="000000"/>
                <w:sz w:val="14"/>
                <w:szCs w:val="14"/>
              </w:rPr>
              <w:t>167,646,025</w:t>
            </w:r>
          </w:p>
        </w:tc>
        <w:tc>
          <w:tcPr>
            <w:tcW w:w="1134" w:type="dxa"/>
            <w:tcBorders>
              <w:top w:val="nil"/>
              <w:left w:val="nil"/>
              <w:bottom w:val="single" w:sz="8" w:space="0" w:color="0070AD" w:themeColor="accent1"/>
              <w:right w:val="nil"/>
            </w:tcBorders>
            <w:shd w:val="clear" w:color="auto" w:fill="FFFFFF" w:themeFill="background1"/>
            <w:vAlign w:val="center"/>
          </w:tcPr>
          <w:p w14:paraId="3BC3CB7D" w14:textId="4FC168AC" w:rsidR="001047E0" w:rsidRPr="00F4191D" w:rsidRDefault="001047E0" w:rsidP="001047E0">
            <w:pPr>
              <w:keepNext/>
              <w:jc w:val="center"/>
              <w:rPr>
                <w:rFonts w:cs="Arial"/>
                <w:sz w:val="14"/>
                <w:szCs w:val="14"/>
              </w:rPr>
            </w:pPr>
            <w:r w:rsidRPr="00F4191D">
              <w:rPr>
                <w:rFonts w:ascii="Verdana" w:hAnsi="Verdana"/>
                <w:color w:val="000000"/>
                <w:sz w:val="14"/>
                <w:szCs w:val="14"/>
              </w:rPr>
              <w:t xml:space="preserve">                                  </w:t>
            </w:r>
          </w:p>
        </w:tc>
      </w:tr>
      <w:tr w:rsidR="001047E0" w:rsidRPr="00F4191D" w14:paraId="6FB68056" w14:textId="77777777" w:rsidTr="2C79DB7B">
        <w:trPr>
          <w:trHeight w:val="227"/>
          <w:jc w:val="center"/>
        </w:trPr>
        <w:tc>
          <w:tcPr>
            <w:tcW w:w="5998" w:type="dxa"/>
            <w:tcBorders>
              <w:top w:val="single" w:sz="8" w:space="0" w:color="0070AD" w:themeColor="accent1"/>
              <w:bottom w:val="single" w:sz="8" w:space="0" w:color="0070AD" w:themeColor="accent1"/>
            </w:tcBorders>
            <w:vAlign w:val="center"/>
          </w:tcPr>
          <w:p w14:paraId="119ACBB4" w14:textId="5F952BBF" w:rsidR="001047E0" w:rsidRPr="00F4191D" w:rsidRDefault="001047E0" w:rsidP="001047E0">
            <w:pPr>
              <w:keepNext/>
              <w:ind w:left="175"/>
              <w:rPr>
                <w:rFonts w:cs="Arial"/>
                <w:b/>
                <w:color w:val="0070AD" w:themeColor="accent1"/>
                <w:sz w:val="14"/>
                <w:szCs w:val="14"/>
              </w:rPr>
            </w:pPr>
            <w:r w:rsidRPr="00F4191D">
              <w:rPr>
                <w:b/>
                <w:color w:val="0070AD" w:themeColor="accent1"/>
                <w:sz w:val="14"/>
                <w:szCs w:val="14"/>
              </w:rPr>
              <w:t xml:space="preserve">Impact of the transitional tax expense </w:t>
            </w:r>
            <w:r w:rsidRPr="00F4191D">
              <w:rPr>
                <w:i/>
                <w:iCs/>
                <w:color w:val="0070AD" w:themeColor="accent1"/>
                <w:sz w:val="14"/>
                <w:szCs w:val="14"/>
              </w:rPr>
              <w:t>(in euros)</w:t>
            </w:r>
          </w:p>
        </w:tc>
        <w:tc>
          <w:tcPr>
            <w:tcW w:w="1474" w:type="dxa"/>
            <w:tcBorders>
              <w:top w:val="single" w:sz="8" w:space="0" w:color="0070AD" w:themeColor="accent1"/>
              <w:bottom w:val="single" w:sz="8" w:space="0" w:color="0070AD" w:themeColor="accent1"/>
            </w:tcBorders>
            <w:shd w:val="clear" w:color="auto" w:fill="auto"/>
            <w:vAlign w:val="center"/>
          </w:tcPr>
          <w:p w14:paraId="7A858125" w14:textId="32DA61D4" w:rsidR="001047E0" w:rsidRPr="00F4191D" w:rsidRDefault="001047E0" w:rsidP="001047E0">
            <w:pPr>
              <w:keepNext/>
              <w:ind w:left="-170" w:right="397"/>
              <w:jc w:val="right"/>
              <w:rPr>
                <w:rFonts w:cs="Arial"/>
                <w:b/>
                <w:color w:val="0070AD" w:themeColor="accent1"/>
                <w:sz w:val="14"/>
                <w:szCs w:val="14"/>
              </w:rPr>
            </w:pPr>
            <w:r w:rsidRPr="00F4191D">
              <w:rPr>
                <w:b/>
                <w:color w:val="0070AD" w:themeColor="accent1"/>
                <w:sz w:val="14"/>
                <w:szCs w:val="14"/>
              </w:rPr>
              <w:t>0.18</w:t>
            </w:r>
          </w:p>
        </w:tc>
        <w:tc>
          <w:tcPr>
            <w:tcW w:w="1474" w:type="dxa"/>
            <w:tcBorders>
              <w:top w:val="nil"/>
              <w:left w:val="nil"/>
              <w:bottom w:val="single" w:sz="8" w:space="0" w:color="0070AD" w:themeColor="accent1"/>
              <w:right w:val="nil"/>
            </w:tcBorders>
            <w:shd w:val="clear" w:color="auto" w:fill="BBE7FF" w:themeFill="accent1" w:themeFillTint="33"/>
            <w:vAlign w:val="center"/>
          </w:tcPr>
          <w:p w14:paraId="6EB85097" w14:textId="7B93F245" w:rsidR="001047E0" w:rsidRPr="00F4191D" w:rsidRDefault="008321CE" w:rsidP="001047E0">
            <w:pPr>
              <w:keepNext/>
              <w:ind w:left="-170" w:right="397"/>
              <w:jc w:val="right"/>
              <w:rPr>
                <w:rFonts w:cs="Arial"/>
                <w:b/>
                <w:color w:val="0070AD" w:themeColor="accent1"/>
                <w:sz w:val="14"/>
                <w:szCs w:val="14"/>
                <w:highlight w:val="yellow"/>
              </w:rPr>
            </w:pPr>
            <w:r w:rsidRPr="00F4191D">
              <w:rPr>
                <w:b/>
                <w:color w:val="0070AD" w:themeColor="accent1"/>
                <w:sz w:val="14"/>
                <w:szCs w:val="14"/>
              </w:rPr>
              <w:t>0.15</w:t>
            </w:r>
          </w:p>
        </w:tc>
        <w:tc>
          <w:tcPr>
            <w:tcW w:w="1134" w:type="dxa"/>
            <w:tcBorders>
              <w:top w:val="nil"/>
              <w:left w:val="nil"/>
              <w:bottom w:val="single" w:sz="8" w:space="0" w:color="0070AD" w:themeColor="accent1"/>
              <w:right w:val="nil"/>
            </w:tcBorders>
            <w:shd w:val="clear" w:color="auto" w:fill="FFFFFF" w:themeFill="background1"/>
            <w:vAlign w:val="center"/>
          </w:tcPr>
          <w:p w14:paraId="2FF89D47" w14:textId="1BA5E8B8" w:rsidR="001047E0" w:rsidRPr="00F4191D" w:rsidRDefault="001047E0" w:rsidP="001047E0">
            <w:pPr>
              <w:keepNext/>
              <w:jc w:val="center"/>
              <w:rPr>
                <w:rFonts w:cs="Arial"/>
                <w:b/>
                <w:color w:val="0070AD" w:themeColor="accent1"/>
                <w:sz w:val="14"/>
                <w:szCs w:val="14"/>
                <w:highlight w:val="yellow"/>
              </w:rPr>
            </w:pPr>
          </w:p>
        </w:tc>
      </w:tr>
      <w:tr w:rsidR="001047E0" w:rsidRPr="00F4191D" w14:paraId="3D5C3D3F" w14:textId="77777777" w:rsidTr="2C79DB7B">
        <w:trPr>
          <w:trHeight w:val="227"/>
          <w:jc w:val="center"/>
        </w:trPr>
        <w:tc>
          <w:tcPr>
            <w:tcW w:w="5998" w:type="dxa"/>
            <w:tcBorders>
              <w:top w:val="single" w:sz="8" w:space="0" w:color="0070AD" w:themeColor="accent1"/>
              <w:bottom w:val="single" w:sz="8" w:space="0" w:color="0070AD" w:themeColor="accent1"/>
            </w:tcBorders>
            <w:vAlign w:val="center"/>
          </w:tcPr>
          <w:p w14:paraId="47665163" w14:textId="1CEC5050" w:rsidR="001047E0" w:rsidRPr="00F4191D" w:rsidRDefault="001047E0" w:rsidP="001047E0">
            <w:pPr>
              <w:keepNext/>
              <w:jc w:val="left"/>
              <w:rPr>
                <w:rFonts w:cs="Arial"/>
                <w:b/>
                <w:color w:val="0070AD" w:themeColor="accent1"/>
                <w:sz w:val="14"/>
                <w:szCs w:val="14"/>
              </w:rPr>
            </w:pPr>
            <w:r w:rsidRPr="00F4191D">
              <w:rPr>
                <w:b/>
                <w:color w:val="0070AD" w:themeColor="accent1"/>
                <w:sz w:val="14"/>
                <w:szCs w:val="14"/>
              </w:rPr>
              <w:t xml:space="preserve">Normalized earnings per share – excluding the transitional tax expense </w:t>
            </w:r>
            <w:r w:rsidRPr="00F4191D">
              <w:rPr>
                <w:i/>
                <w:color w:val="0070AD" w:themeColor="accent1"/>
                <w:sz w:val="14"/>
                <w:szCs w:val="14"/>
              </w:rPr>
              <w:t>(in euros)</w:t>
            </w:r>
          </w:p>
        </w:tc>
        <w:tc>
          <w:tcPr>
            <w:tcW w:w="1474" w:type="dxa"/>
            <w:tcBorders>
              <w:top w:val="single" w:sz="8" w:space="0" w:color="0070AD" w:themeColor="accent1"/>
              <w:bottom w:val="single" w:sz="8" w:space="0" w:color="0070AD" w:themeColor="accent1"/>
            </w:tcBorders>
            <w:shd w:val="clear" w:color="auto" w:fill="auto"/>
            <w:vAlign w:val="center"/>
          </w:tcPr>
          <w:p w14:paraId="3B4D1D67" w14:textId="20DBA75F" w:rsidR="001047E0" w:rsidRPr="00F4191D" w:rsidRDefault="001047E0" w:rsidP="001047E0">
            <w:pPr>
              <w:keepNext/>
              <w:ind w:left="-170" w:right="397"/>
              <w:jc w:val="right"/>
              <w:rPr>
                <w:rFonts w:cs="Arial"/>
                <w:b/>
                <w:color w:val="0070AD" w:themeColor="accent1"/>
                <w:sz w:val="14"/>
                <w:szCs w:val="14"/>
              </w:rPr>
            </w:pPr>
            <w:r w:rsidRPr="00F4191D">
              <w:rPr>
                <w:b/>
                <w:color w:val="0070AD" w:themeColor="accent1"/>
                <w:sz w:val="14"/>
                <w:szCs w:val="14"/>
              </w:rPr>
              <w:t>3.08</w:t>
            </w:r>
          </w:p>
        </w:tc>
        <w:tc>
          <w:tcPr>
            <w:tcW w:w="1474" w:type="dxa"/>
            <w:tcBorders>
              <w:top w:val="nil"/>
              <w:left w:val="nil"/>
              <w:bottom w:val="single" w:sz="8" w:space="0" w:color="0070AD" w:themeColor="accent1"/>
              <w:right w:val="nil"/>
            </w:tcBorders>
            <w:shd w:val="clear" w:color="auto" w:fill="BBE7FF" w:themeFill="accent1" w:themeFillTint="33"/>
            <w:vAlign w:val="center"/>
          </w:tcPr>
          <w:p w14:paraId="186DDB7A" w14:textId="378DCF00" w:rsidR="001047E0" w:rsidRPr="00F4191D" w:rsidRDefault="00E930E6" w:rsidP="001047E0">
            <w:pPr>
              <w:keepNext/>
              <w:ind w:left="-170" w:right="397"/>
              <w:jc w:val="right"/>
              <w:rPr>
                <w:rFonts w:cs="Arial"/>
                <w:b/>
                <w:color w:val="0070AD" w:themeColor="accent1"/>
                <w:sz w:val="14"/>
                <w:szCs w:val="14"/>
                <w:highlight w:val="yellow"/>
              </w:rPr>
            </w:pPr>
            <w:r w:rsidRPr="00F4191D">
              <w:rPr>
                <w:b/>
                <w:color w:val="0070AD" w:themeColor="accent1"/>
                <w:sz w:val="14"/>
                <w:szCs w:val="14"/>
              </w:rPr>
              <w:t>2.95</w:t>
            </w:r>
          </w:p>
        </w:tc>
        <w:tc>
          <w:tcPr>
            <w:tcW w:w="1134" w:type="dxa"/>
            <w:tcBorders>
              <w:top w:val="nil"/>
              <w:left w:val="nil"/>
              <w:bottom w:val="single" w:sz="8" w:space="0" w:color="0070AD" w:themeColor="accent1"/>
              <w:right w:val="nil"/>
            </w:tcBorders>
            <w:shd w:val="clear" w:color="auto" w:fill="FFFFFF" w:themeFill="background1"/>
            <w:vAlign w:val="center"/>
          </w:tcPr>
          <w:p w14:paraId="49898FBE" w14:textId="4945F3C7" w:rsidR="001047E0" w:rsidRPr="00F4191D" w:rsidRDefault="008321CE" w:rsidP="001047E0">
            <w:pPr>
              <w:keepNext/>
              <w:jc w:val="center"/>
              <w:rPr>
                <w:rFonts w:cs="Arial"/>
                <w:b/>
                <w:color w:val="0070AD" w:themeColor="accent1"/>
                <w:sz w:val="14"/>
                <w:szCs w:val="14"/>
                <w:highlight w:val="yellow"/>
              </w:rPr>
            </w:pPr>
            <w:r w:rsidRPr="00F4191D">
              <w:rPr>
                <w:b/>
                <w:color w:val="0070AD" w:themeColor="accent1"/>
                <w:sz w:val="14"/>
                <w:szCs w:val="14"/>
              </w:rPr>
              <w:t>-4%</w:t>
            </w:r>
          </w:p>
        </w:tc>
      </w:tr>
    </w:tbl>
    <w:p w14:paraId="622F129C" w14:textId="77777777" w:rsidR="00170B33" w:rsidRPr="00F4191D" w:rsidRDefault="00170B33" w:rsidP="00B00202">
      <w:pPr>
        <w:spacing w:before="120" w:after="120"/>
        <w:rPr>
          <w:rFonts w:ascii="Verdana" w:hAnsi="Verdana" w:cs="Arial"/>
        </w:rPr>
      </w:pPr>
    </w:p>
    <w:bookmarkEnd w:id="22"/>
    <w:p w14:paraId="1E760410" w14:textId="0D702C1F" w:rsidR="006866C7" w:rsidRPr="00F4191D" w:rsidRDefault="006866C7" w:rsidP="006866C7">
      <w:pPr>
        <w:pStyle w:val="Heading1"/>
      </w:pPr>
      <w:r w:rsidRPr="00F4191D">
        <w:t xml:space="preserve">CHANGE IN CASH AND CASH EQUIVALENTS AND ORGANIC FREE CASH FLOW </w:t>
      </w:r>
    </w:p>
    <w:tbl>
      <w:tblPr>
        <w:tblW w:w="4948" w:type="pct"/>
        <w:jc w:val="center"/>
        <w:tblCellMar>
          <w:left w:w="0" w:type="dxa"/>
          <w:right w:w="0" w:type="dxa"/>
        </w:tblCellMar>
        <w:tblLook w:val="04A0" w:firstRow="1" w:lastRow="0" w:firstColumn="1" w:lastColumn="0" w:noHBand="0" w:noVBand="1"/>
      </w:tblPr>
      <w:tblGrid>
        <w:gridCol w:w="6338"/>
        <w:gridCol w:w="1870"/>
        <w:gridCol w:w="1868"/>
      </w:tblGrid>
      <w:tr w:rsidR="006866C7" w:rsidRPr="00F4191D" w14:paraId="4575A58E" w14:textId="77777777" w:rsidTr="00944C01">
        <w:trPr>
          <w:trHeight w:val="227"/>
          <w:jc w:val="center"/>
        </w:trPr>
        <w:tc>
          <w:tcPr>
            <w:tcW w:w="3145"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30869E13" w14:textId="77777777" w:rsidR="006866C7" w:rsidRPr="00F4191D" w:rsidRDefault="006866C7" w:rsidP="00E178EA">
            <w:pPr>
              <w:keepNext/>
              <w:jc w:val="center"/>
              <w:rPr>
                <w:rFonts w:cs="Arial"/>
                <w:sz w:val="14"/>
                <w:szCs w:val="12"/>
              </w:rPr>
            </w:pPr>
            <w:r w:rsidRPr="00F4191D">
              <w:rPr>
                <w:i/>
                <w:iCs/>
                <w:sz w:val="14"/>
                <w:szCs w:val="12"/>
              </w:rPr>
              <w:t>(in millions of euros)</w:t>
            </w:r>
          </w:p>
        </w:tc>
        <w:tc>
          <w:tcPr>
            <w:tcW w:w="928"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06BC4C0A" w14:textId="14B1A5B9" w:rsidR="00CE401A" w:rsidRPr="00F4191D" w:rsidRDefault="006866C7" w:rsidP="00A9758A">
            <w:pPr>
              <w:keepNext/>
              <w:jc w:val="center"/>
              <w:rPr>
                <w:rFonts w:ascii="Verdana" w:hAnsi="Verdana" w:cs="Arial"/>
                <w:b/>
                <w:sz w:val="14"/>
                <w:szCs w:val="16"/>
              </w:rPr>
            </w:pPr>
            <w:r w:rsidRPr="00F4191D">
              <w:rPr>
                <w:rFonts w:ascii="Verdana" w:hAnsi="Verdana"/>
                <w:b/>
                <w:sz w:val="14"/>
                <w:szCs w:val="16"/>
              </w:rPr>
              <w:t>H1 2019</w:t>
            </w:r>
          </w:p>
          <w:p w14:paraId="1F9BC57C" w14:textId="4B5275E0" w:rsidR="00041C5B" w:rsidRPr="00F4191D" w:rsidRDefault="00041C5B" w:rsidP="00E178EA">
            <w:pPr>
              <w:keepNext/>
              <w:jc w:val="center"/>
              <w:rPr>
                <w:rFonts w:cs="Arial"/>
                <w:b/>
                <w:bCs/>
                <w:sz w:val="14"/>
                <w:szCs w:val="12"/>
              </w:rPr>
            </w:pPr>
          </w:p>
        </w:tc>
        <w:tc>
          <w:tcPr>
            <w:tcW w:w="927" w:type="pct"/>
            <w:tcBorders>
              <w:top w:val="nil"/>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hideMark/>
          </w:tcPr>
          <w:p w14:paraId="35F3FB77" w14:textId="77777777" w:rsidR="006866C7" w:rsidRPr="00F4191D" w:rsidRDefault="006866C7" w:rsidP="00E178EA">
            <w:pPr>
              <w:keepNext/>
              <w:jc w:val="center"/>
              <w:rPr>
                <w:rFonts w:ascii="Verdana" w:hAnsi="Verdana" w:cs="Arial"/>
                <w:b/>
                <w:sz w:val="14"/>
                <w:szCs w:val="16"/>
              </w:rPr>
            </w:pPr>
            <w:r w:rsidRPr="00F4191D">
              <w:rPr>
                <w:rFonts w:ascii="Verdana" w:hAnsi="Verdana"/>
                <w:b/>
                <w:sz w:val="14"/>
                <w:szCs w:val="16"/>
              </w:rPr>
              <w:t>H1 2020</w:t>
            </w:r>
          </w:p>
          <w:p w14:paraId="6C02E0C4" w14:textId="6F7E5795" w:rsidR="00041C5B" w:rsidRPr="00F4191D" w:rsidRDefault="00041C5B" w:rsidP="00A9758A">
            <w:pPr>
              <w:keepNext/>
              <w:jc w:val="center"/>
              <w:rPr>
                <w:rFonts w:ascii="Verdana" w:hAnsi="Verdana" w:cs="Arial"/>
                <w:b/>
                <w:sz w:val="14"/>
                <w:szCs w:val="16"/>
              </w:rPr>
            </w:pPr>
          </w:p>
        </w:tc>
      </w:tr>
      <w:tr w:rsidR="001047E0" w:rsidRPr="00F4191D" w14:paraId="2E4ECCB5" w14:textId="77777777" w:rsidTr="00391FBA">
        <w:trPr>
          <w:trHeight w:val="170"/>
          <w:jc w:val="center"/>
        </w:trPr>
        <w:tc>
          <w:tcPr>
            <w:tcW w:w="3145" w:type="pct"/>
            <w:tcBorders>
              <w:top w:val="single" w:sz="8" w:space="0" w:color="0070AD" w:themeColor="accent1"/>
              <w:left w:val="nil"/>
              <w:bottom w:val="single" w:sz="8" w:space="0" w:color="0070AD" w:themeColor="accent1"/>
              <w:right w:val="nil"/>
            </w:tcBorders>
            <w:tcMar>
              <w:top w:w="28" w:type="dxa"/>
              <w:left w:w="28" w:type="dxa"/>
              <w:bottom w:w="28" w:type="dxa"/>
              <w:right w:w="28" w:type="dxa"/>
            </w:tcMar>
            <w:vAlign w:val="center"/>
            <w:hideMark/>
          </w:tcPr>
          <w:p w14:paraId="4D5D1738" w14:textId="77777777" w:rsidR="001047E0" w:rsidRPr="00F4191D" w:rsidRDefault="001047E0" w:rsidP="001047E0">
            <w:pPr>
              <w:keepNext/>
              <w:ind w:left="114"/>
              <w:rPr>
                <w:rFonts w:cs="Arial"/>
                <w:b/>
                <w:bCs/>
                <w:iCs/>
                <w:color w:val="0070AD" w:themeColor="accent1"/>
                <w:sz w:val="14"/>
                <w:szCs w:val="12"/>
              </w:rPr>
            </w:pPr>
            <w:r w:rsidRPr="00F4191D">
              <w:rPr>
                <w:b/>
                <w:bCs/>
                <w:iCs/>
                <w:color w:val="0070AD" w:themeColor="accent1"/>
                <w:sz w:val="14"/>
                <w:szCs w:val="12"/>
              </w:rPr>
              <w:t>Net cash from operating activities</w:t>
            </w:r>
          </w:p>
        </w:tc>
        <w:tc>
          <w:tcPr>
            <w:tcW w:w="928"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0750A8FF" w14:textId="47603277" w:rsidR="001047E0" w:rsidRPr="00F4191D" w:rsidRDefault="001047E0" w:rsidP="001047E0">
            <w:pPr>
              <w:keepNext/>
              <w:ind w:right="538"/>
              <w:jc w:val="right"/>
              <w:rPr>
                <w:rFonts w:cs="Arial"/>
                <w:b/>
                <w:bCs/>
                <w:color w:val="0070AD" w:themeColor="accent1"/>
                <w:sz w:val="14"/>
                <w:szCs w:val="12"/>
              </w:rPr>
            </w:pPr>
            <w:r w:rsidRPr="00F4191D">
              <w:rPr>
                <w:rFonts w:ascii="Verdana" w:hAnsi="Verdana"/>
                <w:b/>
                <w:bCs/>
                <w:color w:val="0070AD" w:themeColor="accent1"/>
                <w:sz w:val="14"/>
                <w:szCs w:val="18"/>
              </w:rPr>
              <w:t>337</w:t>
            </w:r>
          </w:p>
        </w:tc>
        <w:tc>
          <w:tcPr>
            <w:tcW w:w="927" w:type="pct"/>
            <w:tcBorders>
              <w:top w:val="nil"/>
              <w:left w:val="nil"/>
              <w:bottom w:val="single" w:sz="8" w:space="0" w:color="0070AD"/>
              <w:right w:val="nil"/>
            </w:tcBorders>
            <w:shd w:val="clear" w:color="000000" w:fill="BBE7FF"/>
            <w:tcMar>
              <w:top w:w="28" w:type="dxa"/>
              <w:left w:w="28" w:type="dxa"/>
              <w:bottom w:w="28" w:type="dxa"/>
              <w:right w:w="28" w:type="dxa"/>
            </w:tcMar>
            <w:vAlign w:val="center"/>
          </w:tcPr>
          <w:p w14:paraId="3C6FF675" w14:textId="139723FC" w:rsidR="001047E0" w:rsidRPr="00F4191D" w:rsidRDefault="001047E0" w:rsidP="001047E0">
            <w:pPr>
              <w:keepNext/>
              <w:ind w:right="538"/>
              <w:jc w:val="right"/>
              <w:rPr>
                <w:rFonts w:cs="Arial"/>
                <w:b/>
                <w:bCs/>
                <w:color w:val="0070AD" w:themeColor="accent1"/>
                <w:sz w:val="14"/>
                <w:szCs w:val="14"/>
              </w:rPr>
            </w:pPr>
            <w:r w:rsidRPr="00F4191D">
              <w:rPr>
                <w:rFonts w:ascii="Verdana" w:hAnsi="Verdana"/>
                <w:b/>
                <w:bCs/>
                <w:color w:val="0070AD"/>
                <w:sz w:val="14"/>
                <w:szCs w:val="14"/>
              </w:rPr>
              <w:t xml:space="preserve">         362 </w:t>
            </w:r>
          </w:p>
        </w:tc>
      </w:tr>
      <w:tr w:rsidR="001047E0" w:rsidRPr="00F4191D" w14:paraId="5AAD8E6D" w14:textId="77777777" w:rsidTr="00391FBA">
        <w:trPr>
          <w:trHeight w:val="170"/>
          <w:jc w:val="center"/>
        </w:trPr>
        <w:tc>
          <w:tcPr>
            <w:tcW w:w="3145" w:type="pct"/>
            <w:tcBorders>
              <w:top w:val="single" w:sz="8" w:space="0" w:color="0070AD" w:themeColor="accent1"/>
              <w:left w:val="nil"/>
              <w:right w:val="nil"/>
            </w:tcBorders>
            <w:tcMar>
              <w:top w:w="28" w:type="dxa"/>
              <w:left w:w="28" w:type="dxa"/>
              <w:bottom w:w="28" w:type="dxa"/>
              <w:right w:w="28" w:type="dxa"/>
            </w:tcMar>
            <w:vAlign w:val="center"/>
            <w:hideMark/>
          </w:tcPr>
          <w:p w14:paraId="20100C4E" w14:textId="77777777" w:rsidR="001047E0" w:rsidRPr="00F4191D" w:rsidRDefault="001047E0" w:rsidP="001047E0">
            <w:pPr>
              <w:keepNext/>
              <w:ind w:left="256"/>
              <w:rPr>
                <w:rFonts w:cs="Arial"/>
                <w:bCs/>
                <w:sz w:val="14"/>
                <w:szCs w:val="12"/>
              </w:rPr>
            </w:pPr>
            <w:r w:rsidRPr="00F4191D">
              <w:rPr>
                <w:bCs/>
                <w:sz w:val="14"/>
                <w:szCs w:val="12"/>
              </w:rPr>
              <w:t>Acquisitions of property, plant and equipment and intangible assets, net of disposals</w:t>
            </w:r>
          </w:p>
        </w:tc>
        <w:tc>
          <w:tcPr>
            <w:tcW w:w="928"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22B4C9EE" w14:textId="62E21F37" w:rsidR="001047E0" w:rsidRPr="00F4191D" w:rsidRDefault="001047E0" w:rsidP="001047E0">
            <w:pPr>
              <w:keepNext/>
              <w:ind w:right="538"/>
              <w:jc w:val="right"/>
              <w:rPr>
                <w:rFonts w:cs="Arial"/>
                <w:sz w:val="14"/>
                <w:szCs w:val="12"/>
              </w:rPr>
            </w:pPr>
            <w:r w:rsidRPr="00F4191D">
              <w:rPr>
                <w:rFonts w:ascii="Verdana" w:hAnsi="Verdana"/>
                <w:bCs/>
                <w:sz w:val="14"/>
                <w:szCs w:val="18"/>
              </w:rPr>
              <w:t>(118)</w:t>
            </w:r>
          </w:p>
        </w:tc>
        <w:tc>
          <w:tcPr>
            <w:tcW w:w="927" w:type="pct"/>
            <w:tcBorders>
              <w:top w:val="nil"/>
              <w:left w:val="nil"/>
              <w:bottom w:val="nil"/>
              <w:right w:val="nil"/>
            </w:tcBorders>
            <w:shd w:val="clear" w:color="000000" w:fill="BBE7FF"/>
            <w:tcMar>
              <w:top w:w="28" w:type="dxa"/>
              <w:left w:w="28" w:type="dxa"/>
              <w:bottom w:w="28" w:type="dxa"/>
              <w:right w:w="28" w:type="dxa"/>
            </w:tcMar>
            <w:vAlign w:val="center"/>
          </w:tcPr>
          <w:p w14:paraId="0CB36EC7" w14:textId="284C397D" w:rsidR="001047E0" w:rsidRPr="00F4191D" w:rsidRDefault="001047E0" w:rsidP="001047E0">
            <w:pPr>
              <w:keepNext/>
              <w:ind w:right="538"/>
              <w:jc w:val="right"/>
              <w:rPr>
                <w:rFonts w:cs="Arial"/>
                <w:sz w:val="14"/>
                <w:szCs w:val="14"/>
              </w:rPr>
            </w:pPr>
            <w:r w:rsidRPr="00F4191D">
              <w:rPr>
                <w:rFonts w:ascii="Verdana" w:hAnsi="Verdana"/>
                <w:color w:val="000000"/>
                <w:sz w:val="14"/>
                <w:szCs w:val="14"/>
              </w:rPr>
              <w:t xml:space="preserve">                 (98)</w:t>
            </w:r>
          </w:p>
        </w:tc>
      </w:tr>
      <w:tr w:rsidR="001047E0" w:rsidRPr="00F4191D" w14:paraId="3A541869" w14:textId="77777777" w:rsidTr="00391FBA">
        <w:trPr>
          <w:trHeight w:val="170"/>
          <w:jc w:val="center"/>
        </w:trPr>
        <w:tc>
          <w:tcPr>
            <w:tcW w:w="3145" w:type="pct"/>
            <w:tcBorders>
              <w:top w:val="nil"/>
              <w:left w:val="nil"/>
              <w:right w:val="nil"/>
            </w:tcBorders>
            <w:tcMar>
              <w:top w:w="28" w:type="dxa"/>
              <w:left w:w="28" w:type="dxa"/>
              <w:bottom w:w="28" w:type="dxa"/>
              <w:right w:w="28" w:type="dxa"/>
            </w:tcMar>
            <w:vAlign w:val="center"/>
            <w:hideMark/>
          </w:tcPr>
          <w:p w14:paraId="4F3DC609" w14:textId="77777777" w:rsidR="001047E0" w:rsidRPr="00F4191D" w:rsidRDefault="001047E0" w:rsidP="001047E0">
            <w:pPr>
              <w:keepNext/>
              <w:ind w:left="256"/>
              <w:rPr>
                <w:rFonts w:cs="Arial"/>
                <w:sz w:val="14"/>
                <w:szCs w:val="12"/>
              </w:rPr>
            </w:pPr>
            <w:r w:rsidRPr="00F4191D">
              <w:rPr>
                <w:bCs/>
                <w:sz w:val="14"/>
                <w:szCs w:val="12"/>
              </w:rPr>
              <w:t>Net interest cost</w:t>
            </w:r>
          </w:p>
        </w:tc>
        <w:tc>
          <w:tcPr>
            <w:tcW w:w="928" w:type="pct"/>
            <w:tcBorders>
              <w:top w:val="nil"/>
              <w:left w:val="nil"/>
              <w:right w:val="nil"/>
            </w:tcBorders>
            <w:shd w:val="clear" w:color="auto" w:fill="auto"/>
            <w:tcMar>
              <w:top w:w="28" w:type="dxa"/>
              <w:left w:w="28" w:type="dxa"/>
              <w:bottom w:w="28" w:type="dxa"/>
              <w:right w:w="28" w:type="dxa"/>
            </w:tcMar>
            <w:vAlign w:val="center"/>
            <w:hideMark/>
          </w:tcPr>
          <w:p w14:paraId="0FE32A54" w14:textId="4AF481B5" w:rsidR="001047E0" w:rsidRPr="00F4191D" w:rsidRDefault="001047E0" w:rsidP="001047E0">
            <w:pPr>
              <w:keepNext/>
              <w:ind w:right="538"/>
              <w:jc w:val="right"/>
              <w:rPr>
                <w:rFonts w:cs="Arial"/>
                <w:sz w:val="14"/>
                <w:szCs w:val="12"/>
              </w:rPr>
            </w:pPr>
            <w:r w:rsidRPr="00F4191D">
              <w:rPr>
                <w:rFonts w:ascii="Verdana" w:hAnsi="Verdana"/>
                <w:bCs/>
                <w:sz w:val="14"/>
                <w:szCs w:val="18"/>
              </w:rPr>
              <w:t>13</w:t>
            </w:r>
          </w:p>
        </w:tc>
        <w:tc>
          <w:tcPr>
            <w:tcW w:w="927" w:type="pct"/>
            <w:tcBorders>
              <w:top w:val="nil"/>
              <w:left w:val="nil"/>
              <w:bottom w:val="nil"/>
              <w:right w:val="nil"/>
            </w:tcBorders>
            <w:shd w:val="clear" w:color="000000" w:fill="BBE7FF"/>
            <w:tcMar>
              <w:top w:w="28" w:type="dxa"/>
              <w:left w:w="28" w:type="dxa"/>
              <w:bottom w:w="28" w:type="dxa"/>
              <w:right w:w="28" w:type="dxa"/>
            </w:tcMar>
            <w:vAlign w:val="center"/>
          </w:tcPr>
          <w:p w14:paraId="18DB90F0" w14:textId="0F463A11" w:rsidR="001047E0" w:rsidRPr="00F4191D" w:rsidRDefault="001047E0" w:rsidP="001047E0">
            <w:pPr>
              <w:keepNext/>
              <w:ind w:right="538"/>
              <w:jc w:val="right"/>
              <w:rPr>
                <w:rFonts w:cs="Arial"/>
                <w:sz w:val="14"/>
                <w:szCs w:val="14"/>
              </w:rPr>
            </w:pPr>
            <w:r w:rsidRPr="00F4191D">
              <w:rPr>
                <w:rFonts w:ascii="Verdana" w:hAnsi="Verdana"/>
                <w:color w:val="000000"/>
                <w:sz w:val="14"/>
                <w:szCs w:val="14"/>
              </w:rPr>
              <w:t xml:space="preserve">                  (19)</w:t>
            </w:r>
          </w:p>
        </w:tc>
      </w:tr>
      <w:tr w:rsidR="001047E0" w:rsidRPr="00F4191D" w14:paraId="7C380B15" w14:textId="77777777" w:rsidTr="00391FBA">
        <w:trPr>
          <w:trHeight w:val="170"/>
          <w:jc w:val="center"/>
        </w:trPr>
        <w:tc>
          <w:tcPr>
            <w:tcW w:w="3145" w:type="pct"/>
            <w:tcBorders>
              <w:left w:val="nil"/>
              <w:bottom w:val="single" w:sz="8" w:space="0" w:color="0070AD" w:themeColor="accent1"/>
              <w:right w:val="nil"/>
            </w:tcBorders>
            <w:shd w:val="clear" w:color="auto" w:fill="auto"/>
            <w:tcMar>
              <w:top w:w="28" w:type="dxa"/>
              <w:left w:w="28" w:type="dxa"/>
              <w:bottom w:w="28" w:type="dxa"/>
              <w:right w:w="28" w:type="dxa"/>
            </w:tcMar>
            <w:vAlign w:val="center"/>
          </w:tcPr>
          <w:p w14:paraId="2A14D2DF" w14:textId="23BCD735" w:rsidR="001047E0" w:rsidRPr="00F4191D" w:rsidRDefault="001047E0" w:rsidP="001047E0">
            <w:pPr>
              <w:keepNext/>
              <w:ind w:left="256"/>
              <w:rPr>
                <w:rFonts w:cs="Arial"/>
                <w:b/>
                <w:i/>
                <w:caps/>
                <w:color w:val="0070AD" w:themeColor="accent1"/>
                <w:sz w:val="14"/>
                <w:szCs w:val="14"/>
              </w:rPr>
            </w:pPr>
            <w:r w:rsidRPr="00F4191D">
              <w:rPr>
                <w:bCs/>
                <w:sz w:val="14"/>
                <w:szCs w:val="12"/>
              </w:rPr>
              <w:t>Repayments of lease liabilities</w:t>
            </w:r>
          </w:p>
        </w:tc>
        <w:tc>
          <w:tcPr>
            <w:tcW w:w="928" w:type="pct"/>
            <w:tcBorders>
              <w:left w:val="nil"/>
              <w:bottom w:val="single" w:sz="8" w:space="0" w:color="0070AD" w:themeColor="accent1"/>
              <w:right w:val="nil"/>
            </w:tcBorders>
            <w:shd w:val="clear" w:color="auto" w:fill="auto"/>
            <w:tcMar>
              <w:top w:w="28" w:type="dxa"/>
              <w:left w:w="28" w:type="dxa"/>
              <w:bottom w:w="28" w:type="dxa"/>
              <w:right w:w="28" w:type="dxa"/>
            </w:tcMar>
            <w:vAlign w:val="center"/>
          </w:tcPr>
          <w:p w14:paraId="7BEA7AFE" w14:textId="04E0AADE" w:rsidR="001047E0" w:rsidRPr="00F4191D" w:rsidRDefault="001047E0" w:rsidP="001047E0">
            <w:pPr>
              <w:keepNext/>
              <w:ind w:right="538"/>
              <w:jc w:val="right"/>
              <w:rPr>
                <w:rFonts w:ascii="Verdana" w:hAnsi="Verdana" w:cs="Arial"/>
                <w:bCs/>
                <w:sz w:val="14"/>
                <w:szCs w:val="18"/>
              </w:rPr>
            </w:pPr>
            <w:r w:rsidRPr="00F4191D">
              <w:rPr>
                <w:rFonts w:ascii="Verdana" w:hAnsi="Verdana"/>
                <w:bCs/>
                <w:sz w:val="14"/>
                <w:szCs w:val="18"/>
              </w:rPr>
              <w:t>(142)</w:t>
            </w:r>
          </w:p>
        </w:tc>
        <w:tc>
          <w:tcPr>
            <w:tcW w:w="927" w:type="pct"/>
            <w:tcBorders>
              <w:top w:val="nil"/>
              <w:left w:val="nil"/>
              <w:bottom w:val="single" w:sz="8" w:space="0" w:color="30849B"/>
              <w:right w:val="nil"/>
            </w:tcBorders>
            <w:shd w:val="clear" w:color="000000" w:fill="BBE7FF"/>
            <w:tcMar>
              <w:top w:w="28" w:type="dxa"/>
              <w:left w:w="28" w:type="dxa"/>
              <w:bottom w:w="28" w:type="dxa"/>
              <w:right w:w="28" w:type="dxa"/>
            </w:tcMar>
            <w:vAlign w:val="center"/>
          </w:tcPr>
          <w:p w14:paraId="6D7D5523" w14:textId="142E66DC" w:rsidR="001047E0" w:rsidRPr="00F4191D" w:rsidRDefault="001047E0" w:rsidP="001047E0">
            <w:pPr>
              <w:keepNext/>
              <w:ind w:right="538"/>
              <w:jc w:val="right"/>
              <w:rPr>
                <w:rFonts w:ascii="Verdana" w:hAnsi="Verdana" w:cs="Arial"/>
                <w:bCs/>
                <w:sz w:val="14"/>
                <w:szCs w:val="14"/>
              </w:rPr>
            </w:pPr>
            <w:r w:rsidRPr="00F4191D">
              <w:rPr>
                <w:rFonts w:ascii="Verdana" w:hAnsi="Verdana"/>
                <w:color w:val="000000"/>
                <w:sz w:val="14"/>
                <w:szCs w:val="14"/>
              </w:rPr>
              <w:t xml:space="preserve">               (139)</w:t>
            </w:r>
          </w:p>
        </w:tc>
      </w:tr>
      <w:tr w:rsidR="001047E0" w:rsidRPr="00F4191D" w14:paraId="6A6C570D" w14:textId="77777777" w:rsidTr="00391FBA">
        <w:trPr>
          <w:trHeight w:val="170"/>
          <w:jc w:val="center"/>
        </w:trPr>
        <w:tc>
          <w:tcPr>
            <w:tcW w:w="3145" w:type="pct"/>
            <w:tcBorders>
              <w:top w:val="single" w:sz="8" w:space="0" w:color="0070AD" w:themeColor="accent1"/>
              <w:left w:val="nil"/>
              <w:bottom w:val="single" w:sz="8" w:space="0" w:color="0070AD" w:themeColor="accent1"/>
              <w:right w:val="nil"/>
            </w:tcBorders>
            <w:tcMar>
              <w:top w:w="28" w:type="dxa"/>
              <w:left w:w="28" w:type="dxa"/>
              <w:bottom w:w="28" w:type="dxa"/>
              <w:right w:w="28" w:type="dxa"/>
            </w:tcMar>
            <w:vAlign w:val="center"/>
            <w:hideMark/>
          </w:tcPr>
          <w:p w14:paraId="47394A16" w14:textId="77777777" w:rsidR="001047E0" w:rsidRPr="00F4191D" w:rsidRDefault="001047E0" w:rsidP="001047E0">
            <w:pPr>
              <w:keepNext/>
              <w:ind w:left="114"/>
              <w:rPr>
                <w:rFonts w:cs="Arial"/>
                <w:b/>
                <w:caps/>
                <w:color w:val="0070AD" w:themeColor="accent1"/>
                <w:sz w:val="14"/>
                <w:szCs w:val="14"/>
              </w:rPr>
            </w:pPr>
            <w:r w:rsidRPr="00F4191D">
              <w:rPr>
                <w:b/>
                <w:bCs/>
                <w:caps/>
                <w:color w:val="0070AD" w:themeColor="accent1"/>
                <w:sz w:val="14"/>
                <w:szCs w:val="14"/>
              </w:rPr>
              <w:t xml:space="preserve">Organic Free Cash Flow </w:t>
            </w:r>
          </w:p>
        </w:tc>
        <w:tc>
          <w:tcPr>
            <w:tcW w:w="928"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7BDC14F1" w14:textId="55794F6D" w:rsidR="001047E0" w:rsidRPr="00F4191D" w:rsidRDefault="001047E0" w:rsidP="001047E0">
            <w:pPr>
              <w:keepNext/>
              <w:ind w:right="538"/>
              <w:jc w:val="right"/>
              <w:rPr>
                <w:rFonts w:cs="Arial"/>
                <w:b/>
                <w:bCs/>
                <w:iCs/>
                <w:color w:val="0070AD" w:themeColor="accent1"/>
                <w:sz w:val="14"/>
                <w:szCs w:val="12"/>
              </w:rPr>
            </w:pPr>
            <w:r w:rsidRPr="00F4191D">
              <w:rPr>
                <w:b/>
                <w:bCs/>
                <w:iCs/>
                <w:color w:val="0070AD" w:themeColor="accent1"/>
                <w:sz w:val="14"/>
                <w:szCs w:val="12"/>
              </w:rPr>
              <w:t>90</w:t>
            </w:r>
          </w:p>
        </w:tc>
        <w:tc>
          <w:tcPr>
            <w:tcW w:w="927" w:type="pct"/>
            <w:tcBorders>
              <w:top w:val="nil"/>
              <w:left w:val="nil"/>
              <w:bottom w:val="single" w:sz="8" w:space="0" w:color="30849B"/>
              <w:right w:val="nil"/>
            </w:tcBorders>
            <w:shd w:val="clear" w:color="000000" w:fill="BBE7FF"/>
            <w:tcMar>
              <w:top w:w="28" w:type="dxa"/>
              <w:left w:w="28" w:type="dxa"/>
              <w:bottom w:w="28" w:type="dxa"/>
              <w:right w:w="28" w:type="dxa"/>
            </w:tcMar>
            <w:vAlign w:val="center"/>
          </w:tcPr>
          <w:p w14:paraId="451C516B" w14:textId="532CC0BD" w:rsidR="001047E0" w:rsidRPr="00F4191D" w:rsidRDefault="001047E0" w:rsidP="001047E0">
            <w:pPr>
              <w:keepNext/>
              <w:ind w:right="538"/>
              <w:jc w:val="right"/>
              <w:rPr>
                <w:rFonts w:cs="Arial"/>
                <w:b/>
                <w:bCs/>
                <w:iCs/>
                <w:color w:val="0070AD" w:themeColor="accent1"/>
                <w:sz w:val="14"/>
                <w:szCs w:val="14"/>
              </w:rPr>
            </w:pPr>
            <w:r w:rsidRPr="00F4191D">
              <w:rPr>
                <w:rFonts w:ascii="Verdana" w:hAnsi="Verdana"/>
                <w:b/>
                <w:bCs/>
                <w:color w:val="0070AD"/>
                <w:sz w:val="14"/>
                <w:szCs w:val="14"/>
              </w:rPr>
              <w:t xml:space="preserve">          106 </w:t>
            </w:r>
          </w:p>
        </w:tc>
      </w:tr>
      <w:tr w:rsidR="001047E0" w:rsidRPr="00F4191D" w14:paraId="02260E73" w14:textId="77777777" w:rsidTr="00391FBA">
        <w:trPr>
          <w:trHeight w:val="170"/>
          <w:jc w:val="center"/>
        </w:trPr>
        <w:tc>
          <w:tcPr>
            <w:tcW w:w="3145" w:type="pct"/>
            <w:tcBorders>
              <w:top w:val="single" w:sz="8" w:space="0" w:color="0070AD" w:themeColor="accent1"/>
              <w:left w:val="nil"/>
              <w:bottom w:val="single" w:sz="8" w:space="0" w:color="0070AD" w:themeColor="accent1"/>
              <w:right w:val="nil"/>
            </w:tcBorders>
            <w:tcMar>
              <w:top w:w="28" w:type="dxa"/>
              <w:left w:w="28" w:type="dxa"/>
              <w:bottom w:w="28" w:type="dxa"/>
              <w:right w:w="28" w:type="dxa"/>
            </w:tcMar>
            <w:vAlign w:val="center"/>
          </w:tcPr>
          <w:p w14:paraId="59547E1D" w14:textId="77777777" w:rsidR="001047E0" w:rsidRPr="00F4191D" w:rsidRDefault="001047E0" w:rsidP="001047E0">
            <w:pPr>
              <w:keepNext/>
              <w:ind w:left="256"/>
              <w:rPr>
                <w:rFonts w:cs="Arial"/>
                <w:bCs/>
                <w:sz w:val="14"/>
                <w:szCs w:val="12"/>
              </w:rPr>
            </w:pPr>
            <w:r w:rsidRPr="00F4191D">
              <w:rPr>
                <w:bCs/>
                <w:sz w:val="14"/>
                <w:szCs w:val="12"/>
              </w:rPr>
              <w:t>Other cash flows from (used in) investing and financing activities</w:t>
            </w:r>
          </w:p>
        </w:tc>
        <w:tc>
          <w:tcPr>
            <w:tcW w:w="928"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tcPr>
          <w:p w14:paraId="19770A0F" w14:textId="66D08E05" w:rsidR="001047E0" w:rsidRPr="00F4191D" w:rsidRDefault="001047E0" w:rsidP="001047E0">
            <w:pPr>
              <w:keepNext/>
              <w:ind w:right="538"/>
              <w:jc w:val="right"/>
              <w:rPr>
                <w:rFonts w:cs="Arial"/>
                <w:bCs/>
                <w:sz w:val="14"/>
                <w:szCs w:val="12"/>
              </w:rPr>
            </w:pPr>
            <w:r w:rsidRPr="00F4191D">
              <w:rPr>
                <w:rFonts w:ascii="Verdana" w:hAnsi="Verdana"/>
                <w:bCs/>
                <w:sz w:val="14"/>
                <w:szCs w:val="18"/>
              </w:rPr>
              <w:t>(416)</w:t>
            </w:r>
          </w:p>
        </w:tc>
        <w:tc>
          <w:tcPr>
            <w:tcW w:w="927" w:type="pct"/>
            <w:tcBorders>
              <w:top w:val="nil"/>
              <w:left w:val="nil"/>
              <w:bottom w:val="nil"/>
              <w:right w:val="nil"/>
            </w:tcBorders>
            <w:shd w:val="clear" w:color="000000" w:fill="BBE7FF"/>
            <w:tcMar>
              <w:top w:w="28" w:type="dxa"/>
              <w:left w:w="28" w:type="dxa"/>
              <w:bottom w:w="28" w:type="dxa"/>
              <w:right w:w="28" w:type="dxa"/>
            </w:tcMar>
            <w:vAlign w:val="center"/>
          </w:tcPr>
          <w:p w14:paraId="06C9AE08" w14:textId="3E526EDA" w:rsidR="001047E0" w:rsidRPr="00F4191D" w:rsidRDefault="000A3DA2" w:rsidP="001047E0">
            <w:pPr>
              <w:keepNext/>
              <w:ind w:right="538"/>
              <w:jc w:val="right"/>
              <w:rPr>
                <w:rFonts w:cs="Arial"/>
                <w:bCs/>
                <w:color w:val="FF0000"/>
                <w:sz w:val="14"/>
                <w:szCs w:val="14"/>
              </w:rPr>
            </w:pPr>
            <w:r w:rsidRPr="00F4191D">
              <w:rPr>
                <w:rFonts w:ascii="Verdana" w:hAnsi="Verdana"/>
                <w:sz w:val="14"/>
                <w:szCs w:val="14"/>
              </w:rPr>
              <w:t>(374)</w:t>
            </w:r>
          </w:p>
        </w:tc>
      </w:tr>
      <w:tr w:rsidR="001047E0" w:rsidRPr="00F4191D" w14:paraId="56B28A65" w14:textId="77777777" w:rsidTr="00391FBA">
        <w:trPr>
          <w:trHeight w:val="170"/>
          <w:jc w:val="center"/>
        </w:trPr>
        <w:tc>
          <w:tcPr>
            <w:tcW w:w="3145" w:type="pct"/>
            <w:tcBorders>
              <w:top w:val="single" w:sz="8" w:space="0" w:color="0070AD" w:themeColor="accent1"/>
              <w:left w:val="nil"/>
              <w:bottom w:val="single" w:sz="8" w:space="0" w:color="0070AD" w:themeColor="accent1"/>
              <w:right w:val="nil"/>
            </w:tcBorders>
            <w:tcMar>
              <w:top w:w="28" w:type="dxa"/>
              <w:left w:w="28" w:type="dxa"/>
              <w:bottom w:w="28" w:type="dxa"/>
              <w:right w:w="28" w:type="dxa"/>
            </w:tcMar>
            <w:vAlign w:val="center"/>
            <w:hideMark/>
          </w:tcPr>
          <w:p w14:paraId="09050555" w14:textId="77777777" w:rsidR="001047E0" w:rsidRPr="00F4191D" w:rsidRDefault="001047E0" w:rsidP="001047E0">
            <w:pPr>
              <w:keepNext/>
              <w:ind w:left="114"/>
              <w:rPr>
                <w:rFonts w:cs="Arial"/>
                <w:b/>
                <w:bCs/>
                <w:iCs/>
                <w:color w:val="0070AD" w:themeColor="accent1"/>
                <w:sz w:val="14"/>
                <w:szCs w:val="12"/>
              </w:rPr>
            </w:pPr>
            <w:r w:rsidRPr="00F4191D">
              <w:rPr>
                <w:b/>
                <w:bCs/>
                <w:iCs/>
                <w:color w:val="0070AD" w:themeColor="accent1"/>
                <w:sz w:val="14"/>
                <w:szCs w:val="12"/>
              </w:rPr>
              <w:t>Increase (decrease) in cash and cash equivalents</w:t>
            </w:r>
          </w:p>
        </w:tc>
        <w:tc>
          <w:tcPr>
            <w:tcW w:w="928"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20AA4029" w14:textId="1C8C81BA" w:rsidR="001047E0" w:rsidRPr="00F4191D" w:rsidRDefault="001047E0" w:rsidP="001047E0">
            <w:pPr>
              <w:keepNext/>
              <w:ind w:right="538"/>
              <w:jc w:val="right"/>
              <w:rPr>
                <w:rFonts w:cs="Arial"/>
                <w:b/>
                <w:bCs/>
                <w:iCs/>
                <w:color w:val="0070AD" w:themeColor="accent1"/>
                <w:sz w:val="14"/>
                <w:szCs w:val="12"/>
              </w:rPr>
            </w:pPr>
            <w:r w:rsidRPr="00F4191D">
              <w:rPr>
                <w:rFonts w:ascii="Verdana" w:hAnsi="Verdana"/>
                <w:b/>
                <w:bCs/>
                <w:color w:val="0070AD" w:themeColor="accent1"/>
                <w:sz w:val="14"/>
                <w:szCs w:val="18"/>
              </w:rPr>
              <w:t>(326)</w:t>
            </w:r>
          </w:p>
        </w:tc>
        <w:tc>
          <w:tcPr>
            <w:tcW w:w="927" w:type="pct"/>
            <w:tcBorders>
              <w:top w:val="single" w:sz="8" w:space="0" w:color="30849B"/>
              <w:left w:val="nil"/>
              <w:bottom w:val="single" w:sz="8" w:space="0" w:color="30849B"/>
              <w:right w:val="nil"/>
            </w:tcBorders>
            <w:shd w:val="clear" w:color="000000" w:fill="BBE7FF"/>
            <w:tcMar>
              <w:top w:w="28" w:type="dxa"/>
              <w:left w:w="28" w:type="dxa"/>
              <w:bottom w:w="28" w:type="dxa"/>
              <w:right w:w="28" w:type="dxa"/>
            </w:tcMar>
            <w:vAlign w:val="center"/>
          </w:tcPr>
          <w:p w14:paraId="3E6C2ACB" w14:textId="1735A61A" w:rsidR="001047E0" w:rsidRPr="00F4191D" w:rsidRDefault="007A7238" w:rsidP="001047E0">
            <w:pPr>
              <w:keepNext/>
              <w:ind w:right="538"/>
              <w:jc w:val="right"/>
              <w:rPr>
                <w:rFonts w:cs="Arial"/>
                <w:b/>
                <w:bCs/>
                <w:iCs/>
                <w:color w:val="FF0000"/>
                <w:sz w:val="14"/>
                <w:szCs w:val="14"/>
              </w:rPr>
            </w:pPr>
            <w:r w:rsidRPr="00F4191D">
              <w:rPr>
                <w:rFonts w:ascii="Verdana" w:hAnsi="Verdana"/>
                <w:b/>
                <w:bCs/>
                <w:color w:val="0070AD" w:themeColor="accent1"/>
                <w:sz w:val="14"/>
                <w:szCs w:val="14"/>
              </w:rPr>
              <w:t xml:space="preserve">(268)   </w:t>
            </w:r>
          </w:p>
        </w:tc>
      </w:tr>
      <w:tr w:rsidR="001047E0" w:rsidRPr="00F4191D" w14:paraId="44980E99" w14:textId="77777777" w:rsidTr="00391FBA">
        <w:trPr>
          <w:trHeight w:val="170"/>
          <w:jc w:val="center"/>
        </w:trPr>
        <w:tc>
          <w:tcPr>
            <w:tcW w:w="3145" w:type="pct"/>
            <w:tcBorders>
              <w:top w:val="single" w:sz="8" w:space="0" w:color="0070AD" w:themeColor="accent1"/>
              <w:left w:val="nil"/>
              <w:bottom w:val="single" w:sz="8" w:space="0" w:color="0070AD" w:themeColor="accent1"/>
              <w:right w:val="nil"/>
            </w:tcBorders>
            <w:tcMar>
              <w:top w:w="28" w:type="dxa"/>
              <w:left w:w="28" w:type="dxa"/>
              <w:bottom w:w="28" w:type="dxa"/>
              <w:right w:w="28" w:type="dxa"/>
            </w:tcMar>
            <w:vAlign w:val="center"/>
          </w:tcPr>
          <w:p w14:paraId="1A74225B" w14:textId="77777777" w:rsidR="001047E0" w:rsidRPr="00F4191D" w:rsidRDefault="001047E0" w:rsidP="001047E0">
            <w:pPr>
              <w:keepNext/>
              <w:ind w:left="256"/>
              <w:rPr>
                <w:rFonts w:cs="Arial"/>
                <w:bCs/>
                <w:sz w:val="14"/>
                <w:szCs w:val="12"/>
              </w:rPr>
            </w:pPr>
            <w:r w:rsidRPr="00F4191D">
              <w:rPr>
                <w:bCs/>
                <w:sz w:val="14"/>
                <w:szCs w:val="12"/>
              </w:rPr>
              <w:t>Effect of exchange rate fluctuations</w:t>
            </w:r>
          </w:p>
        </w:tc>
        <w:tc>
          <w:tcPr>
            <w:tcW w:w="928"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tcPr>
          <w:p w14:paraId="7456B27B" w14:textId="63F2A51B" w:rsidR="001047E0" w:rsidRPr="00F4191D" w:rsidRDefault="001047E0" w:rsidP="001047E0">
            <w:pPr>
              <w:keepNext/>
              <w:ind w:right="538"/>
              <w:jc w:val="right"/>
              <w:rPr>
                <w:rFonts w:cs="Arial"/>
                <w:bCs/>
                <w:sz w:val="14"/>
                <w:szCs w:val="12"/>
              </w:rPr>
            </w:pPr>
            <w:r w:rsidRPr="00F4191D">
              <w:rPr>
                <w:rFonts w:ascii="Verdana" w:hAnsi="Verdana"/>
                <w:bCs/>
                <w:sz w:val="14"/>
                <w:szCs w:val="18"/>
              </w:rPr>
              <w:t>(15)</w:t>
            </w:r>
          </w:p>
        </w:tc>
        <w:tc>
          <w:tcPr>
            <w:tcW w:w="927" w:type="pct"/>
            <w:tcBorders>
              <w:top w:val="nil"/>
              <w:left w:val="nil"/>
              <w:bottom w:val="single" w:sz="8" w:space="0" w:color="0070AD"/>
              <w:right w:val="nil"/>
            </w:tcBorders>
            <w:shd w:val="clear" w:color="000000" w:fill="BBE7FF"/>
            <w:tcMar>
              <w:top w:w="28" w:type="dxa"/>
              <w:left w:w="28" w:type="dxa"/>
              <w:bottom w:w="28" w:type="dxa"/>
              <w:right w:w="28" w:type="dxa"/>
            </w:tcMar>
            <w:vAlign w:val="center"/>
          </w:tcPr>
          <w:p w14:paraId="3D0A0614" w14:textId="412D3E8A" w:rsidR="001047E0" w:rsidRPr="00F4191D" w:rsidRDefault="001047E0" w:rsidP="001047E0">
            <w:pPr>
              <w:keepNext/>
              <w:ind w:right="538"/>
              <w:jc w:val="right"/>
              <w:rPr>
                <w:rFonts w:cs="Arial"/>
                <w:bCs/>
                <w:color w:val="FF0000"/>
                <w:sz w:val="14"/>
                <w:szCs w:val="14"/>
              </w:rPr>
            </w:pPr>
            <w:r w:rsidRPr="00F4191D">
              <w:rPr>
                <w:rFonts w:ascii="Verdana" w:hAnsi="Verdana"/>
                <w:color w:val="000000"/>
                <w:sz w:val="14"/>
                <w:szCs w:val="14"/>
              </w:rPr>
              <w:t xml:space="preserve">                 (66)</w:t>
            </w:r>
          </w:p>
        </w:tc>
      </w:tr>
      <w:tr w:rsidR="001047E0" w:rsidRPr="00F4191D" w14:paraId="5B0219A4" w14:textId="77777777" w:rsidTr="00391FBA">
        <w:trPr>
          <w:trHeight w:val="170"/>
          <w:jc w:val="center"/>
        </w:trPr>
        <w:tc>
          <w:tcPr>
            <w:tcW w:w="3145" w:type="pct"/>
            <w:tcBorders>
              <w:top w:val="single" w:sz="8" w:space="0" w:color="0070AD" w:themeColor="accent1"/>
              <w:left w:val="nil"/>
              <w:right w:val="nil"/>
            </w:tcBorders>
            <w:tcMar>
              <w:top w:w="28" w:type="dxa"/>
              <w:left w:w="28" w:type="dxa"/>
              <w:bottom w:w="28" w:type="dxa"/>
              <w:right w:w="28" w:type="dxa"/>
            </w:tcMar>
            <w:vAlign w:val="center"/>
          </w:tcPr>
          <w:p w14:paraId="1874DB8D" w14:textId="77777777" w:rsidR="001047E0" w:rsidRPr="00F4191D" w:rsidRDefault="001047E0" w:rsidP="001047E0">
            <w:pPr>
              <w:keepNext/>
              <w:ind w:left="114"/>
              <w:rPr>
                <w:rFonts w:cs="Arial"/>
                <w:b/>
                <w:bCs/>
                <w:iCs/>
                <w:color w:val="0070AD" w:themeColor="accent1"/>
                <w:sz w:val="14"/>
                <w:szCs w:val="12"/>
              </w:rPr>
            </w:pPr>
            <w:r w:rsidRPr="00F4191D">
              <w:rPr>
                <w:b/>
                <w:bCs/>
                <w:iCs/>
                <w:color w:val="0070AD" w:themeColor="accent1"/>
                <w:sz w:val="14"/>
                <w:szCs w:val="12"/>
              </w:rPr>
              <w:t>Opening cash and cash equivalents, net of bank overdraft</w:t>
            </w:r>
          </w:p>
        </w:tc>
        <w:tc>
          <w:tcPr>
            <w:tcW w:w="928" w:type="pct"/>
            <w:tcBorders>
              <w:top w:val="single" w:sz="8" w:space="0" w:color="0070AD" w:themeColor="accent1"/>
              <w:left w:val="nil"/>
              <w:right w:val="nil"/>
            </w:tcBorders>
            <w:shd w:val="clear" w:color="auto" w:fill="auto"/>
            <w:tcMar>
              <w:top w:w="28" w:type="dxa"/>
              <w:left w:w="28" w:type="dxa"/>
              <w:bottom w:w="28" w:type="dxa"/>
              <w:right w:w="28" w:type="dxa"/>
            </w:tcMar>
            <w:vAlign w:val="center"/>
          </w:tcPr>
          <w:p w14:paraId="56176D23" w14:textId="2DEB69D4" w:rsidR="001047E0" w:rsidRPr="00F4191D" w:rsidRDefault="001047E0" w:rsidP="001047E0">
            <w:pPr>
              <w:keepNext/>
              <w:ind w:right="538"/>
              <w:jc w:val="right"/>
              <w:rPr>
                <w:rFonts w:cs="Arial"/>
                <w:b/>
                <w:bCs/>
                <w:color w:val="0070AD" w:themeColor="accent1"/>
                <w:sz w:val="14"/>
                <w:szCs w:val="12"/>
              </w:rPr>
            </w:pPr>
            <w:r w:rsidRPr="00F4191D">
              <w:rPr>
                <w:b/>
                <w:bCs/>
                <w:color w:val="0070AD" w:themeColor="accent1"/>
                <w:sz w:val="14"/>
                <w:szCs w:val="12"/>
              </w:rPr>
              <w:t>2,004</w:t>
            </w:r>
          </w:p>
        </w:tc>
        <w:tc>
          <w:tcPr>
            <w:tcW w:w="927" w:type="pct"/>
            <w:tcBorders>
              <w:top w:val="nil"/>
              <w:left w:val="nil"/>
              <w:bottom w:val="nil"/>
              <w:right w:val="nil"/>
            </w:tcBorders>
            <w:shd w:val="clear" w:color="000000" w:fill="BBE7FF"/>
            <w:tcMar>
              <w:top w:w="28" w:type="dxa"/>
              <w:left w:w="28" w:type="dxa"/>
              <w:bottom w:w="28" w:type="dxa"/>
              <w:right w:w="28" w:type="dxa"/>
            </w:tcMar>
            <w:vAlign w:val="center"/>
          </w:tcPr>
          <w:p w14:paraId="5BC2CB67" w14:textId="0031EA39" w:rsidR="001047E0" w:rsidRPr="00F4191D" w:rsidRDefault="001047E0" w:rsidP="001047E0">
            <w:pPr>
              <w:keepNext/>
              <w:ind w:right="538"/>
              <w:jc w:val="right"/>
              <w:rPr>
                <w:rFonts w:cs="Arial"/>
                <w:b/>
                <w:bCs/>
                <w:color w:val="0070AD" w:themeColor="accent1"/>
                <w:sz w:val="14"/>
                <w:szCs w:val="14"/>
              </w:rPr>
            </w:pPr>
            <w:r w:rsidRPr="00F4191D">
              <w:rPr>
                <w:rFonts w:ascii="Verdana" w:hAnsi="Verdana"/>
                <w:b/>
                <w:bCs/>
                <w:color w:val="0070AD"/>
                <w:sz w:val="14"/>
                <w:szCs w:val="14"/>
              </w:rPr>
              <w:t xml:space="preserve">       2,450</w:t>
            </w:r>
          </w:p>
        </w:tc>
      </w:tr>
      <w:tr w:rsidR="001047E0" w:rsidRPr="00F4191D" w14:paraId="1955A810" w14:textId="77777777" w:rsidTr="00391FBA">
        <w:trPr>
          <w:trHeight w:val="170"/>
          <w:jc w:val="center"/>
        </w:trPr>
        <w:tc>
          <w:tcPr>
            <w:tcW w:w="3145" w:type="pct"/>
            <w:tcBorders>
              <w:left w:val="nil"/>
              <w:bottom w:val="single" w:sz="8" w:space="0" w:color="0070AD" w:themeColor="accent1"/>
              <w:right w:val="nil"/>
            </w:tcBorders>
            <w:tcMar>
              <w:top w:w="28" w:type="dxa"/>
              <w:left w:w="28" w:type="dxa"/>
              <w:bottom w:w="28" w:type="dxa"/>
              <w:right w:w="28" w:type="dxa"/>
            </w:tcMar>
            <w:vAlign w:val="center"/>
          </w:tcPr>
          <w:p w14:paraId="7A9E7FA4" w14:textId="77777777" w:rsidR="001047E0" w:rsidRPr="00F4191D" w:rsidRDefault="001047E0" w:rsidP="001047E0">
            <w:pPr>
              <w:keepNext/>
              <w:ind w:left="114"/>
              <w:rPr>
                <w:rFonts w:cs="Arial"/>
                <w:color w:val="0070AD" w:themeColor="accent1"/>
                <w:sz w:val="14"/>
                <w:szCs w:val="12"/>
              </w:rPr>
            </w:pPr>
            <w:r w:rsidRPr="00F4191D">
              <w:rPr>
                <w:b/>
                <w:bCs/>
                <w:iCs/>
                <w:color w:val="0070AD" w:themeColor="accent1"/>
                <w:sz w:val="14"/>
                <w:szCs w:val="12"/>
              </w:rPr>
              <w:t>Closing cash and cash equivalents, net of bank overdraft</w:t>
            </w:r>
          </w:p>
        </w:tc>
        <w:tc>
          <w:tcPr>
            <w:tcW w:w="928" w:type="pct"/>
            <w:tcBorders>
              <w:left w:val="nil"/>
              <w:bottom w:val="single" w:sz="8" w:space="0" w:color="0070AD" w:themeColor="accent1"/>
              <w:right w:val="nil"/>
            </w:tcBorders>
            <w:shd w:val="clear" w:color="auto" w:fill="auto"/>
            <w:tcMar>
              <w:top w:w="28" w:type="dxa"/>
              <w:left w:w="28" w:type="dxa"/>
              <w:bottom w:w="28" w:type="dxa"/>
              <w:right w:w="28" w:type="dxa"/>
            </w:tcMar>
            <w:vAlign w:val="center"/>
          </w:tcPr>
          <w:p w14:paraId="2D93B954" w14:textId="472C6887" w:rsidR="001047E0" w:rsidRPr="00F4191D" w:rsidRDefault="001047E0" w:rsidP="001047E0">
            <w:pPr>
              <w:keepNext/>
              <w:ind w:right="538"/>
              <w:jc w:val="right"/>
              <w:rPr>
                <w:rFonts w:cs="Arial"/>
                <w:color w:val="0070AD" w:themeColor="accent1"/>
                <w:sz w:val="14"/>
                <w:szCs w:val="12"/>
              </w:rPr>
            </w:pPr>
            <w:r w:rsidRPr="00F4191D">
              <w:rPr>
                <w:rFonts w:ascii="Verdana" w:hAnsi="Verdana"/>
                <w:b/>
                <w:bCs/>
                <w:color w:val="0070AD" w:themeColor="accent1"/>
                <w:sz w:val="14"/>
                <w:szCs w:val="18"/>
              </w:rPr>
              <w:t>1,663</w:t>
            </w:r>
          </w:p>
        </w:tc>
        <w:tc>
          <w:tcPr>
            <w:tcW w:w="927" w:type="pct"/>
            <w:tcBorders>
              <w:top w:val="nil"/>
              <w:left w:val="nil"/>
              <w:bottom w:val="single" w:sz="8" w:space="0" w:color="0070AD"/>
              <w:right w:val="nil"/>
            </w:tcBorders>
            <w:shd w:val="clear" w:color="000000" w:fill="BBE7FF"/>
            <w:tcMar>
              <w:top w:w="28" w:type="dxa"/>
              <w:left w:w="28" w:type="dxa"/>
              <w:bottom w:w="28" w:type="dxa"/>
              <w:right w:w="28" w:type="dxa"/>
            </w:tcMar>
            <w:vAlign w:val="center"/>
          </w:tcPr>
          <w:p w14:paraId="1739A402" w14:textId="15F337B8" w:rsidR="001047E0" w:rsidRPr="00F4191D" w:rsidRDefault="001047E0" w:rsidP="001047E0">
            <w:pPr>
              <w:keepNext/>
              <w:ind w:right="538"/>
              <w:jc w:val="right"/>
              <w:rPr>
                <w:rFonts w:cs="Arial"/>
                <w:color w:val="0070AD" w:themeColor="accent1"/>
                <w:sz w:val="14"/>
                <w:szCs w:val="14"/>
              </w:rPr>
            </w:pPr>
            <w:r w:rsidRPr="00F4191D">
              <w:rPr>
                <w:rFonts w:ascii="Verdana" w:hAnsi="Verdana"/>
                <w:b/>
                <w:bCs/>
                <w:color w:val="0070AD"/>
                <w:sz w:val="14"/>
                <w:szCs w:val="14"/>
              </w:rPr>
              <w:t xml:space="preserve">    2,116</w:t>
            </w:r>
          </w:p>
        </w:tc>
      </w:tr>
    </w:tbl>
    <w:p w14:paraId="061D1E4C" w14:textId="77777777" w:rsidR="006866C7" w:rsidRPr="00F4191D" w:rsidRDefault="006866C7" w:rsidP="006866C7">
      <w:pPr>
        <w:spacing w:before="120" w:after="120"/>
        <w:rPr>
          <w:rFonts w:cs="Arial"/>
          <w:b/>
          <w:caps/>
        </w:rPr>
      </w:pPr>
    </w:p>
    <w:p w14:paraId="171E978A" w14:textId="3EBA4F8D" w:rsidR="00B00202" w:rsidRPr="00F4191D" w:rsidRDefault="00C96D53" w:rsidP="006866C7">
      <w:pPr>
        <w:pStyle w:val="Heading1"/>
      </w:pPr>
      <w:r w:rsidRPr="00F4191D">
        <w:t xml:space="preserve">NET DEBT </w:t>
      </w:r>
    </w:p>
    <w:tbl>
      <w:tblPr>
        <w:tblW w:w="4873" w:type="pct"/>
        <w:tblInd w:w="142" w:type="dxa"/>
        <w:tblCellMar>
          <w:left w:w="0" w:type="dxa"/>
          <w:right w:w="0" w:type="dxa"/>
        </w:tblCellMar>
        <w:tblLook w:val="04A0" w:firstRow="1" w:lastRow="0" w:firstColumn="1" w:lastColumn="0" w:noHBand="0" w:noVBand="1"/>
      </w:tblPr>
      <w:tblGrid>
        <w:gridCol w:w="4813"/>
        <w:gridCol w:w="1647"/>
        <w:gridCol w:w="1619"/>
        <w:gridCol w:w="1844"/>
      </w:tblGrid>
      <w:tr w:rsidR="005137C6" w:rsidRPr="00F4191D" w14:paraId="76397F55" w14:textId="77777777" w:rsidTr="005137C6">
        <w:trPr>
          <w:trHeight w:val="283"/>
        </w:trPr>
        <w:tc>
          <w:tcPr>
            <w:tcW w:w="2425"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0BA859E9" w14:textId="77777777" w:rsidR="008E19FC" w:rsidRPr="00F4191D" w:rsidRDefault="008E19FC" w:rsidP="00041C5B">
            <w:pPr>
              <w:keepNext/>
              <w:keepLines/>
              <w:jc w:val="center"/>
              <w:rPr>
                <w:rFonts w:ascii="Verdana" w:hAnsi="Verdana" w:cs="Arial"/>
                <w:sz w:val="14"/>
                <w:szCs w:val="18"/>
              </w:rPr>
            </w:pPr>
            <w:r w:rsidRPr="00F4191D">
              <w:rPr>
                <w:rFonts w:ascii="Verdana" w:hAnsi="Verdana"/>
                <w:i/>
                <w:iCs/>
                <w:sz w:val="14"/>
                <w:szCs w:val="18"/>
              </w:rPr>
              <w:t>(in millions of euros)</w:t>
            </w:r>
          </w:p>
        </w:tc>
        <w:tc>
          <w:tcPr>
            <w:tcW w:w="830"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548DEBC7" w14:textId="7397FD01" w:rsidR="008E19FC" w:rsidRPr="00F4191D" w:rsidRDefault="002113F3" w:rsidP="002113F3">
            <w:pPr>
              <w:keepNext/>
              <w:keepLines/>
              <w:jc w:val="center"/>
              <w:rPr>
                <w:rFonts w:ascii="Verdana" w:hAnsi="Verdana" w:cs="Arial"/>
                <w:b/>
                <w:bCs/>
                <w:sz w:val="14"/>
                <w:szCs w:val="18"/>
              </w:rPr>
            </w:pPr>
            <w:r w:rsidRPr="00F4191D">
              <w:rPr>
                <w:rFonts w:ascii="Verdana" w:hAnsi="Verdana"/>
                <w:b/>
                <w:bCs/>
                <w:sz w:val="14"/>
                <w:szCs w:val="18"/>
              </w:rPr>
              <w:t>0</w:t>
            </w:r>
            <w:r w:rsidR="008E19FC" w:rsidRPr="00F4191D">
              <w:rPr>
                <w:rFonts w:ascii="Verdana" w:hAnsi="Verdana"/>
                <w:b/>
                <w:bCs/>
                <w:sz w:val="14"/>
                <w:szCs w:val="18"/>
              </w:rPr>
              <w:t>6/30/2019</w:t>
            </w:r>
          </w:p>
        </w:tc>
        <w:tc>
          <w:tcPr>
            <w:tcW w:w="816" w:type="pct"/>
            <w:tcBorders>
              <w:top w:val="nil"/>
              <w:left w:val="nil"/>
              <w:bottom w:val="single" w:sz="8" w:space="0" w:color="0070AD" w:themeColor="accent1"/>
              <w:right w:val="nil"/>
            </w:tcBorders>
            <w:shd w:val="clear" w:color="auto" w:fill="auto"/>
            <w:vAlign w:val="center"/>
          </w:tcPr>
          <w:p w14:paraId="639B0A9B" w14:textId="16657013" w:rsidR="008E19FC" w:rsidRPr="00F4191D" w:rsidRDefault="008E19FC" w:rsidP="005463B7">
            <w:pPr>
              <w:keepNext/>
              <w:keepLines/>
              <w:jc w:val="center"/>
              <w:rPr>
                <w:rFonts w:ascii="Verdana" w:hAnsi="Verdana" w:cs="Arial"/>
                <w:b/>
                <w:bCs/>
                <w:sz w:val="14"/>
                <w:szCs w:val="18"/>
              </w:rPr>
            </w:pPr>
            <w:r w:rsidRPr="00F4191D">
              <w:rPr>
                <w:rFonts w:ascii="Verdana" w:hAnsi="Verdana"/>
                <w:b/>
                <w:bCs/>
                <w:sz w:val="14"/>
                <w:szCs w:val="18"/>
              </w:rPr>
              <w:t>12/31/2019</w:t>
            </w:r>
          </w:p>
        </w:tc>
        <w:tc>
          <w:tcPr>
            <w:tcW w:w="929" w:type="pct"/>
            <w:tcBorders>
              <w:top w:val="nil"/>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hideMark/>
          </w:tcPr>
          <w:p w14:paraId="4DF2C9EE" w14:textId="75522928" w:rsidR="008E19FC" w:rsidRPr="00F4191D" w:rsidRDefault="002113F3" w:rsidP="005463B7">
            <w:pPr>
              <w:keepNext/>
              <w:keepLines/>
              <w:jc w:val="center"/>
              <w:rPr>
                <w:rFonts w:ascii="Verdana" w:hAnsi="Verdana" w:cs="Arial"/>
                <w:b/>
                <w:bCs/>
                <w:sz w:val="14"/>
                <w:szCs w:val="18"/>
              </w:rPr>
            </w:pPr>
            <w:r w:rsidRPr="00F4191D">
              <w:rPr>
                <w:rFonts w:ascii="Verdana" w:hAnsi="Verdana"/>
                <w:b/>
                <w:bCs/>
                <w:sz w:val="14"/>
                <w:szCs w:val="18"/>
              </w:rPr>
              <w:t>0</w:t>
            </w:r>
            <w:r w:rsidR="008E19FC" w:rsidRPr="00F4191D">
              <w:rPr>
                <w:rFonts w:ascii="Verdana" w:hAnsi="Verdana"/>
                <w:b/>
                <w:bCs/>
                <w:sz w:val="14"/>
                <w:szCs w:val="18"/>
              </w:rPr>
              <w:t>6/30/2020</w:t>
            </w:r>
          </w:p>
        </w:tc>
      </w:tr>
      <w:tr w:rsidR="00341D7B" w:rsidRPr="00F4191D" w14:paraId="56F62AEF" w14:textId="77777777" w:rsidTr="005137C6">
        <w:trPr>
          <w:trHeight w:val="170"/>
        </w:trPr>
        <w:tc>
          <w:tcPr>
            <w:tcW w:w="2425"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16D6D1D9" w14:textId="77777777" w:rsidR="008E19FC" w:rsidRPr="00F4191D" w:rsidRDefault="008E19FC" w:rsidP="008E19FC">
            <w:pPr>
              <w:keepNext/>
              <w:keepLines/>
              <w:ind w:left="215"/>
              <w:rPr>
                <w:rFonts w:ascii="Verdana" w:hAnsi="Verdana" w:cs="Arial"/>
                <w:bCs/>
                <w:sz w:val="14"/>
                <w:szCs w:val="18"/>
              </w:rPr>
            </w:pPr>
            <w:r w:rsidRPr="00F4191D">
              <w:rPr>
                <w:rFonts w:ascii="Verdana" w:hAnsi="Verdana"/>
                <w:sz w:val="14"/>
                <w:szCs w:val="14"/>
              </w:rPr>
              <w:t>Cash and cash equivalents</w:t>
            </w:r>
          </w:p>
        </w:tc>
        <w:tc>
          <w:tcPr>
            <w:tcW w:w="830"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4A3D2FF3" w14:textId="3C3DB4A4" w:rsidR="008E19FC" w:rsidRPr="00F4191D" w:rsidRDefault="008E19FC" w:rsidP="008E19FC">
            <w:pPr>
              <w:keepNext/>
              <w:keepLines/>
              <w:ind w:right="224"/>
              <w:jc w:val="right"/>
              <w:rPr>
                <w:rFonts w:ascii="Verdana" w:hAnsi="Verdana" w:cs="Arial"/>
                <w:sz w:val="14"/>
                <w:szCs w:val="18"/>
              </w:rPr>
            </w:pPr>
            <w:r w:rsidRPr="00F4191D">
              <w:rPr>
                <w:rFonts w:ascii="Verdana" w:hAnsi="Verdana"/>
                <w:bCs/>
                <w:sz w:val="14"/>
                <w:szCs w:val="18"/>
              </w:rPr>
              <w:t>1,669</w:t>
            </w:r>
          </w:p>
        </w:tc>
        <w:tc>
          <w:tcPr>
            <w:tcW w:w="816" w:type="pct"/>
            <w:tcBorders>
              <w:top w:val="single" w:sz="8" w:space="0" w:color="0070AD" w:themeColor="accent1"/>
              <w:left w:val="nil"/>
              <w:right w:val="nil"/>
            </w:tcBorders>
            <w:shd w:val="clear" w:color="auto" w:fill="auto"/>
            <w:vAlign w:val="center"/>
          </w:tcPr>
          <w:p w14:paraId="28654702" w14:textId="0B197B0F" w:rsidR="008E19FC" w:rsidRPr="00F4191D" w:rsidRDefault="008E19FC" w:rsidP="008E19FC">
            <w:pPr>
              <w:keepNext/>
              <w:keepLines/>
              <w:ind w:right="224"/>
              <w:jc w:val="right"/>
              <w:rPr>
                <w:rFonts w:ascii="Verdana" w:hAnsi="Verdana" w:cs="Arial"/>
                <w:sz w:val="14"/>
                <w:szCs w:val="18"/>
              </w:rPr>
            </w:pPr>
            <w:r w:rsidRPr="00F4191D">
              <w:rPr>
                <w:sz w:val="14"/>
                <w:szCs w:val="12"/>
              </w:rPr>
              <w:t>2,461</w:t>
            </w:r>
          </w:p>
        </w:tc>
        <w:tc>
          <w:tcPr>
            <w:tcW w:w="929" w:type="pct"/>
            <w:tcBorders>
              <w:top w:val="single" w:sz="8" w:space="0" w:color="0070AD" w:themeColor="accent1"/>
              <w:left w:val="nil"/>
              <w:right w:val="nil"/>
            </w:tcBorders>
            <w:shd w:val="clear" w:color="auto" w:fill="BBE7FF" w:themeFill="accent1" w:themeFillTint="33"/>
            <w:tcMar>
              <w:top w:w="28" w:type="dxa"/>
              <w:left w:w="28" w:type="dxa"/>
              <w:bottom w:w="28" w:type="dxa"/>
              <w:right w:w="28" w:type="dxa"/>
            </w:tcMar>
            <w:vAlign w:val="center"/>
          </w:tcPr>
          <w:p w14:paraId="5061E760" w14:textId="1D93CC4B" w:rsidR="008E19FC" w:rsidRPr="00F4191D" w:rsidRDefault="009D2357" w:rsidP="008E19FC">
            <w:pPr>
              <w:keepNext/>
              <w:keepLines/>
              <w:ind w:right="224"/>
              <w:jc w:val="right"/>
              <w:rPr>
                <w:rFonts w:ascii="Verdana" w:hAnsi="Verdana" w:cs="Arial"/>
                <w:sz w:val="14"/>
                <w:szCs w:val="18"/>
              </w:rPr>
            </w:pPr>
            <w:r w:rsidRPr="00F4191D">
              <w:rPr>
                <w:rFonts w:ascii="Verdana" w:hAnsi="Verdana"/>
                <w:sz w:val="14"/>
                <w:szCs w:val="18"/>
              </w:rPr>
              <w:t>2,149</w:t>
            </w:r>
          </w:p>
        </w:tc>
      </w:tr>
      <w:tr w:rsidR="00341D7B" w:rsidRPr="00F4191D" w14:paraId="42F85A66" w14:textId="77777777" w:rsidTr="005137C6">
        <w:trPr>
          <w:trHeight w:val="170"/>
        </w:trPr>
        <w:tc>
          <w:tcPr>
            <w:tcW w:w="2425" w:type="pct"/>
            <w:tcBorders>
              <w:top w:val="nil"/>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3CDA0398" w14:textId="77777777" w:rsidR="008E19FC" w:rsidRPr="00F4191D" w:rsidRDefault="008E19FC" w:rsidP="008E19FC">
            <w:pPr>
              <w:keepNext/>
              <w:keepLines/>
              <w:ind w:left="215"/>
              <w:rPr>
                <w:rFonts w:ascii="Verdana" w:hAnsi="Verdana" w:cs="Arial"/>
                <w:sz w:val="14"/>
                <w:szCs w:val="18"/>
              </w:rPr>
            </w:pPr>
            <w:r w:rsidRPr="00F4191D">
              <w:rPr>
                <w:rFonts w:ascii="Verdana" w:hAnsi="Verdana"/>
                <w:bCs/>
                <w:sz w:val="14"/>
                <w:szCs w:val="18"/>
              </w:rPr>
              <w:t>Bank overdrafts</w:t>
            </w:r>
          </w:p>
        </w:tc>
        <w:tc>
          <w:tcPr>
            <w:tcW w:w="830" w:type="pct"/>
            <w:tcBorders>
              <w:top w:val="nil"/>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12C89FDC" w14:textId="2C98A347" w:rsidR="008E19FC" w:rsidRPr="00F4191D" w:rsidRDefault="008E19FC" w:rsidP="008E19FC">
            <w:pPr>
              <w:keepNext/>
              <w:keepLines/>
              <w:ind w:right="224"/>
              <w:jc w:val="right"/>
              <w:rPr>
                <w:rFonts w:ascii="Verdana" w:hAnsi="Verdana" w:cs="Arial"/>
                <w:sz w:val="14"/>
                <w:szCs w:val="18"/>
              </w:rPr>
            </w:pPr>
            <w:r w:rsidRPr="00F4191D">
              <w:rPr>
                <w:rFonts w:ascii="Verdana" w:hAnsi="Verdana"/>
                <w:sz w:val="14"/>
                <w:szCs w:val="18"/>
              </w:rPr>
              <w:t>(6)</w:t>
            </w:r>
          </w:p>
        </w:tc>
        <w:tc>
          <w:tcPr>
            <w:tcW w:w="816" w:type="pct"/>
            <w:tcBorders>
              <w:top w:val="nil"/>
              <w:left w:val="nil"/>
              <w:right w:val="nil"/>
            </w:tcBorders>
            <w:shd w:val="clear" w:color="auto" w:fill="auto"/>
            <w:vAlign w:val="center"/>
          </w:tcPr>
          <w:p w14:paraId="35A972E5" w14:textId="718EE775" w:rsidR="008E19FC" w:rsidRPr="00F4191D" w:rsidRDefault="008E19FC" w:rsidP="008E19FC">
            <w:pPr>
              <w:keepNext/>
              <w:keepLines/>
              <w:ind w:right="224"/>
              <w:jc w:val="right"/>
              <w:rPr>
                <w:rFonts w:ascii="Verdana" w:hAnsi="Verdana" w:cs="Arial"/>
                <w:sz w:val="14"/>
                <w:szCs w:val="18"/>
              </w:rPr>
            </w:pPr>
            <w:r w:rsidRPr="00F4191D">
              <w:rPr>
                <w:sz w:val="14"/>
                <w:szCs w:val="12"/>
              </w:rPr>
              <w:t>(11)</w:t>
            </w:r>
          </w:p>
        </w:tc>
        <w:tc>
          <w:tcPr>
            <w:tcW w:w="929" w:type="pct"/>
            <w:tcBorders>
              <w:top w:val="nil"/>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40A988F8" w14:textId="16FE5122" w:rsidR="008E19FC" w:rsidRPr="00F4191D" w:rsidRDefault="00341D7B" w:rsidP="008E19FC">
            <w:pPr>
              <w:keepNext/>
              <w:keepLines/>
              <w:ind w:right="224"/>
              <w:jc w:val="right"/>
              <w:rPr>
                <w:rFonts w:ascii="Verdana" w:hAnsi="Verdana" w:cs="Arial"/>
                <w:sz w:val="14"/>
                <w:szCs w:val="18"/>
              </w:rPr>
            </w:pPr>
            <w:r w:rsidRPr="00F4191D">
              <w:rPr>
                <w:rFonts w:ascii="Verdana" w:hAnsi="Verdana"/>
                <w:sz w:val="14"/>
                <w:szCs w:val="18"/>
              </w:rPr>
              <w:t>(33)</w:t>
            </w:r>
          </w:p>
        </w:tc>
      </w:tr>
      <w:tr w:rsidR="00341D7B" w:rsidRPr="00F4191D" w14:paraId="2A943D29" w14:textId="77777777" w:rsidTr="005137C6">
        <w:trPr>
          <w:trHeight w:val="170"/>
        </w:trPr>
        <w:tc>
          <w:tcPr>
            <w:tcW w:w="2425"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4CB0DFC2" w14:textId="77777777" w:rsidR="008E19FC" w:rsidRPr="00F4191D" w:rsidRDefault="008E19FC" w:rsidP="008E19FC">
            <w:pPr>
              <w:keepNext/>
              <w:keepLines/>
              <w:ind w:left="114"/>
              <w:rPr>
                <w:rFonts w:ascii="Verdana" w:hAnsi="Verdana" w:cs="Arial"/>
                <w:b/>
                <w:bCs/>
                <w:iCs/>
                <w:color w:val="0070AD" w:themeColor="accent1"/>
                <w:sz w:val="14"/>
                <w:szCs w:val="18"/>
              </w:rPr>
            </w:pPr>
            <w:r w:rsidRPr="00F4191D">
              <w:rPr>
                <w:rFonts w:ascii="Verdana" w:hAnsi="Verdana"/>
                <w:b/>
                <w:bCs/>
                <w:iCs/>
                <w:color w:val="0070AD" w:themeColor="accent1"/>
                <w:sz w:val="14"/>
                <w:szCs w:val="18"/>
              </w:rPr>
              <w:t xml:space="preserve">Cash and cash equivalents </w:t>
            </w:r>
          </w:p>
        </w:tc>
        <w:tc>
          <w:tcPr>
            <w:tcW w:w="830"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3884F41D" w14:textId="3D374162" w:rsidR="008E19FC" w:rsidRPr="00F4191D" w:rsidRDefault="008E19FC" w:rsidP="008E19FC">
            <w:pPr>
              <w:keepNext/>
              <w:keepLines/>
              <w:ind w:right="224"/>
              <w:jc w:val="right"/>
              <w:rPr>
                <w:rFonts w:ascii="Verdana" w:hAnsi="Verdana" w:cs="Arial"/>
                <w:b/>
                <w:bCs/>
                <w:color w:val="0070AD" w:themeColor="accent1"/>
                <w:sz w:val="14"/>
                <w:szCs w:val="18"/>
              </w:rPr>
            </w:pPr>
            <w:r w:rsidRPr="00F4191D">
              <w:rPr>
                <w:rFonts w:ascii="Verdana" w:hAnsi="Verdana"/>
                <w:b/>
                <w:bCs/>
                <w:color w:val="0070AD" w:themeColor="accent1"/>
                <w:sz w:val="14"/>
                <w:szCs w:val="18"/>
              </w:rPr>
              <w:t>1,663</w:t>
            </w:r>
          </w:p>
        </w:tc>
        <w:tc>
          <w:tcPr>
            <w:tcW w:w="816" w:type="pct"/>
            <w:tcBorders>
              <w:top w:val="single" w:sz="8" w:space="0" w:color="30849B"/>
              <w:left w:val="nil"/>
              <w:bottom w:val="single" w:sz="8" w:space="0" w:color="30849B"/>
              <w:right w:val="nil"/>
            </w:tcBorders>
            <w:shd w:val="clear" w:color="auto" w:fill="auto"/>
            <w:vAlign w:val="center"/>
          </w:tcPr>
          <w:p w14:paraId="5F95BFD2" w14:textId="01362C9B" w:rsidR="008E19FC" w:rsidRPr="00F4191D" w:rsidRDefault="008E19FC" w:rsidP="008E19FC">
            <w:pPr>
              <w:keepNext/>
              <w:keepLines/>
              <w:ind w:right="224"/>
              <w:jc w:val="right"/>
              <w:rPr>
                <w:rFonts w:ascii="Verdana" w:hAnsi="Verdana" w:cs="Arial"/>
                <w:b/>
                <w:bCs/>
                <w:color w:val="0070AD" w:themeColor="accent1"/>
                <w:sz w:val="14"/>
                <w:szCs w:val="18"/>
              </w:rPr>
            </w:pPr>
            <w:r w:rsidRPr="00F4191D">
              <w:rPr>
                <w:b/>
                <w:bCs/>
                <w:iCs/>
                <w:color w:val="0070AD" w:themeColor="accent1"/>
                <w:sz w:val="14"/>
                <w:szCs w:val="12"/>
              </w:rPr>
              <w:t>2,450</w:t>
            </w:r>
          </w:p>
        </w:tc>
        <w:tc>
          <w:tcPr>
            <w:tcW w:w="929" w:type="pct"/>
            <w:tcBorders>
              <w:top w:val="single" w:sz="8" w:space="0" w:color="0070AD" w:themeColor="accent1"/>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0EECB97A" w14:textId="52F3A1DB" w:rsidR="008E19FC" w:rsidRPr="00F4191D" w:rsidRDefault="00341D7B" w:rsidP="008E19FC">
            <w:pPr>
              <w:keepNext/>
              <w:keepLines/>
              <w:ind w:right="224"/>
              <w:jc w:val="right"/>
              <w:rPr>
                <w:rFonts w:ascii="Verdana" w:hAnsi="Verdana" w:cs="Arial"/>
                <w:b/>
                <w:bCs/>
                <w:color w:val="0070AD" w:themeColor="accent1"/>
                <w:sz w:val="14"/>
                <w:szCs w:val="18"/>
              </w:rPr>
            </w:pPr>
            <w:r w:rsidRPr="00F4191D">
              <w:rPr>
                <w:rFonts w:ascii="Verdana" w:hAnsi="Verdana"/>
                <w:b/>
                <w:bCs/>
                <w:color w:val="0070AD" w:themeColor="accent1"/>
                <w:sz w:val="14"/>
                <w:szCs w:val="18"/>
              </w:rPr>
              <w:t>2,116</w:t>
            </w:r>
          </w:p>
        </w:tc>
      </w:tr>
      <w:tr w:rsidR="00341D7B" w:rsidRPr="00F4191D" w14:paraId="3CF4116D" w14:textId="77777777" w:rsidTr="005137C6">
        <w:trPr>
          <w:trHeight w:val="170"/>
        </w:trPr>
        <w:tc>
          <w:tcPr>
            <w:tcW w:w="2425"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tcPr>
          <w:p w14:paraId="13FB1E72" w14:textId="77777777" w:rsidR="008E19FC" w:rsidRPr="00F4191D" w:rsidRDefault="008E19FC" w:rsidP="008E19FC">
            <w:pPr>
              <w:keepNext/>
              <w:keepLines/>
              <w:ind w:left="114"/>
              <w:rPr>
                <w:rFonts w:ascii="Verdana" w:hAnsi="Verdana" w:cs="Arial"/>
                <w:b/>
                <w:bCs/>
                <w:iCs/>
                <w:color w:val="0070AD" w:themeColor="accent1"/>
                <w:sz w:val="14"/>
                <w:szCs w:val="18"/>
              </w:rPr>
            </w:pPr>
            <w:r w:rsidRPr="00F4191D">
              <w:rPr>
                <w:rFonts w:ascii="Verdana" w:hAnsi="Verdana"/>
                <w:b/>
                <w:bCs/>
                <w:iCs/>
                <w:color w:val="0070AD" w:themeColor="accent1"/>
                <w:sz w:val="14"/>
                <w:szCs w:val="18"/>
              </w:rPr>
              <w:t>Cash management assets</w:t>
            </w:r>
          </w:p>
        </w:tc>
        <w:tc>
          <w:tcPr>
            <w:tcW w:w="830"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tcPr>
          <w:p w14:paraId="23CBB902" w14:textId="628EE8D8" w:rsidR="008E19FC" w:rsidRPr="00F4191D" w:rsidRDefault="008E19FC" w:rsidP="008E19FC">
            <w:pPr>
              <w:keepNext/>
              <w:keepLines/>
              <w:ind w:right="224"/>
              <w:jc w:val="right"/>
              <w:rPr>
                <w:rFonts w:ascii="Verdana" w:hAnsi="Verdana" w:cs="Arial"/>
                <w:b/>
                <w:bCs/>
                <w:color w:val="0070AD" w:themeColor="accent1"/>
                <w:sz w:val="14"/>
                <w:szCs w:val="18"/>
              </w:rPr>
            </w:pPr>
            <w:r w:rsidRPr="00F4191D">
              <w:rPr>
                <w:rFonts w:ascii="Verdana" w:hAnsi="Verdana"/>
                <w:b/>
                <w:bCs/>
                <w:color w:val="0070AD" w:themeColor="accent1"/>
                <w:sz w:val="14"/>
                <w:szCs w:val="18"/>
              </w:rPr>
              <w:t>204</w:t>
            </w:r>
          </w:p>
        </w:tc>
        <w:tc>
          <w:tcPr>
            <w:tcW w:w="816" w:type="pct"/>
            <w:tcBorders>
              <w:top w:val="single" w:sz="8" w:space="0" w:color="30849B"/>
              <w:left w:val="nil"/>
              <w:bottom w:val="single" w:sz="8" w:space="0" w:color="30849B"/>
              <w:right w:val="nil"/>
            </w:tcBorders>
            <w:shd w:val="clear" w:color="auto" w:fill="auto"/>
            <w:vAlign w:val="center"/>
          </w:tcPr>
          <w:p w14:paraId="5985410A" w14:textId="141122AF" w:rsidR="008E19FC" w:rsidRPr="00F4191D" w:rsidRDefault="008E19FC" w:rsidP="008E19FC">
            <w:pPr>
              <w:keepNext/>
              <w:keepLines/>
              <w:ind w:right="224"/>
              <w:jc w:val="right"/>
              <w:rPr>
                <w:rFonts w:ascii="Verdana" w:hAnsi="Verdana" w:cs="Arial"/>
                <w:b/>
                <w:bCs/>
                <w:color w:val="0070AD" w:themeColor="accent1"/>
                <w:sz w:val="14"/>
                <w:szCs w:val="18"/>
              </w:rPr>
            </w:pPr>
            <w:r w:rsidRPr="00F4191D">
              <w:rPr>
                <w:b/>
                <w:bCs/>
                <w:iCs/>
                <w:color w:val="0070AD" w:themeColor="accent1"/>
                <w:sz w:val="14"/>
                <w:szCs w:val="12"/>
              </w:rPr>
              <w:t>213</w:t>
            </w:r>
          </w:p>
        </w:tc>
        <w:tc>
          <w:tcPr>
            <w:tcW w:w="929" w:type="pct"/>
            <w:tcBorders>
              <w:top w:val="single" w:sz="8" w:space="0" w:color="0070AD" w:themeColor="accent1"/>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681D0920" w14:textId="029D814B" w:rsidR="008E19FC" w:rsidRPr="00F4191D" w:rsidRDefault="009D2357" w:rsidP="008E19FC">
            <w:pPr>
              <w:keepNext/>
              <w:keepLines/>
              <w:ind w:right="224"/>
              <w:jc w:val="right"/>
              <w:rPr>
                <w:rFonts w:ascii="Verdana" w:hAnsi="Verdana" w:cs="Arial"/>
                <w:b/>
                <w:bCs/>
                <w:color w:val="0070AD" w:themeColor="accent1"/>
                <w:sz w:val="14"/>
                <w:szCs w:val="18"/>
              </w:rPr>
            </w:pPr>
            <w:r w:rsidRPr="00F4191D">
              <w:rPr>
                <w:rFonts w:ascii="Verdana" w:hAnsi="Verdana"/>
                <w:b/>
                <w:bCs/>
                <w:color w:val="0070AD" w:themeColor="accent1"/>
                <w:sz w:val="14"/>
                <w:szCs w:val="18"/>
              </w:rPr>
              <w:t>332</w:t>
            </w:r>
          </w:p>
        </w:tc>
      </w:tr>
      <w:tr w:rsidR="00341D7B" w:rsidRPr="00F4191D" w14:paraId="7D3BBA69" w14:textId="77777777" w:rsidTr="005137C6">
        <w:trPr>
          <w:trHeight w:val="170"/>
        </w:trPr>
        <w:tc>
          <w:tcPr>
            <w:tcW w:w="2425"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7A4D65A6" w14:textId="77777777" w:rsidR="008E19FC" w:rsidRPr="00F4191D" w:rsidRDefault="008E19FC" w:rsidP="008E19FC">
            <w:pPr>
              <w:keepNext/>
              <w:keepLines/>
              <w:ind w:left="215"/>
              <w:rPr>
                <w:rFonts w:ascii="Verdana" w:hAnsi="Verdana" w:cs="Arial"/>
                <w:bCs/>
                <w:sz w:val="14"/>
                <w:szCs w:val="18"/>
              </w:rPr>
            </w:pPr>
            <w:r w:rsidRPr="00F4191D">
              <w:rPr>
                <w:rFonts w:ascii="Verdana" w:hAnsi="Verdana"/>
                <w:sz w:val="14"/>
                <w:szCs w:val="14"/>
              </w:rPr>
              <w:t>Long-term borrowings</w:t>
            </w:r>
          </w:p>
        </w:tc>
        <w:tc>
          <w:tcPr>
            <w:tcW w:w="830"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06419675" w14:textId="3045FADA" w:rsidR="008E19FC" w:rsidRPr="00F4191D" w:rsidRDefault="008E19FC" w:rsidP="008E19FC">
            <w:pPr>
              <w:keepNext/>
              <w:keepLines/>
              <w:ind w:right="224"/>
              <w:jc w:val="right"/>
              <w:rPr>
                <w:rFonts w:ascii="Verdana" w:hAnsi="Verdana" w:cs="Arial"/>
                <w:sz w:val="14"/>
                <w:szCs w:val="18"/>
              </w:rPr>
            </w:pPr>
            <w:r w:rsidRPr="00F4191D">
              <w:rPr>
                <w:rFonts w:ascii="Verdana" w:hAnsi="Verdana"/>
                <w:bCs/>
                <w:sz w:val="14"/>
                <w:szCs w:val="18"/>
              </w:rPr>
              <w:t>(3,237)</w:t>
            </w:r>
          </w:p>
        </w:tc>
        <w:tc>
          <w:tcPr>
            <w:tcW w:w="816" w:type="pct"/>
            <w:tcBorders>
              <w:top w:val="single" w:sz="8" w:space="0" w:color="30849B"/>
              <w:left w:val="nil"/>
              <w:right w:val="nil"/>
            </w:tcBorders>
            <w:shd w:val="clear" w:color="auto" w:fill="auto"/>
            <w:vAlign w:val="center"/>
          </w:tcPr>
          <w:p w14:paraId="1D35B171" w14:textId="07CA1E7C" w:rsidR="008E19FC" w:rsidRPr="00F4191D" w:rsidRDefault="008E19FC" w:rsidP="008E19FC">
            <w:pPr>
              <w:keepNext/>
              <w:keepLines/>
              <w:ind w:right="224"/>
              <w:jc w:val="right"/>
              <w:rPr>
                <w:rFonts w:ascii="Verdana" w:hAnsi="Verdana" w:cs="Arial"/>
                <w:sz w:val="14"/>
                <w:szCs w:val="18"/>
              </w:rPr>
            </w:pPr>
            <w:r w:rsidRPr="00F4191D">
              <w:rPr>
                <w:sz w:val="14"/>
                <w:szCs w:val="12"/>
              </w:rPr>
              <w:t>(2,564)</w:t>
            </w:r>
          </w:p>
        </w:tc>
        <w:tc>
          <w:tcPr>
            <w:tcW w:w="929" w:type="pct"/>
            <w:tcBorders>
              <w:top w:val="single" w:sz="8" w:space="0" w:color="0070AD" w:themeColor="accent1"/>
              <w:left w:val="nil"/>
              <w:right w:val="nil"/>
            </w:tcBorders>
            <w:shd w:val="clear" w:color="auto" w:fill="BBE7FF" w:themeFill="accent1" w:themeFillTint="33"/>
            <w:tcMar>
              <w:top w:w="28" w:type="dxa"/>
              <w:left w:w="28" w:type="dxa"/>
              <w:bottom w:w="28" w:type="dxa"/>
              <w:right w:w="28" w:type="dxa"/>
            </w:tcMar>
            <w:vAlign w:val="center"/>
          </w:tcPr>
          <w:p w14:paraId="2FE4F29A" w14:textId="3D114896" w:rsidR="008E19FC" w:rsidRPr="00F4191D" w:rsidRDefault="00341D7B" w:rsidP="008E19FC">
            <w:pPr>
              <w:keepNext/>
              <w:keepLines/>
              <w:ind w:right="224"/>
              <w:jc w:val="right"/>
              <w:rPr>
                <w:rFonts w:ascii="Verdana" w:hAnsi="Verdana" w:cs="Arial"/>
                <w:sz w:val="14"/>
                <w:szCs w:val="18"/>
              </w:rPr>
            </w:pPr>
            <w:r w:rsidRPr="00F4191D">
              <w:rPr>
                <w:rFonts w:ascii="Verdana" w:hAnsi="Verdana"/>
                <w:sz w:val="14"/>
                <w:szCs w:val="18"/>
              </w:rPr>
              <w:t>(7,619)</w:t>
            </w:r>
          </w:p>
        </w:tc>
      </w:tr>
      <w:tr w:rsidR="00341D7B" w:rsidRPr="00F4191D" w14:paraId="0C20ED10" w14:textId="77777777" w:rsidTr="005137C6">
        <w:trPr>
          <w:trHeight w:val="170"/>
        </w:trPr>
        <w:tc>
          <w:tcPr>
            <w:tcW w:w="2425" w:type="pct"/>
            <w:tcBorders>
              <w:top w:val="nil"/>
              <w:left w:val="nil"/>
              <w:right w:val="nil"/>
            </w:tcBorders>
            <w:shd w:val="clear" w:color="auto" w:fill="auto"/>
            <w:tcMar>
              <w:top w:w="28" w:type="dxa"/>
              <w:left w:w="28" w:type="dxa"/>
              <w:bottom w:w="28" w:type="dxa"/>
              <w:right w:w="28" w:type="dxa"/>
            </w:tcMar>
            <w:vAlign w:val="center"/>
          </w:tcPr>
          <w:p w14:paraId="776B3E62" w14:textId="77777777" w:rsidR="008E19FC" w:rsidRPr="00F4191D" w:rsidRDefault="008E19FC" w:rsidP="008E19FC">
            <w:pPr>
              <w:keepNext/>
              <w:keepLines/>
              <w:ind w:left="215"/>
              <w:rPr>
                <w:rFonts w:ascii="Verdana" w:hAnsi="Verdana" w:cs="Arial"/>
                <w:bCs/>
                <w:sz w:val="14"/>
                <w:szCs w:val="18"/>
              </w:rPr>
            </w:pPr>
            <w:r w:rsidRPr="00F4191D">
              <w:rPr>
                <w:rFonts w:ascii="Verdana" w:hAnsi="Verdana"/>
                <w:bCs/>
                <w:sz w:val="14"/>
                <w:szCs w:val="18"/>
              </w:rPr>
              <w:t>Short-term borrowings and bank overdrafts</w:t>
            </w:r>
          </w:p>
        </w:tc>
        <w:tc>
          <w:tcPr>
            <w:tcW w:w="830" w:type="pct"/>
            <w:tcBorders>
              <w:top w:val="nil"/>
              <w:left w:val="nil"/>
              <w:right w:val="nil"/>
            </w:tcBorders>
            <w:shd w:val="clear" w:color="auto" w:fill="auto"/>
            <w:tcMar>
              <w:top w:w="28" w:type="dxa"/>
              <w:left w:w="28" w:type="dxa"/>
              <w:bottom w:w="28" w:type="dxa"/>
              <w:right w:w="28" w:type="dxa"/>
            </w:tcMar>
            <w:vAlign w:val="center"/>
          </w:tcPr>
          <w:p w14:paraId="684539B3" w14:textId="4E1BBC84" w:rsidR="008E19FC" w:rsidRPr="00F4191D" w:rsidRDefault="008E19FC" w:rsidP="008E19FC">
            <w:pPr>
              <w:keepNext/>
              <w:keepLines/>
              <w:ind w:right="224"/>
              <w:jc w:val="right"/>
              <w:rPr>
                <w:rFonts w:ascii="Verdana" w:hAnsi="Verdana" w:cs="Arial"/>
                <w:bCs/>
                <w:sz w:val="14"/>
                <w:szCs w:val="18"/>
              </w:rPr>
            </w:pPr>
            <w:r w:rsidRPr="00F4191D">
              <w:rPr>
                <w:rFonts w:ascii="Verdana" w:hAnsi="Verdana"/>
                <w:bCs/>
                <w:sz w:val="14"/>
                <w:szCs w:val="18"/>
              </w:rPr>
              <w:t>(260)</w:t>
            </w:r>
          </w:p>
        </w:tc>
        <w:tc>
          <w:tcPr>
            <w:tcW w:w="816" w:type="pct"/>
            <w:tcBorders>
              <w:top w:val="nil"/>
              <w:left w:val="nil"/>
              <w:right w:val="nil"/>
            </w:tcBorders>
            <w:shd w:val="clear" w:color="auto" w:fill="auto"/>
            <w:vAlign w:val="center"/>
          </w:tcPr>
          <w:p w14:paraId="42C36ADC" w14:textId="52E5D243" w:rsidR="008E19FC" w:rsidRPr="00F4191D" w:rsidRDefault="008E19FC" w:rsidP="008E19FC">
            <w:pPr>
              <w:keepNext/>
              <w:keepLines/>
              <w:ind w:right="224"/>
              <w:jc w:val="right"/>
              <w:rPr>
                <w:rFonts w:ascii="Verdana" w:hAnsi="Verdana" w:cs="Arial"/>
                <w:bCs/>
                <w:sz w:val="14"/>
                <w:szCs w:val="18"/>
              </w:rPr>
            </w:pPr>
            <w:r w:rsidRPr="00F4191D">
              <w:rPr>
                <w:bCs/>
                <w:sz w:val="14"/>
                <w:szCs w:val="12"/>
              </w:rPr>
              <w:t>(717)</w:t>
            </w:r>
          </w:p>
        </w:tc>
        <w:tc>
          <w:tcPr>
            <w:tcW w:w="929" w:type="pct"/>
            <w:tcBorders>
              <w:top w:val="nil"/>
              <w:left w:val="nil"/>
              <w:right w:val="nil"/>
            </w:tcBorders>
            <w:shd w:val="clear" w:color="auto" w:fill="BBE7FF" w:themeFill="accent1" w:themeFillTint="33"/>
            <w:tcMar>
              <w:top w:w="28" w:type="dxa"/>
              <w:left w:w="28" w:type="dxa"/>
              <w:bottom w:w="28" w:type="dxa"/>
              <w:right w:w="28" w:type="dxa"/>
            </w:tcMar>
            <w:vAlign w:val="center"/>
          </w:tcPr>
          <w:p w14:paraId="5DE743CD" w14:textId="15763E9C" w:rsidR="008E19FC" w:rsidRPr="00F4191D" w:rsidRDefault="00341D7B" w:rsidP="008E19FC">
            <w:pPr>
              <w:keepNext/>
              <w:keepLines/>
              <w:ind w:right="224"/>
              <w:jc w:val="right"/>
              <w:rPr>
                <w:rFonts w:ascii="Verdana" w:hAnsi="Verdana" w:cs="Arial"/>
                <w:bCs/>
                <w:sz w:val="14"/>
                <w:szCs w:val="18"/>
              </w:rPr>
            </w:pPr>
            <w:r w:rsidRPr="00F4191D">
              <w:rPr>
                <w:rFonts w:ascii="Verdana" w:hAnsi="Verdana"/>
                <w:bCs/>
                <w:sz w:val="14"/>
                <w:szCs w:val="18"/>
              </w:rPr>
              <w:t>(866)</w:t>
            </w:r>
          </w:p>
        </w:tc>
      </w:tr>
      <w:tr w:rsidR="00341D7B" w:rsidRPr="00F4191D" w14:paraId="4B83C577" w14:textId="77777777" w:rsidTr="005137C6">
        <w:trPr>
          <w:trHeight w:val="170"/>
        </w:trPr>
        <w:tc>
          <w:tcPr>
            <w:tcW w:w="2425" w:type="pct"/>
            <w:tcBorders>
              <w:top w:val="nil"/>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66332D44" w14:textId="77777777" w:rsidR="008E19FC" w:rsidRPr="00F4191D" w:rsidRDefault="008E19FC" w:rsidP="008E19FC">
            <w:pPr>
              <w:keepNext/>
              <w:keepLines/>
              <w:ind w:left="215"/>
              <w:rPr>
                <w:rFonts w:ascii="Verdana" w:hAnsi="Verdana" w:cs="Arial"/>
                <w:sz w:val="14"/>
                <w:szCs w:val="18"/>
              </w:rPr>
            </w:pPr>
            <w:r w:rsidRPr="00F4191D">
              <w:rPr>
                <w:rFonts w:ascii="Verdana" w:hAnsi="Verdana"/>
                <w:bCs/>
                <w:sz w:val="14"/>
                <w:szCs w:val="18"/>
              </w:rPr>
              <w:t>(-) Bank overdrafts</w:t>
            </w:r>
          </w:p>
        </w:tc>
        <w:tc>
          <w:tcPr>
            <w:tcW w:w="830" w:type="pct"/>
            <w:tcBorders>
              <w:top w:val="nil"/>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545C7B38" w14:textId="6155C135" w:rsidR="008E19FC" w:rsidRPr="00F4191D" w:rsidRDefault="008E19FC" w:rsidP="008E19FC">
            <w:pPr>
              <w:keepNext/>
              <w:keepLines/>
              <w:ind w:right="224"/>
              <w:jc w:val="right"/>
              <w:rPr>
                <w:rFonts w:ascii="Verdana" w:hAnsi="Verdana" w:cs="Arial"/>
                <w:sz w:val="14"/>
                <w:szCs w:val="18"/>
              </w:rPr>
            </w:pPr>
            <w:r w:rsidRPr="00F4191D">
              <w:rPr>
                <w:rFonts w:ascii="Verdana" w:hAnsi="Verdana"/>
                <w:bCs/>
                <w:sz w:val="14"/>
                <w:szCs w:val="18"/>
              </w:rPr>
              <w:t>6</w:t>
            </w:r>
          </w:p>
        </w:tc>
        <w:tc>
          <w:tcPr>
            <w:tcW w:w="816" w:type="pct"/>
            <w:tcBorders>
              <w:top w:val="nil"/>
              <w:left w:val="nil"/>
              <w:right w:val="nil"/>
            </w:tcBorders>
            <w:shd w:val="clear" w:color="auto" w:fill="auto"/>
            <w:vAlign w:val="center"/>
          </w:tcPr>
          <w:p w14:paraId="7AEFF44C" w14:textId="4C394408" w:rsidR="008E19FC" w:rsidRPr="00F4191D" w:rsidRDefault="008E19FC" w:rsidP="008E19FC">
            <w:pPr>
              <w:keepNext/>
              <w:keepLines/>
              <w:ind w:right="224"/>
              <w:jc w:val="right"/>
              <w:rPr>
                <w:rFonts w:ascii="Verdana" w:hAnsi="Verdana" w:cs="Arial"/>
                <w:sz w:val="14"/>
                <w:szCs w:val="18"/>
              </w:rPr>
            </w:pPr>
            <w:r w:rsidRPr="00F4191D">
              <w:rPr>
                <w:sz w:val="14"/>
                <w:szCs w:val="12"/>
              </w:rPr>
              <w:t>11</w:t>
            </w:r>
          </w:p>
        </w:tc>
        <w:tc>
          <w:tcPr>
            <w:tcW w:w="929" w:type="pct"/>
            <w:tcBorders>
              <w:top w:val="nil"/>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627C0975" w14:textId="572B218D" w:rsidR="008E19FC" w:rsidRPr="00F4191D" w:rsidRDefault="00341D7B" w:rsidP="008E19FC">
            <w:pPr>
              <w:keepNext/>
              <w:keepLines/>
              <w:ind w:right="224"/>
              <w:jc w:val="right"/>
              <w:rPr>
                <w:rFonts w:ascii="Verdana" w:hAnsi="Verdana" w:cs="Arial"/>
                <w:sz w:val="14"/>
                <w:szCs w:val="18"/>
              </w:rPr>
            </w:pPr>
            <w:r w:rsidRPr="00F4191D">
              <w:rPr>
                <w:rFonts w:ascii="Verdana" w:hAnsi="Verdana"/>
                <w:sz w:val="14"/>
                <w:szCs w:val="18"/>
              </w:rPr>
              <w:t>33</w:t>
            </w:r>
          </w:p>
        </w:tc>
      </w:tr>
      <w:tr w:rsidR="00341D7B" w:rsidRPr="00F4191D" w14:paraId="3B8791DD" w14:textId="77777777" w:rsidTr="005137C6">
        <w:trPr>
          <w:trHeight w:val="170"/>
        </w:trPr>
        <w:tc>
          <w:tcPr>
            <w:tcW w:w="2425"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193B38A7" w14:textId="77777777" w:rsidR="008E19FC" w:rsidRPr="00F4191D" w:rsidRDefault="008E19FC" w:rsidP="008E19FC">
            <w:pPr>
              <w:keepNext/>
              <w:keepLines/>
              <w:ind w:left="114"/>
              <w:rPr>
                <w:rFonts w:ascii="Verdana" w:hAnsi="Verdana" w:cs="Arial"/>
                <w:color w:val="0070AD" w:themeColor="accent1"/>
                <w:sz w:val="14"/>
                <w:szCs w:val="18"/>
              </w:rPr>
            </w:pPr>
            <w:r w:rsidRPr="00F4191D">
              <w:rPr>
                <w:rFonts w:ascii="Verdana" w:hAnsi="Verdana"/>
                <w:b/>
                <w:bCs/>
                <w:iCs/>
                <w:color w:val="0070AD" w:themeColor="accent1"/>
                <w:sz w:val="14"/>
                <w:szCs w:val="18"/>
              </w:rPr>
              <w:t>Borrowings, excluding bank overdrafts</w:t>
            </w:r>
          </w:p>
        </w:tc>
        <w:tc>
          <w:tcPr>
            <w:tcW w:w="830"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0FF93104" w14:textId="44B3D9D2" w:rsidR="008E19FC" w:rsidRPr="00F4191D" w:rsidRDefault="008E19FC" w:rsidP="008E19FC">
            <w:pPr>
              <w:keepNext/>
              <w:keepLines/>
              <w:ind w:right="224"/>
              <w:jc w:val="right"/>
              <w:rPr>
                <w:rFonts w:ascii="Verdana" w:hAnsi="Verdana" w:cs="Arial"/>
                <w:color w:val="0070AD" w:themeColor="accent1"/>
                <w:sz w:val="14"/>
                <w:szCs w:val="18"/>
              </w:rPr>
            </w:pPr>
            <w:r w:rsidRPr="00F4191D">
              <w:rPr>
                <w:rFonts w:ascii="Verdana" w:hAnsi="Verdana"/>
                <w:b/>
                <w:bCs/>
                <w:color w:val="0070AD" w:themeColor="accent1"/>
                <w:sz w:val="14"/>
                <w:szCs w:val="18"/>
              </w:rPr>
              <w:t>(3,491)</w:t>
            </w:r>
          </w:p>
        </w:tc>
        <w:tc>
          <w:tcPr>
            <w:tcW w:w="816" w:type="pct"/>
            <w:tcBorders>
              <w:top w:val="single" w:sz="8" w:space="0" w:color="30849B"/>
              <w:left w:val="nil"/>
              <w:bottom w:val="single" w:sz="8" w:space="0" w:color="30849B"/>
              <w:right w:val="nil"/>
            </w:tcBorders>
            <w:shd w:val="clear" w:color="auto" w:fill="auto"/>
            <w:vAlign w:val="center"/>
          </w:tcPr>
          <w:p w14:paraId="65DA31D4" w14:textId="63EDD1C3" w:rsidR="008E19FC" w:rsidRPr="00F4191D" w:rsidRDefault="008E19FC" w:rsidP="008E19FC">
            <w:pPr>
              <w:keepNext/>
              <w:keepLines/>
              <w:ind w:right="224"/>
              <w:jc w:val="right"/>
              <w:rPr>
                <w:rFonts w:ascii="Verdana" w:hAnsi="Verdana" w:cs="Arial"/>
                <w:color w:val="0070AD" w:themeColor="accent1"/>
                <w:sz w:val="14"/>
                <w:szCs w:val="18"/>
              </w:rPr>
            </w:pPr>
            <w:r w:rsidRPr="00F4191D">
              <w:rPr>
                <w:b/>
                <w:bCs/>
                <w:iCs/>
                <w:color w:val="0070AD" w:themeColor="accent1"/>
                <w:sz w:val="14"/>
                <w:szCs w:val="12"/>
              </w:rPr>
              <w:t>(3,270)</w:t>
            </w:r>
          </w:p>
        </w:tc>
        <w:tc>
          <w:tcPr>
            <w:tcW w:w="929" w:type="pct"/>
            <w:tcBorders>
              <w:top w:val="single" w:sz="8" w:space="0" w:color="0070AD" w:themeColor="accent1"/>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7EB687E0" w14:textId="0BE1A6DA" w:rsidR="008E19FC" w:rsidRPr="00F4191D" w:rsidRDefault="00341D7B" w:rsidP="008E19FC">
            <w:pPr>
              <w:keepNext/>
              <w:keepLines/>
              <w:ind w:right="224"/>
              <w:jc w:val="right"/>
              <w:rPr>
                <w:rFonts w:ascii="Verdana" w:hAnsi="Verdana" w:cs="Arial"/>
                <w:b/>
                <w:bCs/>
                <w:color w:val="0070AD" w:themeColor="accent1"/>
                <w:sz w:val="14"/>
                <w:szCs w:val="18"/>
              </w:rPr>
            </w:pPr>
            <w:r w:rsidRPr="00F4191D">
              <w:rPr>
                <w:rFonts w:ascii="Verdana" w:hAnsi="Verdana"/>
                <w:b/>
                <w:bCs/>
                <w:color w:val="0070AD" w:themeColor="accent1"/>
                <w:sz w:val="14"/>
                <w:szCs w:val="18"/>
              </w:rPr>
              <w:t>(8,452)</w:t>
            </w:r>
          </w:p>
        </w:tc>
      </w:tr>
      <w:tr w:rsidR="00341D7B" w:rsidRPr="00F4191D" w14:paraId="205D3A67" w14:textId="77777777" w:rsidTr="005137C6">
        <w:trPr>
          <w:trHeight w:val="170"/>
        </w:trPr>
        <w:tc>
          <w:tcPr>
            <w:tcW w:w="2425"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5AF39DEE" w14:textId="77777777" w:rsidR="008E19FC" w:rsidRPr="00F4191D" w:rsidRDefault="008E19FC" w:rsidP="008E19FC">
            <w:pPr>
              <w:keepNext/>
              <w:keepLines/>
              <w:ind w:left="114"/>
              <w:rPr>
                <w:rFonts w:ascii="Verdana" w:hAnsi="Verdana" w:cs="Arial"/>
                <w:color w:val="0070AD" w:themeColor="accent1"/>
                <w:sz w:val="14"/>
                <w:szCs w:val="18"/>
              </w:rPr>
            </w:pPr>
            <w:r w:rsidRPr="00F4191D">
              <w:rPr>
                <w:rFonts w:ascii="Verdana" w:hAnsi="Verdana"/>
                <w:b/>
                <w:bCs/>
                <w:iCs/>
                <w:color w:val="0070AD" w:themeColor="accent1"/>
                <w:sz w:val="14"/>
                <w:szCs w:val="18"/>
              </w:rPr>
              <w:t>Derivative instruments</w:t>
            </w:r>
          </w:p>
        </w:tc>
        <w:tc>
          <w:tcPr>
            <w:tcW w:w="830"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4EFE9AB6" w14:textId="2B550A99" w:rsidR="008E19FC" w:rsidRPr="00F4191D" w:rsidRDefault="008E19FC" w:rsidP="008E19FC">
            <w:pPr>
              <w:keepNext/>
              <w:keepLines/>
              <w:ind w:right="224"/>
              <w:jc w:val="right"/>
              <w:rPr>
                <w:rFonts w:ascii="Verdana" w:hAnsi="Verdana" w:cs="Arial"/>
                <w:color w:val="0070AD" w:themeColor="accent1"/>
                <w:sz w:val="14"/>
                <w:szCs w:val="18"/>
              </w:rPr>
            </w:pPr>
            <w:r w:rsidRPr="00F4191D">
              <w:rPr>
                <w:rFonts w:ascii="Verdana" w:hAnsi="Verdana"/>
                <w:b/>
                <w:bCs/>
                <w:color w:val="0070AD" w:themeColor="accent1"/>
                <w:sz w:val="14"/>
                <w:szCs w:val="18"/>
              </w:rPr>
              <w:t>3</w:t>
            </w:r>
          </w:p>
        </w:tc>
        <w:tc>
          <w:tcPr>
            <w:tcW w:w="816" w:type="pct"/>
            <w:tcBorders>
              <w:top w:val="single" w:sz="8" w:space="0" w:color="30849B"/>
              <w:left w:val="nil"/>
              <w:bottom w:val="single" w:sz="8" w:space="0" w:color="30849B"/>
              <w:right w:val="nil"/>
            </w:tcBorders>
            <w:shd w:val="clear" w:color="auto" w:fill="auto"/>
            <w:vAlign w:val="center"/>
          </w:tcPr>
          <w:p w14:paraId="18821D7F" w14:textId="30160867" w:rsidR="008E19FC" w:rsidRPr="00F4191D" w:rsidRDefault="008E19FC" w:rsidP="008E19FC">
            <w:pPr>
              <w:keepNext/>
              <w:keepLines/>
              <w:ind w:right="224"/>
              <w:jc w:val="right"/>
              <w:rPr>
                <w:rFonts w:ascii="Verdana" w:hAnsi="Verdana" w:cs="Arial"/>
                <w:color w:val="0070AD" w:themeColor="accent1"/>
                <w:sz w:val="14"/>
                <w:szCs w:val="18"/>
              </w:rPr>
            </w:pPr>
            <w:r w:rsidRPr="00F4191D">
              <w:rPr>
                <w:b/>
                <w:bCs/>
                <w:iCs/>
                <w:color w:val="0070AD" w:themeColor="accent1"/>
                <w:sz w:val="14"/>
                <w:szCs w:val="12"/>
              </w:rPr>
              <w:t>7</w:t>
            </w:r>
          </w:p>
        </w:tc>
        <w:tc>
          <w:tcPr>
            <w:tcW w:w="929" w:type="pct"/>
            <w:tcBorders>
              <w:top w:val="single" w:sz="8" w:space="0" w:color="0070AD" w:themeColor="accent1"/>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52B261C2" w14:textId="55AB35E9" w:rsidR="008E19FC" w:rsidRPr="00F4191D" w:rsidRDefault="00341D7B" w:rsidP="008E19FC">
            <w:pPr>
              <w:keepNext/>
              <w:keepLines/>
              <w:ind w:right="224"/>
              <w:jc w:val="right"/>
              <w:rPr>
                <w:rFonts w:ascii="Verdana" w:hAnsi="Verdana" w:cs="Arial"/>
                <w:b/>
                <w:bCs/>
                <w:color w:val="0070AD" w:themeColor="accent1"/>
                <w:sz w:val="14"/>
                <w:szCs w:val="18"/>
              </w:rPr>
            </w:pPr>
            <w:r w:rsidRPr="00F4191D">
              <w:rPr>
                <w:rFonts w:ascii="Verdana" w:hAnsi="Verdana"/>
                <w:b/>
                <w:bCs/>
                <w:color w:val="0070AD" w:themeColor="accent1"/>
                <w:sz w:val="14"/>
                <w:szCs w:val="18"/>
              </w:rPr>
              <w:t>(4)</w:t>
            </w:r>
          </w:p>
        </w:tc>
      </w:tr>
      <w:tr w:rsidR="00341D7B" w:rsidRPr="00F4191D" w14:paraId="5F1447A9" w14:textId="77777777" w:rsidTr="005137C6">
        <w:trPr>
          <w:trHeight w:val="170"/>
        </w:trPr>
        <w:tc>
          <w:tcPr>
            <w:tcW w:w="2425"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33963C9D" w14:textId="257467B6" w:rsidR="008E19FC" w:rsidRPr="00F4191D" w:rsidRDefault="008E19FC" w:rsidP="008E19FC">
            <w:pPr>
              <w:keepNext/>
              <w:keepLines/>
              <w:ind w:left="114"/>
              <w:rPr>
                <w:rFonts w:ascii="Verdana" w:hAnsi="Verdana" w:cs="Arial"/>
                <w:caps/>
                <w:color w:val="0070AD" w:themeColor="accent1"/>
                <w:sz w:val="14"/>
                <w:szCs w:val="18"/>
              </w:rPr>
            </w:pPr>
            <w:r w:rsidRPr="00F4191D">
              <w:rPr>
                <w:rFonts w:ascii="Verdana" w:hAnsi="Verdana"/>
                <w:b/>
                <w:bCs/>
                <w:iCs/>
                <w:caps/>
                <w:color w:val="0070AD" w:themeColor="accent1"/>
                <w:sz w:val="14"/>
                <w:szCs w:val="18"/>
              </w:rPr>
              <w:t>Net cash and cash equivalents / (Net debt)</w:t>
            </w:r>
          </w:p>
        </w:tc>
        <w:tc>
          <w:tcPr>
            <w:tcW w:w="830"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25A0198B" w14:textId="06271B73" w:rsidR="008E19FC" w:rsidRPr="00F4191D" w:rsidRDefault="008E19FC" w:rsidP="008E19FC">
            <w:pPr>
              <w:keepNext/>
              <w:keepLines/>
              <w:ind w:right="224"/>
              <w:jc w:val="right"/>
              <w:rPr>
                <w:rFonts w:ascii="Verdana" w:hAnsi="Verdana" w:cs="Arial"/>
                <w:color w:val="0070AD" w:themeColor="accent1"/>
                <w:sz w:val="14"/>
                <w:szCs w:val="18"/>
              </w:rPr>
            </w:pPr>
            <w:r w:rsidRPr="00F4191D">
              <w:rPr>
                <w:rFonts w:ascii="Verdana" w:hAnsi="Verdana"/>
                <w:b/>
                <w:bCs/>
                <w:color w:val="0070AD" w:themeColor="accent1"/>
                <w:sz w:val="14"/>
                <w:szCs w:val="18"/>
              </w:rPr>
              <w:t>(1,621)</w:t>
            </w:r>
          </w:p>
        </w:tc>
        <w:tc>
          <w:tcPr>
            <w:tcW w:w="816" w:type="pct"/>
            <w:tcBorders>
              <w:top w:val="single" w:sz="8" w:space="0" w:color="30849B"/>
              <w:left w:val="nil"/>
              <w:bottom w:val="single" w:sz="8" w:space="0" w:color="30849B"/>
              <w:right w:val="nil"/>
            </w:tcBorders>
            <w:shd w:val="clear" w:color="auto" w:fill="auto"/>
            <w:vAlign w:val="center"/>
          </w:tcPr>
          <w:p w14:paraId="0A00C06B" w14:textId="210EE931" w:rsidR="008E19FC" w:rsidRPr="00F4191D" w:rsidRDefault="008E19FC" w:rsidP="008E19FC">
            <w:pPr>
              <w:keepNext/>
              <w:keepLines/>
              <w:ind w:right="224"/>
              <w:jc w:val="right"/>
              <w:rPr>
                <w:rFonts w:ascii="Verdana" w:hAnsi="Verdana" w:cs="Arial"/>
                <w:color w:val="0070AD" w:themeColor="accent1"/>
                <w:sz w:val="14"/>
                <w:szCs w:val="18"/>
              </w:rPr>
            </w:pPr>
            <w:r w:rsidRPr="00F4191D">
              <w:rPr>
                <w:b/>
                <w:bCs/>
                <w:iCs/>
                <w:color w:val="0070AD" w:themeColor="accent1"/>
                <w:sz w:val="14"/>
                <w:szCs w:val="12"/>
              </w:rPr>
              <w:t>(600)</w:t>
            </w:r>
          </w:p>
        </w:tc>
        <w:tc>
          <w:tcPr>
            <w:tcW w:w="929" w:type="pct"/>
            <w:tcBorders>
              <w:top w:val="single" w:sz="8" w:space="0" w:color="0070AD" w:themeColor="accent1"/>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59E270F5" w14:textId="65D53C61" w:rsidR="008E19FC" w:rsidRPr="00F4191D" w:rsidRDefault="00341D7B" w:rsidP="008E19FC">
            <w:pPr>
              <w:keepNext/>
              <w:keepLines/>
              <w:ind w:right="224"/>
              <w:jc w:val="right"/>
              <w:rPr>
                <w:rFonts w:ascii="Verdana" w:hAnsi="Verdana" w:cs="Arial"/>
                <w:b/>
                <w:bCs/>
                <w:color w:val="0070AD" w:themeColor="accent1"/>
                <w:sz w:val="14"/>
                <w:szCs w:val="18"/>
              </w:rPr>
            </w:pPr>
            <w:r w:rsidRPr="00F4191D">
              <w:rPr>
                <w:rFonts w:ascii="Verdana" w:hAnsi="Verdana"/>
                <w:b/>
                <w:bCs/>
                <w:color w:val="0070AD" w:themeColor="accent1"/>
                <w:sz w:val="14"/>
                <w:szCs w:val="18"/>
              </w:rPr>
              <w:t>(6,008)</w:t>
            </w:r>
          </w:p>
        </w:tc>
      </w:tr>
    </w:tbl>
    <w:p w14:paraId="1626A2BB" w14:textId="78A6F9D6" w:rsidR="00170B33" w:rsidRPr="00F4191D" w:rsidRDefault="00170B33" w:rsidP="009731DE">
      <w:pPr>
        <w:pStyle w:val="FootnoteText"/>
      </w:pPr>
    </w:p>
    <w:sectPr w:rsidR="00170B33" w:rsidRPr="00F4191D" w:rsidSect="009F6A6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51" w:right="862" w:bottom="862" w:left="862" w:header="567" w:footer="51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EEF4F" w14:textId="77777777" w:rsidR="00A4332D" w:rsidRDefault="00A4332D">
      <w:r>
        <w:separator/>
      </w:r>
    </w:p>
    <w:p w14:paraId="31AF905A" w14:textId="77777777" w:rsidR="00A4332D" w:rsidRDefault="00A4332D"/>
    <w:p w14:paraId="3741A0B1" w14:textId="77777777" w:rsidR="00A4332D" w:rsidRDefault="00A4332D" w:rsidP="00C91770"/>
  </w:endnote>
  <w:endnote w:type="continuationSeparator" w:id="0">
    <w:p w14:paraId="04162FF9" w14:textId="77777777" w:rsidR="00A4332D" w:rsidRDefault="00A4332D">
      <w:r>
        <w:continuationSeparator/>
      </w:r>
    </w:p>
    <w:p w14:paraId="623B1489" w14:textId="77777777" w:rsidR="00A4332D" w:rsidRDefault="00A4332D"/>
    <w:p w14:paraId="0F8FA4A3" w14:textId="77777777" w:rsidR="00A4332D" w:rsidRDefault="00A4332D" w:rsidP="00C91770"/>
  </w:endnote>
  <w:endnote w:type="continuationNotice" w:id="1">
    <w:p w14:paraId="1CB25FC8" w14:textId="77777777" w:rsidR="00A4332D" w:rsidRDefault="00A4332D"/>
    <w:p w14:paraId="02114504" w14:textId="77777777" w:rsidR="00A4332D" w:rsidRDefault="00A4332D"/>
    <w:p w14:paraId="6B915742" w14:textId="77777777" w:rsidR="00A4332D" w:rsidRDefault="00A4332D" w:rsidP="00C9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77F7" w14:textId="77777777" w:rsidR="003E06CC" w:rsidRDefault="003E0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F56B" w14:textId="7ECFF3A8" w:rsidR="003E06CC" w:rsidRPr="0009520E" w:rsidRDefault="003E06CC" w:rsidP="00D244D0">
    <w:pPr>
      <w:pStyle w:val="Footer"/>
      <w:framePr w:wrap="around" w:vAnchor="text" w:hAnchor="margin" w:xAlign="right" w:y="1" w:anchorLock="1"/>
      <w:rPr>
        <w:rStyle w:val="PageNumber"/>
        <w:rFonts w:ascii="Verdana" w:hAnsi="Verdana" w:cs="Arial"/>
        <w:sz w:val="14"/>
        <w:szCs w:val="16"/>
      </w:rPr>
    </w:pPr>
    <w:r w:rsidRPr="0009520E">
      <w:rPr>
        <w:rStyle w:val="PageNumber"/>
        <w:rFonts w:ascii="Verdana" w:hAnsi="Verdana"/>
      </w:rPr>
      <w:fldChar w:fldCharType="begin"/>
    </w:r>
    <w:r w:rsidRPr="0009520E">
      <w:rPr>
        <w:rStyle w:val="PageNumber"/>
        <w:rFonts w:ascii="Verdana" w:hAnsi="Verdana"/>
      </w:rPr>
      <w:instrText xml:space="preserve">PAGE  </w:instrText>
    </w:r>
    <w:r w:rsidRPr="0009520E">
      <w:rPr>
        <w:rStyle w:val="PageNumber"/>
        <w:rFonts w:ascii="Verdana" w:hAnsi="Verdana"/>
      </w:rPr>
      <w:fldChar w:fldCharType="separate"/>
    </w:r>
    <w:r>
      <w:rPr>
        <w:rStyle w:val="PageNumber"/>
        <w:rFonts w:ascii="Verdana" w:hAnsi="Verdana"/>
        <w:noProof/>
      </w:rPr>
      <w:t>10</w:t>
    </w:r>
    <w:r w:rsidRPr="0009520E">
      <w:rPr>
        <w:rStyle w:val="PageNumber"/>
        <w:rFonts w:ascii="Verdana" w:hAnsi="Verdana"/>
      </w:rPr>
      <w:fldChar w:fldCharType="end"/>
    </w:r>
  </w:p>
  <w:p w14:paraId="6065A43D" w14:textId="4C7F2E0D" w:rsidR="003E06CC" w:rsidRDefault="002D250B">
    <w:pPr>
      <w:pStyle w:val="Footer"/>
    </w:pPr>
    <w:r>
      <w:rPr>
        <w:noProof/>
        <w:color w:val="00264A"/>
        <w:sz w:val="10"/>
        <w:lang w:val="fr-FR"/>
      </w:rPr>
      <mc:AlternateContent>
        <mc:Choice Requires="wps">
          <w:drawing>
            <wp:anchor distT="0" distB="0" distL="114300" distR="114300" simplePos="0" relativeHeight="251658242" behindDoc="0" locked="0" layoutInCell="1" allowOverlap="1" wp14:anchorId="46167A8B" wp14:editId="67680DD2">
              <wp:simplePos x="0" y="0"/>
              <wp:positionH relativeFrom="column">
                <wp:posOffset>-125095</wp:posOffset>
              </wp:positionH>
              <wp:positionV relativeFrom="page">
                <wp:posOffset>10253980</wp:posOffset>
              </wp:positionV>
              <wp:extent cx="2296800" cy="255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6800" cy="2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F783070" w14:textId="478E424F" w:rsidR="003E06CC" w:rsidRPr="00010417" w:rsidRDefault="003E06CC" w:rsidP="00D244D0">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6167A8B" id="_x0000_t202" coordsize="21600,21600" o:spt="202" path="m,l,21600r21600,l21600,xe">
              <v:stroke joinstyle="miter"/>
              <v:path gradientshapeok="t" o:connecttype="rect"/>
            </v:shapetype>
            <v:shape id="Text Box 3" o:spid="_x0000_s1026" type="#_x0000_t202" style="position:absolute;left:0;text-align:left;margin-left:-9.85pt;margin-top:807.4pt;width:180.85pt;height:20.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" filled="f" stroked="f">
              <v:textbox>
                <w:txbxContent>
                  <w:p w14:paraId="4F783070" w14:textId="478E424F" w:rsidR="003E06CC" w:rsidRPr="00010417" w:rsidRDefault="003E06CC" w:rsidP="00D244D0">
                    <w:pPr>
                      <w:rPr>
                        <w:szCs w:val="18"/>
                      </w:rPr>
                    </w:pP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E531" w14:textId="55AA28F6" w:rsidR="003E06CC" w:rsidRPr="0009520E" w:rsidRDefault="003E06CC" w:rsidP="00D244D0">
    <w:pPr>
      <w:pStyle w:val="Footer"/>
      <w:framePr w:wrap="around" w:vAnchor="text" w:hAnchor="margin" w:xAlign="right" w:y="1" w:anchorLock="1"/>
      <w:rPr>
        <w:rStyle w:val="PageNumber"/>
        <w:rFonts w:ascii="Verdana" w:hAnsi="Verdana" w:cs="Arial"/>
        <w:sz w:val="14"/>
        <w:szCs w:val="16"/>
      </w:rPr>
    </w:pPr>
    <w:r w:rsidRPr="0009520E">
      <w:rPr>
        <w:rStyle w:val="PageNumber"/>
        <w:rFonts w:ascii="Verdana" w:hAnsi="Verdana"/>
      </w:rPr>
      <w:fldChar w:fldCharType="begin"/>
    </w:r>
    <w:r w:rsidRPr="0009520E">
      <w:rPr>
        <w:rStyle w:val="PageNumber"/>
        <w:rFonts w:ascii="Verdana" w:hAnsi="Verdana"/>
      </w:rPr>
      <w:instrText xml:space="preserve">PAGE  </w:instrText>
    </w:r>
    <w:r w:rsidRPr="0009520E">
      <w:rPr>
        <w:rStyle w:val="PageNumber"/>
        <w:rFonts w:ascii="Verdana" w:hAnsi="Verdana"/>
      </w:rPr>
      <w:fldChar w:fldCharType="separate"/>
    </w:r>
    <w:r>
      <w:rPr>
        <w:rStyle w:val="PageNumber"/>
        <w:rFonts w:ascii="Verdana" w:hAnsi="Verdana"/>
        <w:noProof/>
      </w:rPr>
      <w:t>1</w:t>
    </w:r>
    <w:r w:rsidRPr="0009520E">
      <w:rPr>
        <w:rStyle w:val="PageNumber"/>
        <w:rFonts w:ascii="Verdana" w:hAnsi="Verdana"/>
      </w:rPr>
      <w:fldChar w:fldCharType="end"/>
    </w:r>
  </w:p>
  <w:p w14:paraId="4C29D577" w14:textId="0C8DE7F7" w:rsidR="003E06CC" w:rsidRDefault="002D250B">
    <w:pPr>
      <w:pStyle w:val="Footer"/>
    </w:pPr>
    <w:r>
      <w:rPr>
        <w:noProof/>
        <w:color w:val="00264A"/>
        <w:sz w:val="10"/>
        <w:lang w:val="fr-FR"/>
      </w:rPr>
      <mc:AlternateContent>
        <mc:Choice Requires="wps">
          <w:drawing>
            <wp:anchor distT="0" distB="0" distL="114300" distR="114300" simplePos="0" relativeHeight="251658241" behindDoc="0" locked="0" layoutInCell="1" allowOverlap="1" wp14:anchorId="76E397F9" wp14:editId="144A2299">
              <wp:simplePos x="0" y="0"/>
              <wp:positionH relativeFrom="column">
                <wp:posOffset>-125095</wp:posOffset>
              </wp:positionH>
              <wp:positionV relativeFrom="page">
                <wp:posOffset>10253980</wp:posOffset>
              </wp:positionV>
              <wp:extent cx="2296800" cy="255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96800" cy="2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21086AB" w14:textId="3792A13F" w:rsidR="003E06CC" w:rsidRPr="00010417" w:rsidRDefault="003E06CC" w:rsidP="00D244D0">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6E397F9" id="_x0000_t202" coordsize="21600,21600" o:spt="202" path="m,l,21600r21600,l21600,xe">
              <v:stroke joinstyle="miter"/>
              <v:path gradientshapeok="t" o:connecttype="rect"/>
            </v:shapetype>
            <v:shape id="Text Box 18" o:spid="_x0000_s1027" type="#_x0000_t202" style="position:absolute;left:0;text-align:left;margin-left:-9.85pt;margin-top:807.4pt;width:180.85pt;height:2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" filled="f" stroked="f">
              <v:textbox>
                <w:txbxContent>
                  <w:p w14:paraId="221086AB" w14:textId="3792A13F" w:rsidR="003E06CC" w:rsidRPr="00010417" w:rsidRDefault="003E06CC" w:rsidP="00D244D0">
                    <w:pPr>
                      <w:rPr>
                        <w:szCs w:val="18"/>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181AA" w14:textId="77777777" w:rsidR="00A4332D" w:rsidRDefault="00A4332D" w:rsidP="002B7B57">
      <w:pPr>
        <w:widowControl w:val="0"/>
      </w:pPr>
      <w:r>
        <w:separator/>
      </w:r>
    </w:p>
  </w:footnote>
  <w:footnote w:type="continuationSeparator" w:id="0">
    <w:p w14:paraId="2D1C8D85" w14:textId="77777777" w:rsidR="00A4332D" w:rsidRDefault="00A4332D">
      <w:r>
        <w:continuationSeparator/>
      </w:r>
    </w:p>
    <w:p w14:paraId="3B6DDF97" w14:textId="77777777" w:rsidR="00A4332D" w:rsidRDefault="00A4332D"/>
    <w:p w14:paraId="01276725" w14:textId="77777777" w:rsidR="00A4332D" w:rsidRDefault="00A4332D" w:rsidP="00C91770"/>
  </w:footnote>
  <w:footnote w:type="continuationNotice" w:id="1">
    <w:p w14:paraId="7EA6268A" w14:textId="77777777" w:rsidR="00A4332D" w:rsidRDefault="00A4332D"/>
    <w:p w14:paraId="47217E82" w14:textId="77777777" w:rsidR="00A4332D" w:rsidRDefault="00A4332D"/>
    <w:p w14:paraId="6AFF1D29" w14:textId="77777777" w:rsidR="00A4332D" w:rsidRDefault="00A4332D" w:rsidP="00C91770"/>
  </w:footnote>
  <w:footnote w:id="2">
    <w:p w14:paraId="3793B78D" w14:textId="3D870245" w:rsidR="003E06CC" w:rsidRDefault="003E06CC">
      <w:pPr>
        <w:pStyle w:val="FootnoteText"/>
      </w:pPr>
      <w:r>
        <w:rPr>
          <w:rStyle w:val="FootnoteReference"/>
        </w:rPr>
        <w:t>*</w:t>
      </w:r>
      <w:r>
        <w:t xml:space="preserve"> The terms and Alternative Performance Measures marked with an (*) are defined and/or reconciled in the appendix to this press release.</w:t>
      </w:r>
    </w:p>
  </w:footnote>
  <w:footnote w:id="3">
    <w:p w14:paraId="3CCA9285" w14:textId="77777777" w:rsidR="003E06CC" w:rsidRPr="00076691" w:rsidRDefault="003E06CC" w:rsidP="00B00202">
      <w:pPr>
        <w:pStyle w:val="FootnoteText"/>
        <w:rPr>
          <w:rFonts w:ascii="Verdana" w:hAnsi="Verdana" w:cs="Arial"/>
          <w:sz w:val="12"/>
        </w:rPr>
      </w:pPr>
      <w:r>
        <w:rPr>
          <w:rStyle w:val="FootnoteReference"/>
          <w:rFonts w:ascii="Verdana" w:hAnsi="Verdana" w:cs="Arial"/>
          <w:sz w:val="12"/>
        </w:rPr>
        <w:footnoteRef/>
      </w:r>
      <w:r>
        <w:rPr>
          <w:rFonts w:ascii="Verdana" w:hAnsi="Verdana"/>
          <w:sz w:val="12"/>
        </w:rPr>
        <w:t xml:space="preserve"> </w:t>
      </w:r>
      <w:r>
        <w:rPr>
          <w:rFonts w:ascii="Verdana" w:hAnsi="Verdana"/>
        </w:rPr>
        <w:t>Limited review procedures on the interim consolidated financial statements have been completed. The auditors are in the process of issuing their report.</w:t>
      </w:r>
    </w:p>
  </w:footnote>
  <w:footnote w:id="4">
    <w:p w14:paraId="76DB9D49" w14:textId="789AD1C4" w:rsidR="003E06CC" w:rsidRDefault="003E06CC" w:rsidP="00E35020">
      <w:pPr>
        <w:pStyle w:val="FootnoteText"/>
      </w:pPr>
      <w:r>
        <w:rPr>
          <w:rStyle w:val="FootnoteReference"/>
        </w:rPr>
        <w:footnoteRef/>
      </w:r>
      <w:r>
        <w:t xml:space="preserve"> Growth at constant exchange rates for the Group scope excluding Altran. Altran Digital and Cloud services will be included from January 1, 2021.</w:t>
      </w:r>
    </w:p>
  </w:footnote>
  <w:footnote w:id="5">
    <w:p w14:paraId="09ACFFEE" w14:textId="5475765A" w:rsidR="003E06CC" w:rsidRDefault="003E06CC">
      <w:pPr>
        <w:pStyle w:val="FootnoteText"/>
      </w:pPr>
      <w:r>
        <w:rPr>
          <w:rStyle w:val="FootnoteReference"/>
        </w:rPr>
        <w:footnoteRef/>
      </w:r>
      <w:r>
        <w:t xml:space="preserve"> Including €0.4 billion disbursed in 2019.</w:t>
      </w:r>
    </w:p>
  </w:footnote>
  <w:footnote w:id="6">
    <w:p w14:paraId="7BA94631" w14:textId="7E451A57" w:rsidR="003E06CC" w:rsidRPr="00617C6B" w:rsidRDefault="003E06CC">
      <w:pPr>
        <w:pStyle w:val="FootnoteText"/>
      </w:pPr>
      <w:r>
        <w:rPr>
          <w:rStyle w:val="FootnoteReference"/>
        </w:rPr>
        <w:footnoteRef/>
      </w:r>
      <w:r>
        <w:t xml:space="preserve"> </w:t>
      </w:r>
      <w:r w:rsidRPr="00617C6B">
        <w:t xml:space="preserve">The valuation of the assets and liabilities and the </w:t>
      </w:r>
      <w:r>
        <w:t>purchase price allocation</w:t>
      </w:r>
      <w:r w:rsidRPr="00617C6B">
        <w:t xml:space="preserve"> are </w:t>
      </w:r>
      <w:r>
        <w:t xml:space="preserve">performed </w:t>
      </w:r>
      <w:r w:rsidRPr="00617C6B">
        <w:t>by an independent expert and will be finalized within 12 months of the acquisition date</w:t>
      </w:r>
      <w:r>
        <w:t>.</w:t>
      </w:r>
    </w:p>
  </w:footnote>
  <w:footnote w:id="7">
    <w:p w14:paraId="7F49D0E7" w14:textId="6EDA4E9E" w:rsidR="003E06CC" w:rsidRDefault="003E06CC">
      <w:pPr>
        <w:pStyle w:val="FootnoteText"/>
      </w:pPr>
      <w:r>
        <w:rPr>
          <w:rStyle w:val="FootnoteReference"/>
        </w:rPr>
        <w:footnoteRef/>
      </w:r>
      <w:r>
        <w:t xml:space="preserve"> The €0.7 billion excess was allocated to the redemption of the bond issue maturing in July 2020.</w:t>
      </w:r>
    </w:p>
  </w:footnote>
  <w:footnote w:id="8">
    <w:p w14:paraId="293B18D5" w14:textId="38DB4DB8" w:rsidR="003E06CC" w:rsidRDefault="003E06CC">
      <w:pPr>
        <w:pStyle w:val="FootnoteText"/>
      </w:pPr>
      <w:r>
        <w:rPr>
          <w:rStyle w:val="FootnoteReference"/>
        </w:rPr>
        <w:footnoteRef/>
      </w:r>
      <w:r>
        <w:t xml:space="preserve"> Note that in the appendix, certain totals may not equal the sum of amounts due to rounding adjustments.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2E34" w14:textId="77777777" w:rsidR="003E06CC" w:rsidRDefault="003E0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8EAD" w14:textId="05DD9A8D" w:rsidR="003E06CC" w:rsidRDefault="003E06CC">
    <w:pPr>
      <w:pStyle w:val="Header"/>
    </w:pPr>
    <w:r>
      <w:rPr>
        <w:noProof/>
        <w:lang w:val="fr-FR"/>
      </w:rPr>
      <w:drawing>
        <wp:anchor distT="0" distB="0" distL="114300" distR="114300" simplePos="0" relativeHeight="251658240" behindDoc="0" locked="0" layoutInCell="1" allowOverlap="1" wp14:anchorId="217EB3D2" wp14:editId="14C5334B">
          <wp:simplePos x="0" y="0"/>
          <wp:positionH relativeFrom="margin">
            <wp:posOffset>6118225</wp:posOffset>
          </wp:positionH>
          <wp:positionV relativeFrom="paragraph">
            <wp:posOffset>-191135</wp:posOffset>
          </wp:positionV>
          <wp:extent cx="347345" cy="3232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8C35" w14:textId="293A98C0" w:rsidR="003E06CC" w:rsidRDefault="003E06CC">
    <w:pPr>
      <w:pStyle w:val="Header"/>
    </w:pPr>
    <w:r>
      <w:rPr>
        <w:noProof/>
        <w:lang w:val="fr-FR"/>
      </w:rPr>
      <w:drawing>
        <wp:inline distT="0" distB="0" distL="0" distR="0" wp14:anchorId="4802C83B" wp14:editId="397E4232">
          <wp:extent cx="1792605" cy="433070"/>
          <wp:effectExtent l="0" t="0" r="0" b="5080"/>
          <wp:docPr id="57654604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
                    <a:extLst>
                      <a:ext uri="{28A0092B-C50C-407E-A947-70E740481C1C}">
                        <a14:useLocalDpi xmlns:a14="http://schemas.microsoft.com/office/drawing/2010/main" val="0"/>
                      </a:ext>
                    </a:extLst>
                  </a:blip>
                  <a:stretch>
                    <a:fillRect/>
                  </a:stretch>
                </pic:blipFill>
                <pic:spPr>
                  <a:xfrm>
                    <a:off x="0" y="0"/>
                    <a:ext cx="1792605" cy="433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565"/>
    <w:multiLevelType w:val="hybridMultilevel"/>
    <w:tmpl w:val="6BAC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13D54"/>
    <w:multiLevelType w:val="hybridMultilevel"/>
    <w:tmpl w:val="17685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C852EB"/>
    <w:multiLevelType w:val="hybridMultilevel"/>
    <w:tmpl w:val="B036AED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83BE9"/>
    <w:multiLevelType w:val="hybridMultilevel"/>
    <w:tmpl w:val="1B84E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ED4306"/>
    <w:multiLevelType w:val="hybridMultilevel"/>
    <w:tmpl w:val="EBBC4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91759A"/>
    <w:multiLevelType w:val="hybridMultilevel"/>
    <w:tmpl w:val="A968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C15EB"/>
    <w:multiLevelType w:val="hybridMultilevel"/>
    <w:tmpl w:val="24CC07D0"/>
    <w:lvl w:ilvl="0" w:tplc="2096A200">
      <w:start w:val="1"/>
      <w:numFmt w:val="bullet"/>
      <w:lvlText w:val="●"/>
      <w:lvlJc w:val="left"/>
      <w:pPr>
        <w:ind w:left="284" w:hanging="284"/>
      </w:pPr>
      <w:rPr>
        <w:rFonts w:ascii="Verdana" w:hAnsi="Verdana" w:hint="default"/>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65B4769"/>
    <w:multiLevelType w:val="hybridMultilevel"/>
    <w:tmpl w:val="0A047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B1716E"/>
    <w:multiLevelType w:val="hybridMultilevel"/>
    <w:tmpl w:val="A6963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427B6C"/>
    <w:multiLevelType w:val="hybridMultilevel"/>
    <w:tmpl w:val="6D7CA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CB3F44"/>
    <w:multiLevelType w:val="hybridMultilevel"/>
    <w:tmpl w:val="9EBC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0532"/>
    <w:multiLevelType w:val="hybridMultilevel"/>
    <w:tmpl w:val="FB4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F7A26"/>
    <w:multiLevelType w:val="hybridMultilevel"/>
    <w:tmpl w:val="8AD2FB9E"/>
    <w:lvl w:ilvl="0" w:tplc="2096A200">
      <w:start w:val="1"/>
      <w:numFmt w:val="bullet"/>
      <w:lvlText w:val="●"/>
      <w:lvlJc w:val="left"/>
      <w:pPr>
        <w:ind w:left="284" w:hanging="284"/>
      </w:pPr>
      <w:rPr>
        <w:rFonts w:ascii="Verdana" w:hAnsi="Verdan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9"/>
  </w:num>
  <w:num w:numId="5">
    <w:abstractNumId w:val="5"/>
  </w:num>
  <w:num w:numId="6">
    <w:abstractNumId w:val="1"/>
  </w:num>
  <w:num w:numId="7">
    <w:abstractNumId w:val="3"/>
  </w:num>
  <w:num w:numId="8">
    <w:abstractNumId w:val="2"/>
  </w:num>
  <w:num w:numId="9">
    <w:abstractNumId w:val="0"/>
  </w:num>
  <w:num w:numId="10">
    <w:abstractNumId w:val="10"/>
  </w:num>
  <w:num w:numId="11">
    <w:abstractNumId w:val="7"/>
  </w:num>
  <w:num w:numId="12">
    <w:abstractNumId w:val="4"/>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2C"/>
    <w:rsid w:val="000008CF"/>
    <w:rsid w:val="000009F9"/>
    <w:rsid w:val="00000E0D"/>
    <w:rsid w:val="000013E5"/>
    <w:rsid w:val="0000143E"/>
    <w:rsid w:val="00002160"/>
    <w:rsid w:val="00002A32"/>
    <w:rsid w:val="00002E4A"/>
    <w:rsid w:val="00002F48"/>
    <w:rsid w:val="000031E4"/>
    <w:rsid w:val="0000537C"/>
    <w:rsid w:val="00005657"/>
    <w:rsid w:val="00005700"/>
    <w:rsid w:val="00005EB9"/>
    <w:rsid w:val="00005FBE"/>
    <w:rsid w:val="0000600D"/>
    <w:rsid w:val="0000605F"/>
    <w:rsid w:val="00006A5D"/>
    <w:rsid w:val="00007043"/>
    <w:rsid w:val="000076A3"/>
    <w:rsid w:val="00007A97"/>
    <w:rsid w:val="00007F1E"/>
    <w:rsid w:val="00010369"/>
    <w:rsid w:val="00010417"/>
    <w:rsid w:val="000110AA"/>
    <w:rsid w:val="0001284F"/>
    <w:rsid w:val="000129A6"/>
    <w:rsid w:val="00012A4D"/>
    <w:rsid w:val="00012D1B"/>
    <w:rsid w:val="0001310F"/>
    <w:rsid w:val="0001349B"/>
    <w:rsid w:val="0001448D"/>
    <w:rsid w:val="0001562F"/>
    <w:rsid w:val="0001572C"/>
    <w:rsid w:val="000157C3"/>
    <w:rsid w:val="00015804"/>
    <w:rsid w:val="000163CF"/>
    <w:rsid w:val="00020610"/>
    <w:rsid w:val="00020B44"/>
    <w:rsid w:val="00020BDC"/>
    <w:rsid w:val="00021680"/>
    <w:rsid w:val="000216F1"/>
    <w:rsid w:val="00022570"/>
    <w:rsid w:val="00023280"/>
    <w:rsid w:val="0002359E"/>
    <w:rsid w:val="0002371B"/>
    <w:rsid w:val="000242BA"/>
    <w:rsid w:val="00024606"/>
    <w:rsid w:val="000246CC"/>
    <w:rsid w:val="000249D9"/>
    <w:rsid w:val="00026083"/>
    <w:rsid w:val="000266E7"/>
    <w:rsid w:val="00026A88"/>
    <w:rsid w:val="00026F09"/>
    <w:rsid w:val="00026F41"/>
    <w:rsid w:val="00027A8B"/>
    <w:rsid w:val="00030A83"/>
    <w:rsid w:val="00031101"/>
    <w:rsid w:val="00031DD7"/>
    <w:rsid w:val="00032406"/>
    <w:rsid w:val="000324A4"/>
    <w:rsid w:val="00033239"/>
    <w:rsid w:val="00033AB9"/>
    <w:rsid w:val="00034934"/>
    <w:rsid w:val="000349A4"/>
    <w:rsid w:val="0003575D"/>
    <w:rsid w:val="00035A19"/>
    <w:rsid w:val="00037D16"/>
    <w:rsid w:val="00037F18"/>
    <w:rsid w:val="000401AA"/>
    <w:rsid w:val="00040D16"/>
    <w:rsid w:val="00040E37"/>
    <w:rsid w:val="0004139E"/>
    <w:rsid w:val="00041683"/>
    <w:rsid w:val="00041C5B"/>
    <w:rsid w:val="00042138"/>
    <w:rsid w:val="00042751"/>
    <w:rsid w:val="00043802"/>
    <w:rsid w:val="00043B67"/>
    <w:rsid w:val="00043F66"/>
    <w:rsid w:val="00044068"/>
    <w:rsid w:val="0004478B"/>
    <w:rsid w:val="000448F3"/>
    <w:rsid w:val="00044977"/>
    <w:rsid w:val="00044A28"/>
    <w:rsid w:val="00044F9A"/>
    <w:rsid w:val="0004568B"/>
    <w:rsid w:val="00046F8A"/>
    <w:rsid w:val="00047157"/>
    <w:rsid w:val="00047659"/>
    <w:rsid w:val="00047F9D"/>
    <w:rsid w:val="00051169"/>
    <w:rsid w:val="000515D9"/>
    <w:rsid w:val="00052163"/>
    <w:rsid w:val="0005278D"/>
    <w:rsid w:val="000528C9"/>
    <w:rsid w:val="000539A9"/>
    <w:rsid w:val="00053DA4"/>
    <w:rsid w:val="00054340"/>
    <w:rsid w:val="00054EF6"/>
    <w:rsid w:val="000552F0"/>
    <w:rsid w:val="000555A2"/>
    <w:rsid w:val="00055C0B"/>
    <w:rsid w:val="0005631B"/>
    <w:rsid w:val="00056330"/>
    <w:rsid w:val="00056B21"/>
    <w:rsid w:val="00056B2B"/>
    <w:rsid w:val="00057EDC"/>
    <w:rsid w:val="00057FFD"/>
    <w:rsid w:val="00060705"/>
    <w:rsid w:val="00060B70"/>
    <w:rsid w:val="000612F0"/>
    <w:rsid w:val="000622BE"/>
    <w:rsid w:val="000623BA"/>
    <w:rsid w:val="00062BCE"/>
    <w:rsid w:val="00063171"/>
    <w:rsid w:val="00063287"/>
    <w:rsid w:val="0006362E"/>
    <w:rsid w:val="00063CF0"/>
    <w:rsid w:val="00063EB4"/>
    <w:rsid w:val="0006407C"/>
    <w:rsid w:val="00065E6B"/>
    <w:rsid w:val="0006744C"/>
    <w:rsid w:val="00067458"/>
    <w:rsid w:val="0006751B"/>
    <w:rsid w:val="00067848"/>
    <w:rsid w:val="00067DF6"/>
    <w:rsid w:val="00067E41"/>
    <w:rsid w:val="00070BDD"/>
    <w:rsid w:val="00070CA5"/>
    <w:rsid w:val="00071971"/>
    <w:rsid w:val="00071A62"/>
    <w:rsid w:val="00071F99"/>
    <w:rsid w:val="000720E0"/>
    <w:rsid w:val="000720EA"/>
    <w:rsid w:val="0007218A"/>
    <w:rsid w:val="000734E0"/>
    <w:rsid w:val="00073601"/>
    <w:rsid w:val="0007435D"/>
    <w:rsid w:val="00074612"/>
    <w:rsid w:val="000747EB"/>
    <w:rsid w:val="00076203"/>
    <w:rsid w:val="000762F7"/>
    <w:rsid w:val="00076691"/>
    <w:rsid w:val="000767E5"/>
    <w:rsid w:val="00076B47"/>
    <w:rsid w:val="00076B5A"/>
    <w:rsid w:val="00077811"/>
    <w:rsid w:val="00077D0A"/>
    <w:rsid w:val="00077F24"/>
    <w:rsid w:val="0008009A"/>
    <w:rsid w:val="000800CE"/>
    <w:rsid w:val="00080643"/>
    <w:rsid w:val="00080C64"/>
    <w:rsid w:val="000816DB"/>
    <w:rsid w:val="000820F8"/>
    <w:rsid w:val="000838DE"/>
    <w:rsid w:val="00083EEA"/>
    <w:rsid w:val="00084FC2"/>
    <w:rsid w:val="0008520D"/>
    <w:rsid w:val="00086C01"/>
    <w:rsid w:val="00087EB2"/>
    <w:rsid w:val="000905E6"/>
    <w:rsid w:val="00090773"/>
    <w:rsid w:val="0009087E"/>
    <w:rsid w:val="00091E99"/>
    <w:rsid w:val="00091EB1"/>
    <w:rsid w:val="00091F48"/>
    <w:rsid w:val="000923CD"/>
    <w:rsid w:val="00092452"/>
    <w:rsid w:val="00094BD0"/>
    <w:rsid w:val="00095078"/>
    <w:rsid w:val="0009520E"/>
    <w:rsid w:val="0009536B"/>
    <w:rsid w:val="00095531"/>
    <w:rsid w:val="000957AF"/>
    <w:rsid w:val="0009608C"/>
    <w:rsid w:val="000969E4"/>
    <w:rsid w:val="00097203"/>
    <w:rsid w:val="000972A4"/>
    <w:rsid w:val="00097632"/>
    <w:rsid w:val="000979EE"/>
    <w:rsid w:val="00097D52"/>
    <w:rsid w:val="00097F1E"/>
    <w:rsid w:val="000A05E9"/>
    <w:rsid w:val="000A132F"/>
    <w:rsid w:val="000A1C13"/>
    <w:rsid w:val="000A31C6"/>
    <w:rsid w:val="000A31FA"/>
    <w:rsid w:val="000A3815"/>
    <w:rsid w:val="000A3B7B"/>
    <w:rsid w:val="000A3DA2"/>
    <w:rsid w:val="000A3DED"/>
    <w:rsid w:val="000A4542"/>
    <w:rsid w:val="000A4767"/>
    <w:rsid w:val="000A4826"/>
    <w:rsid w:val="000A48AD"/>
    <w:rsid w:val="000A4F0D"/>
    <w:rsid w:val="000A5626"/>
    <w:rsid w:val="000A6C40"/>
    <w:rsid w:val="000A70F7"/>
    <w:rsid w:val="000A71B7"/>
    <w:rsid w:val="000B0637"/>
    <w:rsid w:val="000B0845"/>
    <w:rsid w:val="000B0D1B"/>
    <w:rsid w:val="000B143F"/>
    <w:rsid w:val="000B17B2"/>
    <w:rsid w:val="000B2334"/>
    <w:rsid w:val="000B291B"/>
    <w:rsid w:val="000B2BAC"/>
    <w:rsid w:val="000B2D1D"/>
    <w:rsid w:val="000B33EF"/>
    <w:rsid w:val="000B33F8"/>
    <w:rsid w:val="000B34C0"/>
    <w:rsid w:val="000B36EA"/>
    <w:rsid w:val="000B4F5A"/>
    <w:rsid w:val="000B5321"/>
    <w:rsid w:val="000B5D02"/>
    <w:rsid w:val="000B5F23"/>
    <w:rsid w:val="000B656B"/>
    <w:rsid w:val="000B67AC"/>
    <w:rsid w:val="000B7913"/>
    <w:rsid w:val="000B7A00"/>
    <w:rsid w:val="000C001E"/>
    <w:rsid w:val="000C0B96"/>
    <w:rsid w:val="000C0DBD"/>
    <w:rsid w:val="000C13FE"/>
    <w:rsid w:val="000C157F"/>
    <w:rsid w:val="000C1C65"/>
    <w:rsid w:val="000C1E63"/>
    <w:rsid w:val="000C1ED2"/>
    <w:rsid w:val="000C2A4E"/>
    <w:rsid w:val="000C34B9"/>
    <w:rsid w:val="000C35E3"/>
    <w:rsid w:val="000C3824"/>
    <w:rsid w:val="000C383D"/>
    <w:rsid w:val="000C385D"/>
    <w:rsid w:val="000C385E"/>
    <w:rsid w:val="000C3A40"/>
    <w:rsid w:val="000C3D4E"/>
    <w:rsid w:val="000C3E69"/>
    <w:rsid w:val="000C460D"/>
    <w:rsid w:val="000C4B08"/>
    <w:rsid w:val="000C4F02"/>
    <w:rsid w:val="000C55AF"/>
    <w:rsid w:val="000C61DC"/>
    <w:rsid w:val="000C64A4"/>
    <w:rsid w:val="000C65DC"/>
    <w:rsid w:val="000C68F8"/>
    <w:rsid w:val="000C6DD7"/>
    <w:rsid w:val="000C6EE7"/>
    <w:rsid w:val="000C7100"/>
    <w:rsid w:val="000C7D77"/>
    <w:rsid w:val="000C7E46"/>
    <w:rsid w:val="000D0BB2"/>
    <w:rsid w:val="000D24BB"/>
    <w:rsid w:val="000D26C1"/>
    <w:rsid w:val="000D2BAC"/>
    <w:rsid w:val="000D3781"/>
    <w:rsid w:val="000D3F8D"/>
    <w:rsid w:val="000D453D"/>
    <w:rsid w:val="000D4866"/>
    <w:rsid w:val="000D4B99"/>
    <w:rsid w:val="000D4F9B"/>
    <w:rsid w:val="000D525A"/>
    <w:rsid w:val="000D5A2B"/>
    <w:rsid w:val="000D5EBF"/>
    <w:rsid w:val="000D66DD"/>
    <w:rsid w:val="000D674A"/>
    <w:rsid w:val="000D6A1C"/>
    <w:rsid w:val="000D7569"/>
    <w:rsid w:val="000E045C"/>
    <w:rsid w:val="000E0724"/>
    <w:rsid w:val="000E1094"/>
    <w:rsid w:val="000E164E"/>
    <w:rsid w:val="000E17E4"/>
    <w:rsid w:val="000E1C32"/>
    <w:rsid w:val="000E1CD1"/>
    <w:rsid w:val="000E1EA1"/>
    <w:rsid w:val="000E2240"/>
    <w:rsid w:val="000E2C0C"/>
    <w:rsid w:val="000E334D"/>
    <w:rsid w:val="000E364A"/>
    <w:rsid w:val="000E3E51"/>
    <w:rsid w:val="000E492B"/>
    <w:rsid w:val="000E5DC6"/>
    <w:rsid w:val="000E5E76"/>
    <w:rsid w:val="000E6BB7"/>
    <w:rsid w:val="000E6CDC"/>
    <w:rsid w:val="000E6DAE"/>
    <w:rsid w:val="000E732E"/>
    <w:rsid w:val="000E7747"/>
    <w:rsid w:val="000F069E"/>
    <w:rsid w:val="000F077C"/>
    <w:rsid w:val="000F0839"/>
    <w:rsid w:val="000F0EE5"/>
    <w:rsid w:val="000F0FC9"/>
    <w:rsid w:val="000F1050"/>
    <w:rsid w:val="000F1277"/>
    <w:rsid w:val="000F174F"/>
    <w:rsid w:val="000F1A0A"/>
    <w:rsid w:val="000F1ADB"/>
    <w:rsid w:val="000F295C"/>
    <w:rsid w:val="000F2FA7"/>
    <w:rsid w:val="000F319C"/>
    <w:rsid w:val="000F31FA"/>
    <w:rsid w:val="000F3318"/>
    <w:rsid w:val="000F3889"/>
    <w:rsid w:val="000F4210"/>
    <w:rsid w:val="000F4873"/>
    <w:rsid w:val="000F54D9"/>
    <w:rsid w:val="000F56AE"/>
    <w:rsid w:val="000F5ACD"/>
    <w:rsid w:val="000F5B10"/>
    <w:rsid w:val="000F610E"/>
    <w:rsid w:val="000F66AF"/>
    <w:rsid w:val="000F6978"/>
    <w:rsid w:val="000F6CD2"/>
    <w:rsid w:val="000F6D80"/>
    <w:rsid w:val="000F6DB8"/>
    <w:rsid w:val="000F6DF2"/>
    <w:rsid w:val="000F73C6"/>
    <w:rsid w:val="00100253"/>
    <w:rsid w:val="001003B0"/>
    <w:rsid w:val="00100F08"/>
    <w:rsid w:val="0010194D"/>
    <w:rsid w:val="001019B3"/>
    <w:rsid w:val="00101A5B"/>
    <w:rsid w:val="001020C1"/>
    <w:rsid w:val="00102458"/>
    <w:rsid w:val="001025BF"/>
    <w:rsid w:val="001027EC"/>
    <w:rsid w:val="00102E67"/>
    <w:rsid w:val="00103BA5"/>
    <w:rsid w:val="001047E0"/>
    <w:rsid w:val="001048D9"/>
    <w:rsid w:val="001049AD"/>
    <w:rsid w:val="00104CFB"/>
    <w:rsid w:val="00105228"/>
    <w:rsid w:val="0010549E"/>
    <w:rsid w:val="00105899"/>
    <w:rsid w:val="001058B4"/>
    <w:rsid w:val="00105CB1"/>
    <w:rsid w:val="00106439"/>
    <w:rsid w:val="00106AD3"/>
    <w:rsid w:val="0010707D"/>
    <w:rsid w:val="00107775"/>
    <w:rsid w:val="00107A03"/>
    <w:rsid w:val="00107AD5"/>
    <w:rsid w:val="00110225"/>
    <w:rsid w:val="001105F8"/>
    <w:rsid w:val="00110A6A"/>
    <w:rsid w:val="00110F56"/>
    <w:rsid w:val="00112895"/>
    <w:rsid w:val="00112930"/>
    <w:rsid w:val="001132C5"/>
    <w:rsid w:val="001144DD"/>
    <w:rsid w:val="0011458B"/>
    <w:rsid w:val="00114A1C"/>
    <w:rsid w:val="00116355"/>
    <w:rsid w:val="00116583"/>
    <w:rsid w:val="00116C25"/>
    <w:rsid w:val="0011705B"/>
    <w:rsid w:val="00117151"/>
    <w:rsid w:val="0011779B"/>
    <w:rsid w:val="00120AD1"/>
    <w:rsid w:val="00120AFE"/>
    <w:rsid w:val="00120D4E"/>
    <w:rsid w:val="0012136A"/>
    <w:rsid w:val="001215C6"/>
    <w:rsid w:val="00121624"/>
    <w:rsid w:val="00121C6B"/>
    <w:rsid w:val="00122345"/>
    <w:rsid w:val="0012280C"/>
    <w:rsid w:val="00122DEF"/>
    <w:rsid w:val="00123281"/>
    <w:rsid w:val="0012345A"/>
    <w:rsid w:val="001241C8"/>
    <w:rsid w:val="00124F89"/>
    <w:rsid w:val="001252BC"/>
    <w:rsid w:val="0012537B"/>
    <w:rsid w:val="00125D17"/>
    <w:rsid w:val="00126139"/>
    <w:rsid w:val="001261F5"/>
    <w:rsid w:val="0012784D"/>
    <w:rsid w:val="00127B7D"/>
    <w:rsid w:val="00127F45"/>
    <w:rsid w:val="001300B4"/>
    <w:rsid w:val="001302F2"/>
    <w:rsid w:val="0013034E"/>
    <w:rsid w:val="00130CF2"/>
    <w:rsid w:val="0013111B"/>
    <w:rsid w:val="0013120B"/>
    <w:rsid w:val="00131393"/>
    <w:rsid w:val="001320A1"/>
    <w:rsid w:val="001332C6"/>
    <w:rsid w:val="00133306"/>
    <w:rsid w:val="00133DF4"/>
    <w:rsid w:val="00134A44"/>
    <w:rsid w:val="00134C16"/>
    <w:rsid w:val="00135451"/>
    <w:rsid w:val="0013565E"/>
    <w:rsid w:val="00135889"/>
    <w:rsid w:val="00135B65"/>
    <w:rsid w:val="001361A5"/>
    <w:rsid w:val="001365F8"/>
    <w:rsid w:val="0013660A"/>
    <w:rsid w:val="001368FB"/>
    <w:rsid w:val="00137A05"/>
    <w:rsid w:val="00140B94"/>
    <w:rsid w:val="00140BCC"/>
    <w:rsid w:val="00141144"/>
    <w:rsid w:val="00141A12"/>
    <w:rsid w:val="00141EF2"/>
    <w:rsid w:val="00142907"/>
    <w:rsid w:val="00142F9A"/>
    <w:rsid w:val="0014365F"/>
    <w:rsid w:val="00143A54"/>
    <w:rsid w:val="00143EC3"/>
    <w:rsid w:val="00143F74"/>
    <w:rsid w:val="001443F9"/>
    <w:rsid w:val="00144C00"/>
    <w:rsid w:val="00144DED"/>
    <w:rsid w:val="001457D8"/>
    <w:rsid w:val="00145CC9"/>
    <w:rsid w:val="00146611"/>
    <w:rsid w:val="00146D64"/>
    <w:rsid w:val="00146E7D"/>
    <w:rsid w:val="001477CE"/>
    <w:rsid w:val="001478E1"/>
    <w:rsid w:val="00150073"/>
    <w:rsid w:val="001504AC"/>
    <w:rsid w:val="001504C3"/>
    <w:rsid w:val="00150F8D"/>
    <w:rsid w:val="001513FC"/>
    <w:rsid w:val="001516B4"/>
    <w:rsid w:val="00151718"/>
    <w:rsid w:val="001517D4"/>
    <w:rsid w:val="00153026"/>
    <w:rsid w:val="00153180"/>
    <w:rsid w:val="00153E81"/>
    <w:rsid w:val="00153FF0"/>
    <w:rsid w:val="00154CD6"/>
    <w:rsid w:val="00155449"/>
    <w:rsid w:val="00156001"/>
    <w:rsid w:val="00156340"/>
    <w:rsid w:val="0015664F"/>
    <w:rsid w:val="001573C0"/>
    <w:rsid w:val="00157CB9"/>
    <w:rsid w:val="001603AC"/>
    <w:rsid w:val="00161101"/>
    <w:rsid w:val="0016295C"/>
    <w:rsid w:val="0016343C"/>
    <w:rsid w:val="001634D3"/>
    <w:rsid w:val="001636F2"/>
    <w:rsid w:val="00163DB0"/>
    <w:rsid w:val="00163E51"/>
    <w:rsid w:val="00164101"/>
    <w:rsid w:val="001641C7"/>
    <w:rsid w:val="00164238"/>
    <w:rsid w:val="001643DE"/>
    <w:rsid w:val="00164A65"/>
    <w:rsid w:val="00165989"/>
    <w:rsid w:val="00165BCC"/>
    <w:rsid w:val="001661CD"/>
    <w:rsid w:val="001662C1"/>
    <w:rsid w:val="00166E77"/>
    <w:rsid w:val="00170B33"/>
    <w:rsid w:val="00170BF5"/>
    <w:rsid w:val="00171ACD"/>
    <w:rsid w:val="00171B73"/>
    <w:rsid w:val="001734FD"/>
    <w:rsid w:val="001736E9"/>
    <w:rsid w:val="00173F5C"/>
    <w:rsid w:val="00174638"/>
    <w:rsid w:val="00174CB7"/>
    <w:rsid w:val="0017509A"/>
    <w:rsid w:val="00175771"/>
    <w:rsid w:val="00175E22"/>
    <w:rsid w:val="00176EFC"/>
    <w:rsid w:val="00181325"/>
    <w:rsid w:val="0018221E"/>
    <w:rsid w:val="0018297D"/>
    <w:rsid w:val="00182B20"/>
    <w:rsid w:val="00182E68"/>
    <w:rsid w:val="0018376C"/>
    <w:rsid w:val="001855B4"/>
    <w:rsid w:val="0018593F"/>
    <w:rsid w:val="00186B3E"/>
    <w:rsid w:val="001875E7"/>
    <w:rsid w:val="00187A39"/>
    <w:rsid w:val="00190323"/>
    <w:rsid w:val="001911BA"/>
    <w:rsid w:val="00191ADB"/>
    <w:rsid w:val="0019286A"/>
    <w:rsid w:val="00192D2A"/>
    <w:rsid w:val="001931A9"/>
    <w:rsid w:val="0019351A"/>
    <w:rsid w:val="00193BFE"/>
    <w:rsid w:val="00193D32"/>
    <w:rsid w:val="00193D55"/>
    <w:rsid w:val="00193E0E"/>
    <w:rsid w:val="0019475C"/>
    <w:rsid w:val="00195115"/>
    <w:rsid w:val="001953EC"/>
    <w:rsid w:val="001969C3"/>
    <w:rsid w:val="00197509"/>
    <w:rsid w:val="00197866"/>
    <w:rsid w:val="001979BC"/>
    <w:rsid w:val="001A078A"/>
    <w:rsid w:val="001A0C9F"/>
    <w:rsid w:val="001A0E8B"/>
    <w:rsid w:val="001A21B7"/>
    <w:rsid w:val="001A26F9"/>
    <w:rsid w:val="001A27A0"/>
    <w:rsid w:val="001A29E6"/>
    <w:rsid w:val="001A2D0D"/>
    <w:rsid w:val="001A3130"/>
    <w:rsid w:val="001A3630"/>
    <w:rsid w:val="001A39E3"/>
    <w:rsid w:val="001A4897"/>
    <w:rsid w:val="001A48E3"/>
    <w:rsid w:val="001A4C11"/>
    <w:rsid w:val="001A4F77"/>
    <w:rsid w:val="001A5384"/>
    <w:rsid w:val="001A5397"/>
    <w:rsid w:val="001A5586"/>
    <w:rsid w:val="001A5779"/>
    <w:rsid w:val="001A5CF5"/>
    <w:rsid w:val="001A614E"/>
    <w:rsid w:val="001A67AA"/>
    <w:rsid w:val="001A6902"/>
    <w:rsid w:val="001A6ED9"/>
    <w:rsid w:val="001A6EE1"/>
    <w:rsid w:val="001A73D6"/>
    <w:rsid w:val="001A7BDA"/>
    <w:rsid w:val="001B0022"/>
    <w:rsid w:val="001B0177"/>
    <w:rsid w:val="001B023E"/>
    <w:rsid w:val="001B065A"/>
    <w:rsid w:val="001B081E"/>
    <w:rsid w:val="001B08A4"/>
    <w:rsid w:val="001B0DDD"/>
    <w:rsid w:val="001B1046"/>
    <w:rsid w:val="001B1063"/>
    <w:rsid w:val="001B12F2"/>
    <w:rsid w:val="001B1B98"/>
    <w:rsid w:val="001B1C01"/>
    <w:rsid w:val="001B1EB1"/>
    <w:rsid w:val="001B1FF7"/>
    <w:rsid w:val="001B1FFD"/>
    <w:rsid w:val="001B21FF"/>
    <w:rsid w:val="001B25D5"/>
    <w:rsid w:val="001B2643"/>
    <w:rsid w:val="001B2659"/>
    <w:rsid w:val="001B2666"/>
    <w:rsid w:val="001B27F5"/>
    <w:rsid w:val="001B3B1F"/>
    <w:rsid w:val="001B3C5F"/>
    <w:rsid w:val="001B3D40"/>
    <w:rsid w:val="001B4A02"/>
    <w:rsid w:val="001B5F74"/>
    <w:rsid w:val="001B6201"/>
    <w:rsid w:val="001B627F"/>
    <w:rsid w:val="001B6CD8"/>
    <w:rsid w:val="001B755B"/>
    <w:rsid w:val="001B7EB3"/>
    <w:rsid w:val="001C06F7"/>
    <w:rsid w:val="001C0C87"/>
    <w:rsid w:val="001C3073"/>
    <w:rsid w:val="001C3259"/>
    <w:rsid w:val="001C3388"/>
    <w:rsid w:val="001C34EC"/>
    <w:rsid w:val="001C450C"/>
    <w:rsid w:val="001C4A3D"/>
    <w:rsid w:val="001C4F1C"/>
    <w:rsid w:val="001C5028"/>
    <w:rsid w:val="001C5284"/>
    <w:rsid w:val="001C5396"/>
    <w:rsid w:val="001C6884"/>
    <w:rsid w:val="001C68B7"/>
    <w:rsid w:val="001C6956"/>
    <w:rsid w:val="001C6D57"/>
    <w:rsid w:val="001C6E76"/>
    <w:rsid w:val="001C7A2B"/>
    <w:rsid w:val="001D04A0"/>
    <w:rsid w:val="001D05A1"/>
    <w:rsid w:val="001D06AB"/>
    <w:rsid w:val="001D0E81"/>
    <w:rsid w:val="001D1188"/>
    <w:rsid w:val="001D121E"/>
    <w:rsid w:val="001D2078"/>
    <w:rsid w:val="001D20F1"/>
    <w:rsid w:val="001D2405"/>
    <w:rsid w:val="001D30FA"/>
    <w:rsid w:val="001D3486"/>
    <w:rsid w:val="001D355D"/>
    <w:rsid w:val="001D44C6"/>
    <w:rsid w:val="001D50AF"/>
    <w:rsid w:val="001D5252"/>
    <w:rsid w:val="001D5F9A"/>
    <w:rsid w:val="001D664C"/>
    <w:rsid w:val="001D73F9"/>
    <w:rsid w:val="001D7AB6"/>
    <w:rsid w:val="001D7E54"/>
    <w:rsid w:val="001D7FC9"/>
    <w:rsid w:val="001E0147"/>
    <w:rsid w:val="001E0F1F"/>
    <w:rsid w:val="001E11BF"/>
    <w:rsid w:val="001E122D"/>
    <w:rsid w:val="001E156E"/>
    <w:rsid w:val="001E1984"/>
    <w:rsid w:val="001E1EF5"/>
    <w:rsid w:val="001E28BF"/>
    <w:rsid w:val="001E2A8E"/>
    <w:rsid w:val="001E2E23"/>
    <w:rsid w:val="001E348B"/>
    <w:rsid w:val="001E34F5"/>
    <w:rsid w:val="001E423E"/>
    <w:rsid w:val="001E4640"/>
    <w:rsid w:val="001E5177"/>
    <w:rsid w:val="001E6002"/>
    <w:rsid w:val="001E66AC"/>
    <w:rsid w:val="001E7416"/>
    <w:rsid w:val="001E774C"/>
    <w:rsid w:val="001F0484"/>
    <w:rsid w:val="001F0811"/>
    <w:rsid w:val="001F09C9"/>
    <w:rsid w:val="001F0FAE"/>
    <w:rsid w:val="001F105E"/>
    <w:rsid w:val="001F1CB9"/>
    <w:rsid w:val="001F1E51"/>
    <w:rsid w:val="001F24C1"/>
    <w:rsid w:val="001F2CC2"/>
    <w:rsid w:val="001F3145"/>
    <w:rsid w:val="001F35CD"/>
    <w:rsid w:val="001F44DD"/>
    <w:rsid w:val="001F45D2"/>
    <w:rsid w:val="001F4627"/>
    <w:rsid w:val="001F489E"/>
    <w:rsid w:val="001F4E29"/>
    <w:rsid w:val="001F53EB"/>
    <w:rsid w:val="001F561E"/>
    <w:rsid w:val="001F59BF"/>
    <w:rsid w:val="001F5AF5"/>
    <w:rsid w:val="001F5C60"/>
    <w:rsid w:val="001F6018"/>
    <w:rsid w:val="001F607C"/>
    <w:rsid w:val="001F65C1"/>
    <w:rsid w:val="001F767C"/>
    <w:rsid w:val="0020042C"/>
    <w:rsid w:val="002009FB"/>
    <w:rsid w:val="00202803"/>
    <w:rsid w:val="00202841"/>
    <w:rsid w:val="00203E2E"/>
    <w:rsid w:val="002043A9"/>
    <w:rsid w:val="002048AB"/>
    <w:rsid w:val="00204F8B"/>
    <w:rsid w:val="0020555D"/>
    <w:rsid w:val="0020589E"/>
    <w:rsid w:val="002058DB"/>
    <w:rsid w:val="00205FA8"/>
    <w:rsid w:val="0020637D"/>
    <w:rsid w:val="0020642F"/>
    <w:rsid w:val="002065AE"/>
    <w:rsid w:val="00206DB0"/>
    <w:rsid w:val="00207020"/>
    <w:rsid w:val="002076DB"/>
    <w:rsid w:val="002113F3"/>
    <w:rsid w:val="00211DCB"/>
    <w:rsid w:val="00212285"/>
    <w:rsid w:val="002129DC"/>
    <w:rsid w:val="00212A0E"/>
    <w:rsid w:val="00212B9A"/>
    <w:rsid w:val="002130B9"/>
    <w:rsid w:val="00213794"/>
    <w:rsid w:val="00213FDD"/>
    <w:rsid w:val="002144A8"/>
    <w:rsid w:val="00214956"/>
    <w:rsid w:val="0021508F"/>
    <w:rsid w:val="002150CE"/>
    <w:rsid w:val="00215412"/>
    <w:rsid w:val="00216752"/>
    <w:rsid w:val="00216B3F"/>
    <w:rsid w:val="002175E1"/>
    <w:rsid w:val="002179A4"/>
    <w:rsid w:val="00217BE4"/>
    <w:rsid w:val="00217DB6"/>
    <w:rsid w:val="00220830"/>
    <w:rsid w:val="00220DAD"/>
    <w:rsid w:val="00221818"/>
    <w:rsid w:val="00221AA1"/>
    <w:rsid w:val="00222FD7"/>
    <w:rsid w:val="002248EB"/>
    <w:rsid w:val="002250D7"/>
    <w:rsid w:val="002259B1"/>
    <w:rsid w:val="00225ACF"/>
    <w:rsid w:val="002261E1"/>
    <w:rsid w:val="00226EFB"/>
    <w:rsid w:val="00227288"/>
    <w:rsid w:val="00230101"/>
    <w:rsid w:val="0023016E"/>
    <w:rsid w:val="00230936"/>
    <w:rsid w:val="00230C70"/>
    <w:rsid w:val="00231488"/>
    <w:rsid w:val="0023179A"/>
    <w:rsid w:val="00232C54"/>
    <w:rsid w:val="002331AE"/>
    <w:rsid w:val="002333DC"/>
    <w:rsid w:val="00233CE5"/>
    <w:rsid w:val="00234019"/>
    <w:rsid w:val="0023417D"/>
    <w:rsid w:val="0023438D"/>
    <w:rsid w:val="002348A3"/>
    <w:rsid w:val="0023508B"/>
    <w:rsid w:val="002354DD"/>
    <w:rsid w:val="00235541"/>
    <w:rsid w:val="00235764"/>
    <w:rsid w:val="00235FC1"/>
    <w:rsid w:val="002360BD"/>
    <w:rsid w:val="002369C0"/>
    <w:rsid w:val="002372B7"/>
    <w:rsid w:val="00237992"/>
    <w:rsid w:val="00237B91"/>
    <w:rsid w:val="00237C92"/>
    <w:rsid w:val="00237FA5"/>
    <w:rsid w:val="0024070E"/>
    <w:rsid w:val="00240E9E"/>
    <w:rsid w:val="00241D33"/>
    <w:rsid w:val="00241F09"/>
    <w:rsid w:val="00242092"/>
    <w:rsid w:val="00242D2E"/>
    <w:rsid w:val="00243615"/>
    <w:rsid w:val="0024424D"/>
    <w:rsid w:val="00244920"/>
    <w:rsid w:val="00244CFD"/>
    <w:rsid w:val="00244D69"/>
    <w:rsid w:val="00244D89"/>
    <w:rsid w:val="002454A6"/>
    <w:rsid w:val="00245BF7"/>
    <w:rsid w:val="00246C4C"/>
    <w:rsid w:val="00247A26"/>
    <w:rsid w:val="00251C4B"/>
    <w:rsid w:val="00251C9E"/>
    <w:rsid w:val="00252C31"/>
    <w:rsid w:val="00252EE3"/>
    <w:rsid w:val="002531D8"/>
    <w:rsid w:val="002533FD"/>
    <w:rsid w:val="002538A2"/>
    <w:rsid w:val="00253D09"/>
    <w:rsid w:val="00254293"/>
    <w:rsid w:val="002546A7"/>
    <w:rsid w:val="002550C8"/>
    <w:rsid w:val="00255998"/>
    <w:rsid w:val="00255B35"/>
    <w:rsid w:val="00255DEF"/>
    <w:rsid w:val="00256ADB"/>
    <w:rsid w:val="00256E58"/>
    <w:rsid w:val="002571DD"/>
    <w:rsid w:val="00257426"/>
    <w:rsid w:val="00257487"/>
    <w:rsid w:val="002576BB"/>
    <w:rsid w:val="002579F2"/>
    <w:rsid w:val="00257D54"/>
    <w:rsid w:val="002600B7"/>
    <w:rsid w:val="00260E02"/>
    <w:rsid w:val="00261019"/>
    <w:rsid w:val="00261188"/>
    <w:rsid w:val="00261624"/>
    <w:rsid w:val="002616B3"/>
    <w:rsid w:val="0026296C"/>
    <w:rsid w:val="00262DFF"/>
    <w:rsid w:val="002634B1"/>
    <w:rsid w:val="0026380F"/>
    <w:rsid w:val="00263DF7"/>
    <w:rsid w:val="00263FB3"/>
    <w:rsid w:val="00264F0A"/>
    <w:rsid w:val="00264F8B"/>
    <w:rsid w:val="002661A2"/>
    <w:rsid w:val="0026647B"/>
    <w:rsid w:val="0026681B"/>
    <w:rsid w:val="00266DB1"/>
    <w:rsid w:val="0027005A"/>
    <w:rsid w:val="002700AA"/>
    <w:rsid w:val="002711DA"/>
    <w:rsid w:val="00271231"/>
    <w:rsid w:val="0027146C"/>
    <w:rsid w:val="002715DC"/>
    <w:rsid w:val="00272F99"/>
    <w:rsid w:val="00273D8A"/>
    <w:rsid w:val="00273DB6"/>
    <w:rsid w:val="00274178"/>
    <w:rsid w:val="00274227"/>
    <w:rsid w:val="00274585"/>
    <w:rsid w:val="00274786"/>
    <w:rsid w:val="00274BF1"/>
    <w:rsid w:val="00275ABC"/>
    <w:rsid w:val="00275F20"/>
    <w:rsid w:val="002763B2"/>
    <w:rsid w:val="00276C77"/>
    <w:rsid w:val="00276E7F"/>
    <w:rsid w:val="00277C1B"/>
    <w:rsid w:val="00280C85"/>
    <w:rsid w:val="00280EB9"/>
    <w:rsid w:val="0028118E"/>
    <w:rsid w:val="0028129A"/>
    <w:rsid w:val="0028192D"/>
    <w:rsid w:val="00281A8F"/>
    <w:rsid w:val="00283B23"/>
    <w:rsid w:val="00283B71"/>
    <w:rsid w:val="00284B81"/>
    <w:rsid w:val="00285286"/>
    <w:rsid w:val="00285511"/>
    <w:rsid w:val="002855A8"/>
    <w:rsid w:val="0028593C"/>
    <w:rsid w:val="002863D7"/>
    <w:rsid w:val="002865AA"/>
    <w:rsid w:val="002868D8"/>
    <w:rsid w:val="002872E7"/>
    <w:rsid w:val="00287A3C"/>
    <w:rsid w:val="00287B9B"/>
    <w:rsid w:val="002900DC"/>
    <w:rsid w:val="00290785"/>
    <w:rsid w:val="0029094C"/>
    <w:rsid w:val="00290CCA"/>
    <w:rsid w:val="00291FBE"/>
    <w:rsid w:val="00292737"/>
    <w:rsid w:val="002927A1"/>
    <w:rsid w:val="00292957"/>
    <w:rsid w:val="00292A2B"/>
    <w:rsid w:val="00293708"/>
    <w:rsid w:val="00293B90"/>
    <w:rsid w:val="00293FEC"/>
    <w:rsid w:val="00294A67"/>
    <w:rsid w:val="00294C36"/>
    <w:rsid w:val="002954E4"/>
    <w:rsid w:val="002962B2"/>
    <w:rsid w:val="002965DA"/>
    <w:rsid w:val="0029670E"/>
    <w:rsid w:val="002971FA"/>
    <w:rsid w:val="00297D30"/>
    <w:rsid w:val="002A06A4"/>
    <w:rsid w:val="002A0877"/>
    <w:rsid w:val="002A1A5B"/>
    <w:rsid w:val="002A1E73"/>
    <w:rsid w:val="002A1F41"/>
    <w:rsid w:val="002A1FB1"/>
    <w:rsid w:val="002A22A4"/>
    <w:rsid w:val="002A2B60"/>
    <w:rsid w:val="002A3021"/>
    <w:rsid w:val="002A3354"/>
    <w:rsid w:val="002A3956"/>
    <w:rsid w:val="002A3A81"/>
    <w:rsid w:val="002A3D09"/>
    <w:rsid w:val="002A4774"/>
    <w:rsid w:val="002A4E66"/>
    <w:rsid w:val="002A525C"/>
    <w:rsid w:val="002A5431"/>
    <w:rsid w:val="002A55ED"/>
    <w:rsid w:val="002A5977"/>
    <w:rsid w:val="002A60FC"/>
    <w:rsid w:val="002A634C"/>
    <w:rsid w:val="002A64A1"/>
    <w:rsid w:val="002A68FB"/>
    <w:rsid w:val="002A6D11"/>
    <w:rsid w:val="002A6D62"/>
    <w:rsid w:val="002A6E9C"/>
    <w:rsid w:val="002A6EDD"/>
    <w:rsid w:val="002A73DE"/>
    <w:rsid w:val="002A7A04"/>
    <w:rsid w:val="002B0241"/>
    <w:rsid w:val="002B05B2"/>
    <w:rsid w:val="002B07FA"/>
    <w:rsid w:val="002B09DD"/>
    <w:rsid w:val="002B15F6"/>
    <w:rsid w:val="002B165C"/>
    <w:rsid w:val="002B1B8D"/>
    <w:rsid w:val="002B2D59"/>
    <w:rsid w:val="002B3D5C"/>
    <w:rsid w:val="002B3E31"/>
    <w:rsid w:val="002B4AE8"/>
    <w:rsid w:val="002B4B41"/>
    <w:rsid w:val="002B4C8B"/>
    <w:rsid w:val="002B513E"/>
    <w:rsid w:val="002B5247"/>
    <w:rsid w:val="002B6167"/>
    <w:rsid w:val="002B6657"/>
    <w:rsid w:val="002B69DF"/>
    <w:rsid w:val="002B6A62"/>
    <w:rsid w:val="002B6AD6"/>
    <w:rsid w:val="002B78F2"/>
    <w:rsid w:val="002B7B57"/>
    <w:rsid w:val="002C012E"/>
    <w:rsid w:val="002C0A46"/>
    <w:rsid w:val="002C0A99"/>
    <w:rsid w:val="002C0BE4"/>
    <w:rsid w:val="002C0F38"/>
    <w:rsid w:val="002C1412"/>
    <w:rsid w:val="002C1ECE"/>
    <w:rsid w:val="002C22BA"/>
    <w:rsid w:val="002C36E0"/>
    <w:rsid w:val="002C373E"/>
    <w:rsid w:val="002C3755"/>
    <w:rsid w:val="002C3D16"/>
    <w:rsid w:val="002C3D7D"/>
    <w:rsid w:val="002C3FAA"/>
    <w:rsid w:val="002C4192"/>
    <w:rsid w:val="002C43A2"/>
    <w:rsid w:val="002C4A37"/>
    <w:rsid w:val="002C5A14"/>
    <w:rsid w:val="002C6095"/>
    <w:rsid w:val="002C7803"/>
    <w:rsid w:val="002C7B14"/>
    <w:rsid w:val="002D004D"/>
    <w:rsid w:val="002D014E"/>
    <w:rsid w:val="002D1BAC"/>
    <w:rsid w:val="002D1F5F"/>
    <w:rsid w:val="002D250B"/>
    <w:rsid w:val="002D288A"/>
    <w:rsid w:val="002D332B"/>
    <w:rsid w:val="002D3462"/>
    <w:rsid w:val="002D37BC"/>
    <w:rsid w:val="002D399E"/>
    <w:rsid w:val="002D39F7"/>
    <w:rsid w:val="002D3FB6"/>
    <w:rsid w:val="002D406A"/>
    <w:rsid w:val="002D410E"/>
    <w:rsid w:val="002D4D45"/>
    <w:rsid w:val="002D5777"/>
    <w:rsid w:val="002D58E8"/>
    <w:rsid w:val="002D5C65"/>
    <w:rsid w:val="002D6E49"/>
    <w:rsid w:val="002D7387"/>
    <w:rsid w:val="002D7502"/>
    <w:rsid w:val="002D7EC7"/>
    <w:rsid w:val="002E0790"/>
    <w:rsid w:val="002E07C3"/>
    <w:rsid w:val="002E093C"/>
    <w:rsid w:val="002E0A62"/>
    <w:rsid w:val="002E1392"/>
    <w:rsid w:val="002E1A09"/>
    <w:rsid w:val="002E1C38"/>
    <w:rsid w:val="002E1F65"/>
    <w:rsid w:val="002E26E7"/>
    <w:rsid w:val="002E35C2"/>
    <w:rsid w:val="002E383E"/>
    <w:rsid w:val="002E3A8E"/>
    <w:rsid w:val="002E4B27"/>
    <w:rsid w:val="002E5440"/>
    <w:rsid w:val="002E54FE"/>
    <w:rsid w:val="002E5EC7"/>
    <w:rsid w:val="002E5F8A"/>
    <w:rsid w:val="002E74F3"/>
    <w:rsid w:val="002F0D24"/>
    <w:rsid w:val="002F0E18"/>
    <w:rsid w:val="002F1E3F"/>
    <w:rsid w:val="002F239A"/>
    <w:rsid w:val="002F259E"/>
    <w:rsid w:val="002F2796"/>
    <w:rsid w:val="002F43ED"/>
    <w:rsid w:val="002F446E"/>
    <w:rsid w:val="002F5171"/>
    <w:rsid w:val="002F5B8F"/>
    <w:rsid w:val="002F5DC1"/>
    <w:rsid w:val="002F5DF7"/>
    <w:rsid w:val="002F69A8"/>
    <w:rsid w:val="002F7AB1"/>
    <w:rsid w:val="002F7CA8"/>
    <w:rsid w:val="003004D0"/>
    <w:rsid w:val="003004F5"/>
    <w:rsid w:val="003008E0"/>
    <w:rsid w:val="00300BCD"/>
    <w:rsid w:val="0030171F"/>
    <w:rsid w:val="00301B39"/>
    <w:rsid w:val="00301C2C"/>
    <w:rsid w:val="00301DA6"/>
    <w:rsid w:val="00302885"/>
    <w:rsid w:val="00302D41"/>
    <w:rsid w:val="0030376A"/>
    <w:rsid w:val="00303C88"/>
    <w:rsid w:val="00303E1D"/>
    <w:rsid w:val="003041D5"/>
    <w:rsid w:val="00304200"/>
    <w:rsid w:val="00304246"/>
    <w:rsid w:val="00304A02"/>
    <w:rsid w:val="00304D4A"/>
    <w:rsid w:val="00304DB2"/>
    <w:rsid w:val="003058EB"/>
    <w:rsid w:val="00305930"/>
    <w:rsid w:val="00305B56"/>
    <w:rsid w:val="0030635C"/>
    <w:rsid w:val="00306E96"/>
    <w:rsid w:val="0030711A"/>
    <w:rsid w:val="00307252"/>
    <w:rsid w:val="0030736B"/>
    <w:rsid w:val="003078AB"/>
    <w:rsid w:val="0030799D"/>
    <w:rsid w:val="00310EDA"/>
    <w:rsid w:val="00310FED"/>
    <w:rsid w:val="00311464"/>
    <w:rsid w:val="003121E1"/>
    <w:rsid w:val="0031240F"/>
    <w:rsid w:val="0031247B"/>
    <w:rsid w:val="003125DB"/>
    <w:rsid w:val="003138A9"/>
    <w:rsid w:val="003139B5"/>
    <w:rsid w:val="00314659"/>
    <w:rsid w:val="00314BAC"/>
    <w:rsid w:val="003152C2"/>
    <w:rsid w:val="003157B5"/>
    <w:rsid w:val="00315A8C"/>
    <w:rsid w:val="00315E89"/>
    <w:rsid w:val="00315FB3"/>
    <w:rsid w:val="00316138"/>
    <w:rsid w:val="0031655B"/>
    <w:rsid w:val="00316A27"/>
    <w:rsid w:val="003176D7"/>
    <w:rsid w:val="00317DC3"/>
    <w:rsid w:val="00320032"/>
    <w:rsid w:val="00320615"/>
    <w:rsid w:val="00320897"/>
    <w:rsid w:val="00320F45"/>
    <w:rsid w:val="00321C3B"/>
    <w:rsid w:val="00322587"/>
    <w:rsid w:val="00322B68"/>
    <w:rsid w:val="00322E5C"/>
    <w:rsid w:val="003237A3"/>
    <w:rsid w:val="003237E5"/>
    <w:rsid w:val="00323B11"/>
    <w:rsid w:val="00323C5D"/>
    <w:rsid w:val="0032461D"/>
    <w:rsid w:val="00324BF7"/>
    <w:rsid w:val="00324C2C"/>
    <w:rsid w:val="00324C5E"/>
    <w:rsid w:val="00324F0B"/>
    <w:rsid w:val="003253B6"/>
    <w:rsid w:val="0032595C"/>
    <w:rsid w:val="00325F27"/>
    <w:rsid w:val="003262AA"/>
    <w:rsid w:val="00326393"/>
    <w:rsid w:val="0032740F"/>
    <w:rsid w:val="003307B7"/>
    <w:rsid w:val="00330BD1"/>
    <w:rsid w:val="0033127E"/>
    <w:rsid w:val="00331747"/>
    <w:rsid w:val="00331FE3"/>
    <w:rsid w:val="00332DA2"/>
    <w:rsid w:val="00333219"/>
    <w:rsid w:val="00333501"/>
    <w:rsid w:val="00333B9E"/>
    <w:rsid w:val="00333CE4"/>
    <w:rsid w:val="0033472B"/>
    <w:rsid w:val="003347D9"/>
    <w:rsid w:val="00334B7F"/>
    <w:rsid w:val="00334BDE"/>
    <w:rsid w:val="00334E9F"/>
    <w:rsid w:val="00335057"/>
    <w:rsid w:val="00335797"/>
    <w:rsid w:val="00336A5D"/>
    <w:rsid w:val="00336E67"/>
    <w:rsid w:val="00337CE5"/>
    <w:rsid w:val="003410F7"/>
    <w:rsid w:val="00341223"/>
    <w:rsid w:val="00341D7B"/>
    <w:rsid w:val="00342495"/>
    <w:rsid w:val="00342E0B"/>
    <w:rsid w:val="00343205"/>
    <w:rsid w:val="00343793"/>
    <w:rsid w:val="00343804"/>
    <w:rsid w:val="00343A03"/>
    <w:rsid w:val="00343B40"/>
    <w:rsid w:val="0034486E"/>
    <w:rsid w:val="00344D65"/>
    <w:rsid w:val="00344F51"/>
    <w:rsid w:val="00345E44"/>
    <w:rsid w:val="003463CE"/>
    <w:rsid w:val="003464D9"/>
    <w:rsid w:val="00346B76"/>
    <w:rsid w:val="00347210"/>
    <w:rsid w:val="00347AE3"/>
    <w:rsid w:val="003500A5"/>
    <w:rsid w:val="00350AB2"/>
    <w:rsid w:val="00351173"/>
    <w:rsid w:val="00351CAE"/>
    <w:rsid w:val="0035358E"/>
    <w:rsid w:val="00353782"/>
    <w:rsid w:val="003537BD"/>
    <w:rsid w:val="00353B2E"/>
    <w:rsid w:val="00353E01"/>
    <w:rsid w:val="0035408B"/>
    <w:rsid w:val="00354252"/>
    <w:rsid w:val="003543E3"/>
    <w:rsid w:val="00354492"/>
    <w:rsid w:val="00354589"/>
    <w:rsid w:val="00354C9E"/>
    <w:rsid w:val="0035510B"/>
    <w:rsid w:val="00356180"/>
    <w:rsid w:val="00356A4C"/>
    <w:rsid w:val="00357223"/>
    <w:rsid w:val="003575D8"/>
    <w:rsid w:val="00357680"/>
    <w:rsid w:val="003605D5"/>
    <w:rsid w:val="00360F95"/>
    <w:rsid w:val="0036123C"/>
    <w:rsid w:val="0036160F"/>
    <w:rsid w:val="00361EC0"/>
    <w:rsid w:val="00361F76"/>
    <w:rsid w:val="00362821"/>
    <w:rsid w:val="00362873"/>
    <w:rsid w:val="003628B7"/>
    <w:rsid w:val="003634B9"/>
    <w:rsid w:val="0036383E"/>
    <w:rsid w:val="003638C5"/>
    <w:rsid w:val="00363AB3"/>
    <w:rsid w:val="00364266"/>
    <w:rsid w:val="003647AA"/>
    <w:rsid w:val="003651D2"/>
    <w:rsid w:val="003654F1"/>
    <w:rsid w:val="00365AA1"/>
    <w:rsid w:val="00365DDA"/>
    <w:rsid w:val="003664B4"/>
    <w:rsid w:val="003669C0"/>
    <w:rsid w:val="00366EC4"/>
    <w:rsid w:val="00367600"/>
    <w:rsid w:val="003677CF"/>
    <w:rsid w:val="00370901"/>
    <w:rsid w:val="00370A82"/>
    <w:rsid w:val="00370AC4"/>
    <w:rsid w:val="00370EDF"/>
    <w:rsid w:val="00371052"/>
    <w:rsid w:val="00371502"/>
    <w:rsid w:val="00371E1D"/>
    <w:rsid w:val="00371F4C"/>
    <w:rsid w:val="003726D2"/>
    <w:rsid w:val="00372B80"/>
    <w:rsid w:val="00373252"/>
    <w:rsid w:val="00373446"/>
    <w:rsid w:val="003734EA"/>
    <w:rsid w:val="003744D1"/>
    <w:rsid w:val="00374EBD"/>
    <w:rsid w:val="003752C2"/>
    <w:rsid w:val="00375423"/>
    <w:rsid w:val="00375C03"/>
    <w:rsid w:val="00375E3B"/>
    <w:rsid w:val="00376F82"/>
    <w:rsid w:val="00377265"/>
    <w:rsid w:val="003775C4"/>
    <w:rsid w:val="00380300"/>
    <w:rsid w:val="00380380"/>
    <w:rsid w:val="00380BB7"/>
    <w:rsid w:val="00380F07"/>
    <w:rsid w:val="0038112C"/>
    <w:rsid w:val="00381305"/>
    <w:rsid w:val="00382D15"/>
    <w:rsid w:val="00383941"/>
    <w:rsid w:val="003846E8"/>
    <w:rsid w:val="00384B2C"/>
    <w:rsid w:val="00384BE4"/>
    <w:rsid w:val="00384C12"/>
    <w:rsid w:val="00384C6A"/>
    <w:rsid w:val="00384CA7"/>
    <w:rsid w:val="003859C0"/>
    <w:rsid w:val="00385AC7"/>
    <w:rsid w:val="00385C8C"/>
    <w:rsid w:val="003869B3"/>
    <w:rsid w:val="00386DA8"/>
    <w:rsid w:val="00386FF3"/>
    <w:rsid w:val="0038714B"/>
    <w:rsid w:val="0038716E"/>
    <w:rsid w:val="003875BC"/>
    <w:rsid w:val="0039001A"/>
    <w:rsid w:val="0039066F"/>
    <w:rsid w:val="00391048"/>
    <w:rsid w:val="0039118A"/>
    <w:rsid w:val="003913B9"/>
    <w:rsid w:val="0039189B"/>
    <w:rsid w:val="00391C9B"/>
    <w:rsid w:val="00391D12"/>
    <w:rsid w:val="00391FBA"/>
    <w:rsid w:val="00392AF8"/>
    <w:rsid w:val="00392C38"/>
    <w:rsid w:val="003930CD"/>
    <w:rsid w:val="003931DA"/>
    <w:rsid w:val="00393634"/>
    <w:rsid w:val="003936B3"/>
    <w:rsid w:val="0039395E"/>
    <w:rsid w:val="0039435C"/>
    <w:rsid w:val="003945C1"/>
    <w:rsid w:val="00394E45"/>
    <w:rsid w:val="00394E74"/>
    <w:rsid w:val="00394F1B"/>
    <w:rsid w:val="0039531E"/>
    <w:rsid w:val="0039565D"/>
    <w:rsid w:val="0039629B"/>
    <w:rsid w:val="00396A46"/>
    <w:rsid w:val="00396F9F"/>
    <w:rsid w:val="00396FA6"/>
    <w:rsid w:val="00397636"/>
    <w:rsid w:val="0039774B"/>
    <w:rsid w:val="00397831"/>
    <w:rsid w:val="00397952"/>
    <w:rsid w:val="00397CAF"/>
    <w:rsid w:val="003A0A34"/>
    <w:rsid w:val="003A0D3F"/>
    <w:rsid w:val="003A1E2E"/>
    <w:rsid w:val="003A1E44"/>
    <w:rsid w:val="003A35C4"/>
    <w:rsid w:val="003A3EAE"/>
    <w:rsid w:val="003A46A8"/>
    <w:rsid w:val="003A49AA"/>
    <w:rsid w:val="003A5B89"/>
    <w:rsid w:val="003A5C07"/>
    <w:rsid w:val="003A64F6"/>
    <w:rsid w:val="003A71F5"/>
    <w:rsid w:val="003A72C2"/>
    <w:rsid w:val="003A7588"/>
    <w:rsid w:val="003A769D"/>
    <w:rsid w:val="003A7D2D"/>
    <w:rsid w:val="003B1281"/>
    <w:rsid w:val="003B12CE"/>
    <w:rsid w:val="003B141E"/>
    <w:rsid w:val="003B1A28"/>
    <w:rsid w:val="003B2319"/>
    <w:rsid w:val="003B2AC5"/>
    <w:rsid w:val="003B2B8B"/>
    <w:rsid w:val="003B357D"/>
    <w:rsid w:val="003B3FF9"/>
    <w:rsid w:val="003B47B7"/>
    <w:rsid w:val="003B4BD6"/>
    <w:rsid w:val="003B4D96"/>
    <w:rsid w:val="003B5496"/>
    <w:rsid w:val="003B58DB"/>
    <w:rsid w:val="003B5942"/>
    <w:rsid w:val="003B5989"/>
    <w:rsid w:val="003B6351"/>
    <w:rsid w:val="003B6372"/>
    <w:rsid w:val="003B64B9"/>
    <w:rsid w:val="003B65E4"/>
    <w:rsid w:val="003B7014"/>
    <w:rsid w:val="003B70A9"/>
    <w:rsid w:val="003B7C4C"/>
    <w:rsid w:val="003C034E"/>
    <w:rsid w:val="003C0FBE"/>
    <w:rsid w:val="003C1095"/>
    <w:rsid w:val="003C118A"/>
    <w:rsid w:val="003C1B55"/>
    <w:rsid w:val="003C2BD7"/>
    <w:rsid w:val="003C37A4"/>
    <w:rsid w:val="003C3E54"/>
    <w:rsid w:val="003C481F"/>
    <w:rsid w:val="003C4BE9"/>
    <w:rsid w:val="003C510B"/>
    <w:rsid w:val="003C5A41"/>
    <w:rsid w:val="003C667E"/>
    <w:rsid w:val="003C6998"/>
    <w:rsid w:val="003C69CD"/>
    <w:rsid w:val="003C6ED1"/>
    <w:rsid w:val="003C788C"/>
    <w:rsid w:val="003D01AA"/>
    <w:rsid w:val="003D0BD8"/>
    <w:rsid w:val="003D1486"/>
    <w:rsid w:val="003D19F5"/>
    <w:rsid w:val="003D1B6B"/>
    <w:rsid w:val="003D1BCB"/>
    <w:rsid w:val="003D1CB1"/>
    <w:rsid w:val="003D21BA"/>
    <w:rsid w:val="003D236C"/>
    <w:rsid w:val="003D289E"/>
    <w:rsid w:val="003D33D0"/>
    <w:rsid w:val="003D3519"/>
    <w:rsid w:val="003D3805"/>
    <w:rsid w:val="003D4148"/>
    <w:rsid w:val="003D4AD2"/>
    <w:rsid w:val="003D4D5C"/>
    <w:rsid w:val="003D4D79"/>
    <w:rsid w:val="003D4FB1"/>
    <w:rsid w:val="003D51FE"/>
    <w:rsid w:val="003D54FF"/>
    <w:rsid w:val="003D607A"/>
    <w:rsid w:val="003D63C2"/>
    <w:rsid w:val="003D6820"/>
    <w:rsid w:val="003D71B4"/>
    <w:rsid w:val="003D7DA7"/>
    <w:rsid w:val="003E0138"/>
    <w:rsid w:val="003E032F"/>
    <w:rsid w:val="003E06CC"/>
    <w:rsid w:val="003E0F77"/>
    <w:rsid w:val="003E11DB"/>
    <w:rsid w:val="003E153D"/>
    <w:rsid w:val="003E1AD7"/>
    <w:rsid w:val="003E1B05"/>
    <w:rsid w:val="003E1CEC"/>
    <w:rsid w:val="003E1E3C"/>
    <w:rsid w:val="003E2B27"/>
    <w:rsid w:val="003E3936"/>
    <w:rsid w:val="003E3D4D"/>
    <w:rsid w:val="003E40A6"/>
    <w:rsid w:val="003E41CF"/>
    <w:rsid w:val="003E4771"/>
    <w:rsid w:val="003E499E"/>
    <w:rsid w:val="003E7262"/>
    <w:rsid w:val="003E77EA"/>
    <w:rsid w:val="003F0205"/>
    <w:rsid w:val="003F02B9"/>
    <w:rsid w:val="003F0312"/>
    <w:rsid w:val="003F113E"/>
    <w:rsid w:val="003F1A37"/>
    <w:rsid w:val="003F1CE3"/>
    <w:rsid w:val="003F1F02"/>
    <w:rsid w:val="003F20C1"/>
    <w:rsid w:val="003F287D"/>
    <w:rsid w:val="003F2C9C"/>
    <w:rsid w:val="003F2DAE"/>
    <w:rsid w:val="003F3EAE"/>
    <w:rsid w:val="003F505C"/>
    <w:rsid w:val="003F514E"/>
    <w:rsid w:val="003F5DA1"/>
    <w:rsid w:val="003F66D3"/>
    <w:rsid w:val="003F6982"/>
    <w:rsid w:val="003F6B67"/>
    <w:rsid w:val="003F70C8"/>
    <w:rsid w:val="003F73FD"/>
    <w:rsid w:val="003F7803"/>
    <w:rsid w:val="003F7F5A"/>
    <w:rsid w:val="003F7F7B"/>
    <w:rsid w:val="00400439"/>
    <w:rsid w:val="00401EAC"/>
    <w:rsid w:val="00402C9C"/>
    <w:rsid w:val="00402F95"/>
    <w:rsid w:val="00403498"/>
    <w:rsid w:val="004039F3"/>
    <w:rsid w:val="00403A02"/>
    <w:rsid w:val="0040468A"/>
    <w:rsid w:val="00405A9A"/>
    <w:rsid w:val="00406333"/>
    <w:rsid w:val="004065DF"/>
    <w:rsid w:val="00406627"/>
    <w:rsid w:val="004066F9"/>
    <w:rsid w:val="00406C44"/>
    <w:rsid w:val="00407164"/>
    <w:rsid w:val="004074DF"/>
    <w:rsid w:val="004075C9"/>
    <w:rsid w:val="00410A60"/>
    <w:rsid w:val="00410BE5"/>
    <w:rsid w:val="00411039"/>
    <w:rsid w:val="0041125A"/>
    <w:rsid w:val="00411DD9"/>
    <w:rsid w:val="004124A6"/>
    <w:rsid w:val="00412552"/>
    <w:rsid w:val="00412D8D"/>
    <w:rsid w:val="004130F0"/>
    <w:rsid w:val="00413688"/>
    <w:rsid w:val="00413AD8"/>
    <w:rsid w:val="00415B46"/>
    <w:rsid w:val="00416BF8"/>
    <w:rsid w:val="004173F5"/>
    <w:rsid w:val="00417542"/>
    <w:rsid w:val="00417557"/>
    <w:rsid w:val="00417CD8"/>
    <w:rsid w:val="00417E9D"/>
    <w:rsid w:val="0042075F"/>
    <w:rsid w:val="0042147D"/>
    <w:rsid w:val="00421C03"/>
    <w:rsid w:val="004226C0"/>
    <w:rsid w:val="0042364B"/>
    <w:rsid w:val="00423974"/>
    <w:rsid w:val="00423985"/>
    <w:rsid w:val="004248FA"/>
    <w:rsid w:val="00425577"/>
    <w:rsid w:val="00425581"/>
    <w:rsid w:val="00425B71"/>
    <w:rsid w:val="004263ED"/>
    <w:rsid w:val="004267BD"/>
    <w:rsid w:val="00426957"/>
    <w:rsid w:val="00427347"/>
    <w:rsid w:val="00427CC1"/>
    <w:rsid w:val="004303D4"/>
    <w:rsid w:val="00430426"/>
    <w:rsid w:val="0043083E"/>
    <w:rsid w:val="00430AD4"/>
    <w:rsid w:val="00431831"/>
    <w:rsid w:val="004321A1"/>
    <w:rsid w:val="004326EB"/>
    <w:rsid w:val="00432D36"/>
    <w:rsid w:val="00433690"/>
    <w:rsid w:val="004337DA"/>
    <w:rsid w:val="00434A0B"/>
    <w:rsid w:val="00434B45"/>
    <w:rsid w:val="00434D73"/>
    <w:rsid w:val="00434D81"/>
    <w:rsid w:val="00435085"/>
    <w:rsid w:val="004353A6"/>
    <w:rsid w:val="00435C8E"/>
    <w:rsid w:val="0043606C"/>
    <w:rsid w:val="00436356"/>
    <w:rsid w:val="00436E95"/>
    <w:rsid w:val="00437689"/>
    <w:rsid w:val="00437BC8"/>
    <w:rsid w:val="00437DED"/>
    <w:rsid w:val="0044003A"/>
    <w:rsid w:val="00440630"/>
    <w:rsid w:val="0044085D"/>
    <w:rsid w:val="00440E77"/>
    <w:rsid w:val="00440E92"/>
    <w:rsid w:val="00440EC0"/>
    <w:rsid w:val="00442114"/>
    <w:rsid w:val="004430A8"/>
    <w:rsid w:val="00443403"/>
    <w:rsid w:val="00443449"/>
    <w:rsid w:val="0044383B"/>
    <w:rsid w:val="00443914"/>
    <w:rsid w:val="00443A10"/>
    <w:rsid w:val="00443A6A"/>
    <w:rsid w:val="00443AE1"/>
    <w:rsid w:val="0044412F"/>
    <w:rsid w:val="00444390"/>
    <w:rsid w:val="004446F3"/>
    <w:rsid w:val="00444BB5"/>
    <w:rsid w:val="00445A08"/>
    <w:rsid w:val="004461B5"/>
    <w:rsid w:val="0044658F"/>
    <w:rsid w:val="00446A85"/>
    <w:rsid w:val="00446B4A"/>
    <w:rsid w:val="00446BE3"/>
    <w:rsid w:val="00446DD3"/>
    <w:rsid w:val="00447271"/>
    <w:rsid w:val="004479C6"/>
    <w:rsid w:val="004501B2"/>
    <w:rsid w:val="00450347"/>
    <w:rsid w:val="00450415"/>
    <w:rsid w:val="0045070C"/>
    <w:rsid w:val="004509C4"/>
    <w:rsid w:val="00450A85"/>
    <w:rsid w:val="00450E0F"/>
    <w:rsid w:val="004511F8"/>
    <w:rsid w:val="00451299"/>
    <w:rsid w:val="00451B1E"/>
    <w:rsid w:val="004521A9"/>
    <w:rsid w:val="0045251E"/>
    <w:rsid w:val="00452A3B"/>
    <w:rsid w:val="00452A8E"/>
    <w:rsid w:val="00452DE1"/>
    <w:rsid w:val="00452FAB"/>
    <w:rsid w:val="00453389"/>
    <w:rsid w:val="004538FD"/>
    <w:rsid w:val="00453A3B"/>
    <w:rsid w:val="00453D64"/>
    <w:rsid w:val="00453DC1"/>
    <w:rsid w:val="00453EB1"/>
    <w:rsid w:val="00454A74"/>
    <w:rsid w:val="00454E1A"/>
    <w:rsid w:val="00455162"/>
    <w:rsid w:val="00455C52"/>
    <w:rsid w:val="004569DF"/>
    <w:rsid w:val="00456B19"/>
    <w:rsid w:val="00456E70"/>
    <w:rsid w:val="0045710B"/>
    <w:rsid w:val="00460958"/>
    <w:rsid w:val="00460C31"/>
    <w:rsid w:val="0046107D"/>
    <w:rsid w:val="0046296C"/>
    <w:rsid w:val="00462A59"/>
    <w:rsid w:val="00462B72"/>
    <w:rsid w:val="00462C66"/>
    <w:rsid w:val="004637F3"/>
    <w:rsid w:val="00463CB3"/>
    <w:rsid w:val="00463F1E"/>
    <w:rsid w:val="004657BB"/>
    <w:rsid w:val="004664EA"/>
    <w:rsid w:val="00466B6C"/>
    <w:rsid w:val="00466C95"/>
    <w:rsid w:val="004670E0"/>
    <w:rsid w:val="0046748B"/>
    <w:rsid w:val="00470365"/>
    <w:rsid w:val="004705AA"/>
    <w:rsid w:val="004705EC"/>
    <w:rsid w:val="004706E0"/>
    <w:rsid w:val="004713E8"/>
    <w:rsid w:val="0047218C"/>
    <w:rsid w:val="004721EB"/>
    <w:rsid w:val="00473B1E"/>
    <w:rsid w:val="00473C9A"/>
    <w:rsid w:val="00474233"/>
    <w:rsid w:val="00474265"/>
    <w:rsid w:val="004743E8"/>
    <w:rsid w:val="004746E0"/>
    <w:rsid w:val="00480612"/>
    <w:rsid w:val="00480B91"/>
    <w:rsid w:val="00480F2D"/>
    <w:rsid w:val="00481ADF"/>
    <w:rsid w:val="00481C10"/>
    <w:rsid w:val="00481E71"/>
    <w:rsid w:val="00483114"/>
    <w:rsid w:val="00483243"/>
    <w:rsid w:val="00483704"/>
    <w:rsid w:val="004838E8"/>
    <w:rsid w:val="00483BFD"/>
    <w:rsid w:val="0048431B"/>
    <w:rsid w:val="00484387"/>
    <w:rsid w:val="00484E79"/>
    <w:rsid w:val="00485113"/>
    <w:rsid w:val="00485656"/>
    <w:rsid w:val="004861FB"/>
    <w:rsid w:val="004872F5"/>
    <w:rsid w:val="00487503"/>
    <w:rsid w:val="0049013D"/>
    <w:rsid w:val="004901F5"/>
    <w:rsid w:val="00490653"/>
    <w:rsid w:val="0049120A"/>
    <w:rsid w:val="00491766"/>
    <w:rsid w:val="00492418"/>
    <w:rsid w:val="00492828"/>
    <w:rsid w:val="00492973"/>
    <w:rsid w:val="00493004"/>
    <w:rsid w:val="0049325B"/>
    <w:rsid w:val="00493632"/>
    <w:rsid w:val="00494607"/>
    <w:rsid w:val="00494845"/>
    <w:rsid w:val="004953A7"/>
    <w:rsid w:val="00495432"/>
    <w:rsid w:val="00495BAD"/>
    <w:rsid w:val="00495DDA"/>
    <w:rsid w:val="00496BF6"/>
    <w:rsid w:val="004973E5"/>
    <w:rsid w:val="00497945"/>
    <w:rsid w:val="00497B28"/>
    <w:rsid w:val="004A0390"/>
    <w:rsid w:val="004A0717"/>
    <w:rsid w:val="004A0720"/>
    <w:rsid w:val="004A0845"/>
    <w:rsid w:val="004A0A0A"/>
    <w:rsid w:val="004A0E0B"/>
    <w:rsid w:val="004A1C84"/>
    <w:rsid w:val="004A241C"/>
    <w:rsid w:val="004A258B"/>
    <w:rsid w:val="004A2815"/>
    <w:rsid w:val="004A2AF7"/>
    <w:rsid w:val="004A3076"/>
    <w:rsid w:val="004A3104"/>
    <w:rsid w:val="004A3310"/>
    <w:rsid w:val="004A343E"/>
    <w:rsid w:val="004A3579"/>
    <w:rsid w:val="004A3809"/>
    <w:rsid w:val="004A38A9"/>
    <w:rsid w:val="004A39F6"/>
    <w:rsid w:val="004A3CD9"/>
    <w:rsid w:val="004A3F40"/>
    <w:rsid w:val="004A442B"/>
    <w:rsid w:val="004A449C"/>
    <w:rsid w:val="004A45FB"/>
    <w:rsid w:val="004A4728"/>
    <w:rsid w:val="004A515F"/>
    <w:rsid w:val="004A646F"/>
    <w:rsid w:val="004A69FA"/>
    <w:rsid w:val="004A6C79"/>
    <w:rsid w:val="004A74B1"/>
    <w:rsid w:val="004A7707"/>
    <w:rsid w:val="004B15B3"/>
    <w:rsid w:val="004B276D"/>
    <w:rsid w:val="004B2BE8"/>
    <w:rsid w:val="004B2C08"/>
    <w:rsid w:val="004B37FF"/>
    <w:rsid w:val="004B3FF7"/>
    <w:rsid w:val="004B457E"/>
    <w:rsid w:val="004B463F"/>
    <w:rsid w:val="004B490D"/>
    <w:rsid w:val="004B4C6B"/>
    <w:rsid w:val="004B53B4"/>
    <w:rsid w:val="004B568C"/>
    <w:rsid w:val="004B662B"/>
    <w:rsid w:val="004B68C1"/>
    <w:rsid w:val="004B6AC8"/>
    <w:rsid w:val="004B6AE4"/>
    <w:rsid w:val="004B6DA9"/>
    <w:rsid w:val="004B72C6"/>
    <w:rsid w:val="004B769D"/>
    <w:rsid w:val="004B77E5"/>
    <w:rsid w:val="004B7927"/>
    <w:rsid w:val="004C00D8"/>
    <w:rsid w:val="004C0118"/>
    <w:rsid w:val="004C0C84"/>
    <w:rsid w:val="004C176A"/>
    <w:rsid w:val="004C17B5"/>
    <w:rsid w:val="004C21B3"/>
    <w:rsid w:val="004C25A2"/>
    <w:rsid w:val="004C3529"/>
    <w:rsid w:val="004C459A"/>
    <w:rsid w:val="004C46EB"/>
    <w:rsid w:val="004C4B90"/>
    <w:rsid w:val="004C4E67"/>
    <w:rsid w:val="004C53C9"/>
    <w:rsid w:val="004C54C3"/>
    <w:rsid w:val="004C5B20"/>
    <w:rsid w:val="004C6AFF"/>
    <w:rsid w:val="004C6FA0"/>
    <w:rsid w:val="004C7752"/>
    <w:rsid w:val="004C7A41"/>
    <w:rsid w:val="004C7DAF"/>
    <w:rsid w:val="004C7F42"/>
    <w:rsid w:val="004D0F0D"/>
    <w:rsid w:val="004D1621"/>
    <w:rsid w:val="004D1868"/>
    <w:rsid w:val="004D1D53"/>
    <w:rsid w:val="004D1DD3"/>
    <w:rsid w:val="004D2397"/>
    <w:rsid w:val="004D256F"/>
    <w:rsid w:val="004D273D"/>
    <w:rsid w:val="004D2A47"/>
    <w:rsid w:val="004D3EAE"/>
    <w:rsid w:val="004D41A8"/>
    <w:rsid w:val="004D4333"/>
    <w:rsid w:val="004D43FE"/>
    <w:rsid w:val="004D490C"/>
    <w:rsid w:val="004D56B9"/>
    <w:rsid w:val="004D5A8A"/>
    <w:rsid w:val="004D70B2"/>
    <w:rsid w:val="004D70DE"/>
    <w:rsid w:val="004D745B"/>
    <w:rsid w:val="004E06BE"/>
    <w:rsid w:val="004E0899"/>
    <w:rsid w:val="004E0BB3"/>
    <w:rsid w:val="004E0DBA"/>
    <w:rsid w:val="004E1142"/>
    <w:rsid w:val="004E136B"/>
    <w:rsid w:val="004E1FEC"/>
    <w:rsid w:val="004E2691"/>
    <w:rsid w:val="004E3B64"/>
    <w:rsid w:val="004E4624"/>
    <w:rsid w:val="004E4AA5"/>
    <w:rsid w:val="004E4D2A"/>
    <w:rsid w:val="004E50E7"/>
    <w:rsid w:val="004E514E"/>
    <w:rsid w:val="004E52B8"/>
    <w:rsid w:val="004E5575"/>
    <w:rsid w:val="004E60A7"/>
    <w:rsid w:val="004E6F10"/>
    <w:rsid w:val="004E7129"/>
    <w:rsid w:val="004E73EE"/>
    <w:rsid w:val="004E755C"/>
    <w:rsid w:val="004E7795"/>
    <w:rsid w:val="004E77EB"/>
    <w:rsid w:val="004E7ADD"/>
    <w:rsid w:val="004F03F0"/>
    <w:rsid w:val="004F083C"/>
    <w:rsid w:val="004F0B2B"/>
    <w:rsid w:val="004F1F6C"/>
    <w:rsid w:val="004F285B"/>
    <w:rsid w:val="004F31FC"/>
    <w:rsid w:val="004F36CA"/>
    <w:rsid w:val="004F3939"/>
    <w:rsid w:val="004F3993"/>
    <w:rsid w:val="004F3A2F"/>
    <w:rsid w:val="004F3E4B"/>
    <w:rsid w:val="004F41B2"/>
    <w:rsid w:val="004F442D"/>
    <w:rsid w:val="004F4922"/>
    <w:rsid w:val="004F4956"/>
    <w:rsid w:val="004F54D5"/>
    <w:rsid w:val="004F5654"/>
    <w:rsid w:val="004F5BB0"/>
    <w:rsid w:val="004F5ECD"/>
    <w:rsid w:val="004F628C"/>
    <w:rsid w:val="004F6C1A"/>
    <w:rsid w:val="004F6CF8"/>
    <w:rsid w:val="004F7470"/>
    <w:rsid w:val="004F7F96"/>
    <w:rsid w:val="005000DF"/>
    <w:rsid w:val="00500495"/>
    <w:rsid w:val="00500A4B"/>
    <w:rsid w:val="00500F3E"/>
    <w:rsid w:val="0050163E"/>
    <w:rsid w:val="00501D6D"/>
    <w:rsid w:val="005022E9"/>
    <w:rsid w:val="00502764"/>
    <w:rsid w:val="005029BE"/>
    <w:rsid w:val="00502CB5"/>
    <w:rsid w:val="005038AF"/>
    <w:rsid w:val="00503932"/>
    <w:rsid w:val="00503D02"/>
    <w:rsid w:val="00504131"/>
    <w:rsid w:val="005044E5"/>
    <w:rsid w:val="0050600F"/>
    <w:rsid w:val="005105A7"/>
    <w:rsid w:val="005108DA"/>
    <w:rsid w:val="00510B0C"/>
    <w:rsid w:val="00510CED"/>
    <w:rsid w:val="00510D11"/>
    <w:rsid w:val="00511222"/>
    <w:rsid w:val="005121EE"/>
    <w:rsid w:val="00512473"/>
    <w:rsid w:val="005125B2"/>
    <w:rsid w:val="00512957"/>
    <w:rsid w:val="00512F7F"/>
    <w:rsid w:val="00513031"/>
    <w:rsid w:val="00513210"/>
    <w:rsid w:val="005137C6"/>
    <w:rsid w:val="00514295"/>
    <w:rsid w:val="00516930"/>
    <w:rsid w:val="00516E04"/>
    <w:rsid w:val="00517886"/>
    <w:rsid w:val="005178A8"/>
    <w:rsid w:val="0051797A"/>
    <w:rsid w:val="005179B0"/>
    <w:rsid w:val="00517F09"/>
    <w:rsid w:val="00520C05"/>
    <w:rsid w:val="00521173"/>
    <w:rsid w:val="0052127D"/>
    <w:rsid w:val="005212DD"/>
    <w:rsid w:val="005217EF"/>
    <w:rsid w:val="00521B7A"/>
    <w:rsid w:val="00521EB1"/>
    <w:rsid w:val="00522054"/>
    <w:rsid w:val="005228C4"/>
    <w:rsid w:val="00522A4E"/>
    <w:rsid w:val="00522F69"/>
    <w:rsid w:val="00523DF5"/>
    <w:rsid w:val="0052469F"/>
    <w:rsid w:val="00524DC8"/>
    <w:rsid w:val="00525581"/>
    <w:rsid w:val="00531C78"/>
    <w:rsid w:val="00532EB8"/>
    <w:rsid w:val="00533276"/>
    <w:rsid w:val="00533E17"/>
    <w:rsid w:val="00535109"/>
    <w:rsid w:val="00536504"/>
    <w:rsid w:val="0053659E"/>
    <w:rsid w:val="005365E1"/>
    <w:rsid w:val="005379BC"/>
    <w:rsid w:val="00537C72"/>
    <w:rsid w:val="00540556"/>
    <w:rsid w:val="00540FEA"/>
    <w:rsid w:val="00541519"/>
    <w:rsid w:val="00541617"/>
    <w:rsid w:val="00541B4E"/>
    <w:rsid w:val="00541D83"/>
    <w:rsid w:val="005420B0"/>
    <w:rsid w:val="00542574"/>
    <w:rsid w:val="005426EC"/>
    <w:rsid w:val="0054271D"/>
    <w:rsid w:val="005427F1"/>
    <w:rsid w:val="00542A9A"/>
    <w:rsid w:val="00542BBE"/>
    <w:rsid w:val="0054300F"/>
    <w:rsid w:val="00543791"/>
    <w:rsid w:val="00543B8F"/>
    <w:rsid w:val="00544F7E"/>
    <w:rsid w:val="005453A7"/>
    <w:rsid w:val="00545490"/>
    <w:rsid w:val="00545873"/>
    <w:rsid w:val="00545FA6"/>
    <w:rsid w:val="005463B7"/>
    <w:rsid w:val="00546C68"/>
    <w:rsid w:val="00547554"/>
    <w:rsid w:val="00547957"/>
    <w:rsid w:val="00547BFB"/>
    <w:rsid w:val="0055015C"/>
    <w:rsid w:val="0055257F"/>
    <w:rsid w:val="005526FF"/>
    <w:rsid w:val="00552BAE"/>
    <w:rsid w:val="00552C0D"/>
    <w:rsid w:val="00553B23"/>
    <w:rsid w:val="00554594"/>
    <w:rsid w:val="00554D44"/>
    <w:rsid w:val="00555589"/>
    <w:rsid w:val="005557FC"/>
    <w:rsid w:val="0055669F"/>
    <w:rsid w:val="005568E1"/>
    <w:rsid w:val="00556922"/>
    <w:rsid w:val="0055727F"/>
    <w:rsid w:val="00557445"/>
    <w:rsid w:val="0056024C"/>
    <w:rsid w:val="00560848"/>
    <w:rsid w:val="00560B10"/>
    <w:rsid w:val="00560DA4"/>
    <w:rsid w:val="0056137F"/>
    <w:rsid w:val="00561E0A"/>
    <w:rsid w:val="00562418"/>
    <w:rsid w:val="00562D62"/>
    <w:rsid w:val="00562DE0"/>
    <w:rsid w:val="0056312D"/>
    <w:rsid w:val="0056352C"/>
    <w:rsid w:val="0056394D"/>
    <w:rsid w:val="00564055"/>
    <w:rsid w:val="00564058"/>
    <w:rsid w:val="00564838"/>
    <w:rsid w:val="00564BD7"/>
    <w:rsid w:val="00564D56"/>
    <w:rsid w:val="005656D7"/>
    <w:rsid w:val="00565950"/>
    <w:rsid w:val="00565D88"/>
    <w:rsid w:val="0056625B"/>
    <w:rsid w:val="00567455"/>
    <w:rsid w:val="00567F49"/>
    <w:rsid w:val="00567FBC"/>
    <w:rsid w:val="00570587"/>
    <w:rsid w:val="00570588"/>
    <w:rsid w:val="00570A8B"/>
    <w:rsid w:val="0057156C"/>
    <w:rsid w:val="005715E6"/>
    <w:rsid w:val="005720B1"/>
    <w:rsid w:val="005723C0"/>
    <w:rsid w:val="005730AA"/>
    <w:rsid w:val="00573344"/>
    <w:rsid w:val="00573FBD"/>
    <w:rsid w:val="00574007"/>
    <w:rsid w:val="005746CE"/>
    <w:rsid w:val="00576365"/>
    <w:rsid w:val="00576B91"/>
    <w:rsid w:val="00577D30"/>
    <w:rsid w:val="005806A2"/>
    <w:rsid w:val="0058083B"/>
    <w:rsid w:val="00580CAF"/>
    <w:rsid w:val="00581432"/>
    <w:rsid w:val="005818BF"/>
    <w:rsid w:val="00581EA7"/>
    <w:rsid w:val="00582125"/>
    <w:rsid w:val="0058246B"/>
    <w:rsid w:val="00582D66"/>
    <w:rsid w:val="00582E9E"/>
    <w:rsid w:val="00582FE8"/>
    <w:rsid w:val="0058301F"/>
    <w:rsid w:val="00583098"/>
    <w:rsid w:val="005832A5"/>
    <w:rsid w:val="005835DB"/>
    <w:rsid w:val="0058364F"/>
    <w:rsid w:val="00583AB5"/>
    <w:rsid w:val="00583C12"/>
    <w:rsid w:val="005848A4"/>
    <w:rsid w:val="00584BA9"/>
    <w:rsid w:val="00584C9D"/>
    <w:rsid w:val="005868AA"/>
    <w:rsid w:val="00586BA2"/>
    <w:rsid w:val="00587642"/>
    <w:rsid w:val="00587803"/>
    <w:rsid w:val="00590378"/>
    <w:rsid w:val="005912D9"/>
    <w:rsid w:val="00591653"/>
    <w:rsid w:val="00591E6B"/>
    <w:rsid w:val="00592039"/>
    <w:rsid w:val="00592449"/>
    <w:rsid w:val="00592F29"/>
    <w:rsid w:val="00593312"/>
    <w:rsid w:val="0059341B"/>
    <w:rsid w:val="00593432"/>
    <w:rsid w:val="005938BC"/>
    <w:rsid w:val="00593F4F"/>
    <w:rsid w:val="0059509B"/>
    <w:rsid w:val="0059554E"/>
    <w:rsid w:val="005955DE"/>
    <w:rsid w:val="0059611A"/>
    <w:rsid w:val="005976A9"/>
    <w:rsid w:val="00597709"/>
    <w:rsid w:val="00597C66"/>
    <w:rsid w:val="00597E08"/>
    <w:rsid w:val="005A0D7C"/>
    <w:rsid w:val="005A11E8"/>
    <w:rsid w:val="005A13C7"/>
    <w:rsid w:val="005A1746"/>
    <w:rsid w:val="005A19AE"/>
    <w:rsid w:val="005A1BF2"/>
    <w:rsid w:val="005A2581"/>
    <w:rsid w:val="005A3BBC"/>
    <w:rsid w:val="005A463E"/>
    <w:rsid w:val="005A59DD"/>
    <w:rsid w:val="005A64E8"/>
    <w:rsid w:val="005A6521"/>
    <w:rsid w:val="005A6854"/>
    <w:rsid w:val="005A7689"/>
    <w:rsid w:val="005A77A0"/>
    <w:rsid w:val="005B2A0D"/>
    <w:rsid w:val="005B2A2E"/>
    <w:rsid w:val="005B39CE"/>
    <w:rsid w:val="005B3D37"/>
    <w:rsid w:val="005B3E34"/>
    <w:rsid w:val="005B435A"/>
    <w:rsid w:val="005B5981"/>
    <w:rsid w:val="005B5AD7"/>
    <w:rsid w:val="005B6467"/>
    <w:rsid w:val="005B6940"/>
    <w:rsid w:val="005B69ED"/>
    <w:rsid w:val="005B72BD"/>
    <w:rsid w:val="005B757D"/>
    <w:rsid w:val="005C00A7"/>
    <w:rsid w:val="005C0F80"/>
    <w:rsid w:val="005C1436"/>
    <w:rsid w:val="005C1A6B"/>
    <w:rsid w:val="005C1C59"/>
    <w:rsid w:val="005C1DAB"/>
    <w:rsid w:val="005C1F9C"/>
    <w:rsid w:val="005C2303"/>
    <w:rsid w:val="005C2DB4"/>
    <w:rsid w:val="005C33CC"/>
    <w:rsid w:val="005C34EA"/>
    <w:rsid w:val="005C3665"/>
    <w:rsid w:val="005C3804"/>
    <w:rsid w:val="005C3AFF"/>
    <w:rsid w:val="005C3E38"/>
    <w:rsid w:val="005C3F15"/>
    <w:rsid w:val="005C4801"/>
    <w:rsid w:val="005C49F2"/>
    <w:rsid w:val="005C519D"/>
    <w:rsid w:val="005C5831"/>
    <w:rsid w:val="005C586D"/>
    <w:rsid w:val="005C6176"/>
    <w:rsid w:val="005C6204"/>
    <w:rsid w:val="005C6779"/>
    <w:rsid w:val="005C6892"/>
    <w:rsid w:val="005C6AC5"/>
    <w:rsid w:val="005C76A8"/>
    <w:rsid w:val="005C7B94"/>
    <w:rsid w:val="005D04FE"/>
    <w:rsid w:val="005D0851"/>
    <w:rsid w:val="005D0DDB"/>
    <w:rsid w:val="005D18DF"/>
    <w:rsid w:val="005D1A53"/>
    <w:rsid w:val="005D1D19"/>
    <w:rsid w:val="005D1EB9"/>
    <w:rsid w:val="005D2F5A"/>
    <w:rsid w:val="005D378A"/>
    <w:rsid w:val="005D3BF1"/>
    <w:rsid w:val="005D41D9"/>
    <w:rsid w:val="005D49CF"/>
    <w:rsid w:val="005D4AB7"/>
    <w:rsid w:val="005D5354"/>
    <w:rsid w:val="005D5521"/>
    <w:rsid w:val="005D625B"/>
    <w:rsid w:val="005D686A"/>
    <w:rsid w:val="005D7397"/>
    <w:rsid w:val="005D73CC"/>
    <w:rsid w:val="005D7CDE"/>
    <w:rsid w:val="005E0592"/>
    <w:rsid w:val="005E121D"/>
    <w:rsid w:val="005E17E9"/>
    <w:rsid w:val="005E1D24"/>
    <w:rsid w:val="005E28A5"/>
    <w:rsid w:val="005E2D17"/>
    <w:rsid w:val="005E31BA"/>
    <w:rsid w:val="005E382A"/>
    <w:rsid w:val="005E41D2"/>
    <w:rsid w:val="005E5A23"/>
    <w:rsid w:val="005E5C6A"/>
    <w:rsid w:val="005E609C"/>
    <w:rsid w:val="005E64CD"/>
    <w:rsid w:val="005E65A6"/>
    <w:rsid w:val="005E6835"/>
    <w:rsid w:val="005E6FCC"/>
    <w:rsid w:val="005E718E"/>
    <w:rsid w:val="005E73CC"/>
    <w:rsid w:val="005E7B61"/>
    <w:rsid w:val="005F01AE"/>
    <w:rsid w:val="005F068C"/>
    <w:rsid w:val="005F0D4E"/>
    <w:rsid w:val="005F0E21"/>
    <w:rsid w:val="005F13E0"/>
    <w:rsid w:val="005F1452"/>
    <w:rsid w:val="005F14FE"/>
    <w:rsid w:val="005F1800"/>
    <w:rsid w:val="005F273A"/>
    <w:rsid w:val="005F2CBD"/>
    <w:rsid w:val="005F2E4A"/>
    <w:rsid w:val="005F35FC"/>
    <w:rsid w:val="005F3930"/>
    <w:rsid w:val="005F3B1D"/>
    <w:rsid w:val="005F3DBD"/>
    <w:rsid w:val="005F4B14"/>
    <w:rsid w:val="005F4BD1"/>
    <w:rsid w:val="005F5855"/>
    <w:rsid w:val="005F59C9"/>
    <w:rsid w:val="005F5D38"/>
    <w:rsid w:val="005F5ECB"/>
    <w:rsid w:val="005F68B5"/>
    <w:rsid w:val="005F6D15"/>
    <w:rsid w:val="005F6E08"/>
    <w:rsid w:val="005F75AD"/>
    <w:rsid w:val="005F7608"/>
    <w:rsid w:val="006004EB"/>
    <w:rsid w:val="0060054F"/>
    <w:rsid w:val="00600886"/>
    <w:rsid w:val="0060118A"/>
    <w:rsid w:val="006014A4"/>
    <w:rsid w:val="00601DE2"/>
    <w:rsid w:val="00601FC9"/>
    <w:rsid w:val="006023C0"/>
    <w:rsid w:val="00602879"/>
    <w:rsid w:val="006029A5"/>
    <w:rsid w:val="00602ABD"/>
    <w:rsid w:val="00602B15"/>
    <w:rsid w:val="00603B30"/>
    <w:rsid w:val="00603F92"/>
    <w:rsid w:val="006048C7"/>
    <w:rsid w:val="00605533"/>
    <w:rsid w:val="00606284"/>
    <w:rsid w:val="0060718B"/>
    <w:rsid w:val="00607278"/>
    <w:rsid w:val="006073C1"/>
    <w:rsid w:val="0060761D"/>
    <w:rsid w:val="00607E8B"/>
    <w:rsid w:val="00607E96"/>
    <w:rsid w:val="00607E99"/>
    <w:rsid w:val="0061043C"/>
    <w:rsid w:val="006112E8"/>
    <w:rsid w:val="00611562"/>
    <w:rsid w:val="00611889"/>
    <w:rsid w:val="00611D41"/>
    <w:rsid w:val="0061208B"/>
    <w:rsid w:val="00612556"/>
    <w:rsid w:val="00612694"/>
    <w:rsid w:val="0061319F"/>
    <w:rsid w:val="0061323A"/>
    <w:rsid w:val="00613E21"/>
    <w:rsid w:val="00613F53"/>
    <w:rsid w:val="00614820"/>
    <w:rsid w:val="0061494B"/>
    <w:rsid w:val="00615334"/>
    <w:rsid w:val="00615364"/>
    <w:rsid w:val="0061559A"/>
    <w:rsid w:val="00616046"/>
    <w:rsid w:val="00616603"/>
    <w:rsid w:val="006166A2"/>
    <w:rsid w:val="0061772E"/>
    <w:rsid w:val="00617BC1"/>
    <w:rsid w:val="00617C6B"/>
    <w:rsid w:val="00620279"/>
    <w:rsid w:val="006204B2"/>
    <w:rsid w:val="006213EF"/>
    <w:rsid w:val="00621479"/>
    <w:rsid w:val="00621942"/>
    <w:rsid w:val="00621C9C"/>
    <w:rsid w:val="00621FA6"/>
    <w:rsid w:val="006225AA"/>
    <w:rsid w:val="00622B16"/>
    <w:rsid w:val="00623173"/>
    <w:rsid w:val="006240FF"/>
    <w:rsid w:val="0062436C"/>
    <w:rsid w:val="00624FC8"/>
    <w:rsid w:val="0062545A"/>
    <w:rsid w:val="00625825"/>
    <w:rsid w:val="00625B45"/>
    <w:rsid w:val="00625E16"/>
    <w:rsid w:val="006263F8"/>
    <w:rsid w:val="006263FC"/>
    <w:rsid w:val="00626421"/>
    <w:rsid w:val="006272C2"/>
    <w:rsid w:val="00627365"/>
    <w:rsid w:val="00627542"/>
    <w:rsid w:val="006278B2"/>
    <w:rsid w:val="00627EFA"/>
    <w:rsid w:val="006304B1"/>
    <w:rsid w:val="00630871"/>
    <w:rsid w:val="0063087F"/>
    <w:rsid w:val="00630B26"/>
    <w:rsid w:val="00630C42"/>
    <w:rsid w:val="00631014"/>
    <w:rsid w:val="00631172"/>
    <w:rsid w:val="006311AA"/>
    <w:rsid w:val="00631592"/>
    <w:rsid w:val="00632156"/>
    <w:rsid w:val="00632C26"/>
    <w:rsid w:val="00633123"/>
    <w:rsid w:val="0063387B"/>
    <w:rsid w:val="00634625"/>
    <w:rsid w:val="00634DF5"/>
    <w:rsid w:val="00635477"/>
    <w:rsid w:val="006354B0"/>
    <w:rsid w:val="006356DF"/>
    <w:rsid w:val="006358A4"/>
    <w:rsid w:val="00636634"/>
    <w:rsid w:val="006367E9"/>
    <w:rsid w:val="00637A66"/>
    <w:rsid w:val="006406E8"/>
    <w:rsid w:val="006407E7"/>
    <w:rsid w:val="00641098"/>
    <w:rsid w:val="0064123A"/>
    <w:rsid w:val="006417C4"/>
    <w:rsid w:val="00641C23"/>
    <w:rsid w:val="00642946"/>
    <w:rsid w:val="00642977"/>
    <w:rsid w:val="006429B3"/>
    <w:rsid w:val="006434F0"/>
    <w:rsid w:val="00643881"/>
    <w:rsid w:val="00643BC1"/>
    <w:rsid w:val="00643C09"/>
    <w:rsid w:val="00643C99"/>
    <w:rsid w:val="00643E8A"/>
    <w:rsid w:val="00644410"/>
    <w:rsid w:val="00644917"/>
    <w:rsid w:val="006468B8"/>
    <w:rsid w:val="00647B67"/>
    <w:rsid w:val="00650758"/>
    <w:rsid w:val="00650ABC"/>
    <w:rsid w:val="00650B82"/>
    <w:rsid w:val="00650BFA"/>
    <w:rsid w:val="00650F2B"/>
    <w:rsid w:val="006510B1"/>
    <w:rsid w:val="00651AF2"/>
    <w:rsid w:val="00652039"/>
    <w:rsid w:val="00652629"/>
    <w:rsid w:val="00652DD6"/>
    <w:rsid w:val="00653395"/>
    <w:rsid w:val="00653B0C"/>
    <w:rsid w:val="00654606"/>
    <w:rsid w:val="00654B92"/>
    <w:rsid w:val="00655036"/>
    <w:rsid w:val="006550D1"/>
    <w:rsid w:val="00655802"/>
    <w:rsid w:val="00655CDD"/>
    <w:rsid w:val="00655E15"/>
    <w:rsid w:val="006565C8"/>
    <w:rsid w:val="00657088"/>
    <w:rsid w:val="0065741E"/>
    <w:rsid w:val="00657D3F"/>
    <w:rsid w:val="0066062A"/>
    <w:rsid w:val="00661273"/>
    <w:rsid w:val="00661FB5"/>
    <w:rsid w:val="00662042"/>
    <w:rsid w:val="006622D9"/>
    <w:rsid w:val="00662693"/>
    <w:rsid w:val="00662ADE"/>
    <w:rsid w:val="00662C6C"/>
    <w:rsid w:val="00662D4D"/>
    <w:rsid w:val="006631B2"/>
    <w:rsid w:val="006633F9"/>
    <w:rsid w:val="00663EA4"/>
    <w:rsid w:val="00663F95"/>
    <w:rsid w:val="0066456C"/>
    <w:rsid w:val="00664B25"/>
    <w:rsid w:val="00664B7D"/>
    <w:rsid w:val="00664EA8"/>
    <w:rsid w:val="00664EB2"/>
    <w:rsid w:val="00664FDA"/>
    <w:rsid w:val="00664FE2"/>
    <w:rsid w:val="00665922"/>
    <w:rsid w:val="00665A76"/>
    <w:rsid w:val="00666527"/>
    <w:rsid w:val="0066695C"/>
    <w:rsid w:val="00666B55"/>
    <w:rsid w:val="0066717F"/>
    <w:rsid w:val="006671EF"/>
    <w:rsid w:val="0066740C"/>
    <w:rsid w:val="00667DA3"/>
    <w:rsid w:val="00667EFF"/>
    <w:rsid w:val="00670314"/>
    <w:rsid w:val="006713ED"/>
    <w:rsid w:val="00671922"/>
    <w:rsid w:val="00672838"/>
    <w:rsid w:val="00672F7D"/>
    <w:rsid w:val="006730FC"/>
    <w:rsid w:val="00673425"/>
    <w:rsid w:val="00673D71"/>
    <w:rsid w:val="006744D4"/>
    <w:rsid w:val="00674F64"/>
    <w:rsid w:val="00675492"/>
    <w:rsid w:val="00675750"/>
    <w:rsid w:val="00675D6F"/>
    <w:rsid w:val="00675DAD"/>
    <w:rsid w:val="006765D7"/>
    <w:rsid w:val="00676E17"/>
    <w:rsid w:val="006770E3"/>
    <w:rsid w:val="00677102"/>
    <w:rsid w:val="0067733B"/>
    <w:rsid w:val="006773F1"/>
    <w:rsid w:val="006775AF"/>
    <w:rsid w:val="0067761B"/>
    <w:rsid w:val="0067782D"/>
    <w:rsid w:val="0067788F"/>
    <w:rsid w:val="00677F85"/>
    <w:rsid w:val="0068071F"/>
    <w:rsid w:val="006809C8"/>
    <w:rsid w:val="00681019"/>
    <w:rsid w:val="00681880"/>
    <w:rsid w:val="00681E85"/>
    <w:rsid w:val="006824B1"/>
    <w:rsid w:val="0068270B"/>
    <w:rsid w:val="00682735"/>
    <w:rsid w:val="0068276C"/>
    <w:rsid w:val="00682B62"/>
    <w:rsid w:val="00682C35"/>
    <w:rsid w:val="0068329C"/>
    <w:rsid w:val="00683348"/>
    <w:rsid w:val="0068379C"/>
    <w:rsid w:val="00683A99"/>
    <w:rsid w:val="00683BFD"/>
    <w:rsid w:val="0068534B"/>
    <w:rsid w:val="0068537C"/>
    <w:rsid w:val="00685838"/>
    <w:rsid w:val="006866C7"/>
    <w:rsid w:val="0068674F"/>
    <w:rsid w:val="00686CB3"/>
    <w:rsid w:val="00687A8C"/>
    <w:rsid w:val="00687BB7"/>
    <w:rsid w:val="0069011D"/>
    <w:rsid w:val="00690366"/>
    <w:rsid w:val="00690480"/>
    <w:rsid w:val="00690488"/>
    <w:rsid w:val="006908EA"/>
    <w:rsid w:val="006910CB"/>
    <w:rsid w:val="00691685"/>
    <w:rsid w:val="006917A9"/>
    <w:rsid w:val="00692288"/>
    <w:rsid w:val="00692781"/>
    <w:rsid w:val="006931C0"/>
    <w:rsid w:val="00693239"/>
    <w:rsid w:val="00693F5E"/>
    <w:rsid w:val="006947E3"/>
    <w:rsid w:val="00694E93"/>
    <w:rsid w:val="006951D1"/>
    <w:rsid w:val="006954F6"/>
    <w:rsid w:val="006956ED"/>
    <w:rsid w:val="006962A9"/>
    <w:rsid w:val="006968B5"/>
    <w:rsid w:val="00697086"/>
    <w:rsid w:val="006970D6"/>
    <w:rsid w:val="006974F8"/>
    <w:rsid w:val="006A16E0"/>
    <w:rsid w:val="006A217E"/>
    <w:rsid w:val="006A2981"/>
    <w:rsid w:val="006A2B2A"/>
    <w:rsid w:val="006A2B66"/>
    <w:rsid w:val="006A2B9E"/>
    <w:rsid w:val="006A2C04"/>
    <w:rsid w:val="006A2F06"/>
    <w:rsid w:val="006A37BE"/>
    <w:rsid w:val="006A4312"/>
    <w:rsid w:val="006A43B1"/>
    <w:rsid w:val="006A4679"/>
    <w:rsid w:val="006A47A3"/>
    <w:rsid w:val="006A4814"/>
    <w:rsid w:val="006A49E2"/>
    <w:rsid w:val="006A4D7E"/>
    <w:rsid w:val="006A572E"/>
    <w:rsid w:val="006A5F6B"/>
    <w:rsid w:val="006A6C04"/>
    <w:rsid w:val="006A6D4A"/>
    <w:rsid w:val="006A75BA"/>
    <w:rsid w:val="006A7789"/>
    <w:rsid w:val="006A7A0B"/>
    <w:rsid w:val="006B02AD"/>
    <w:rsid w:val="006B04FA"/>
    <w:rsid w:val="006B08AB"/>
    <w:rsid w:val="006B093D"/>
    <w:rsid w:val="006B0D22"/>
    <w:rsid w:val="006B0F7B"/>
    <w:rsid w:val="006B1196"/>
    <w:rsid w:val="006B17F6"/>
    <w:rsid w:val="006B20A4"/>
    <w:rsid w:val="006B215B"/>
    <w:rsid w:val="006B296A"/>
    <w:rsid w:val="006B3036"/>
    <w:rsid w:val="006B364A"/>
    <w:rsid w:val="006B411E"/>
    <w:rsid w:val="006B4291"/>
    <w:rsid w:val="006B439B"/>
    <w:rsid w:val="006B464D"/>
    <w:rsid w:val="006B46EE"/>
    <w:rsid w:val="006B4752"/>
    <w:rsid w:val="006B4A45"/>
    <w:rsid w:val="006B5509"/>
    <w:rsid w:val="006B5899"/>
    <w:rsid w:val="006B6986"/>
    <w:rsid w:val="006B6FEF"/>
    <w:rsid w:val="006B7614"/>
    <w:rsid w:val="006B7662"/>
    <w:rsid w:val="006B7A00"/>
    <w:rsid w:val="006C005F"/>
    <w:rsid w:val="006C0660"/>
    <w:rsid w:val="006C0D10"/>
    <w:rsid w:val="006C0F03"/>
    <w:rsid w:val="006C13A3"/>
    <w:rsid w:val="006C16A3"/>
    <w:rsid w:val="006C1A0B"/>
    <w:rsid w:val="006C2150"/>
    <w:rsid w:val="006C2367"/>
    <w:rsid w:val="006C2628"/>
    <w:rsid w:val="006C2681"/>
    <w:rsid w:val="006C2FED"/>
    <w:rsid w:val="006C3813"/>
    <w:rsid w:val="006C3A8C"/>
    <w:rsid w:val="006C3B46"/>
    <w:rsid w:val="006C5548"/>
    <w:rsid w:val="006C574A"/>
    <w:rsid w:val="006C5D6B"/>
    <w:rsid w:val="006C6098"/>
    <w:rsid w:val="006C649E"/>
    <w:rsid w:val="006C6D73"/>
    <w:rsid w:val="006C73A9"/>
    <w:rsid w:val="006C77AC"/>
    <w:rsid w:val="006D0807"/>
    <w:rsid w:val="006D1329"/>
    <w:rsid w:val="006D1606"/>
    <w:rsid w:val="006D2090"/>
    <w:rsid w:val="006D2705"/>
    <w:rsid w:val="006D2DE4"/>
    <w:rsid w:val="006D402A"/>
    <w:rsid w:val="006D419C"/>
    <w:rsid w:val="006D42FA"/>
    <w:rsid w:val="006D4E41"/>
    <w:rsid w:val="006D5D7B"/>
    <w:rsid w:val="006D65ED"/>
    <w:rsid w:val="006D6AB3"/>
    <w:rsid w:val="006D74A7"/>
    <w:rsid w:val="006D77F0"/>
    <w:rsid w:val="006D780E"/>
    <w:rsid w:val="006D7A85"/>
    <w:rsid w:val="006E0725"/>
    <w:rsid w:val="006E0AD0"/>
    <w:rsid w:val="006E13E8"/>
    <w:rsid w:val="006E1570"/>
    <w:rsid w:val="006E16FA"/>
    <w:rsid w:val="006E18D8"/>
    <w:rsid w:val="006E1C04"/>
    <w:rsid w:val="006E28ED"/>
    <w:rsid w:val="006E2B22"/>
    <w:rsid w:val="006E2C76"/>
    <w:rsid w:val="006E3EAF"/>
    <w:rsid w:val="006E47B7"/>
    <w:rsid w:val="006E48B6"/>
    <w:rsid w:val="006E4BFD"/>
    <w:rsid w:val="006E5157"/>
    <w:rsid w:val="006E527D"/>
    <w:rsid w:val="006E5568"/>
    <w:rsid w:val="006E61A8"/>
    <w:rsid w:val="006E6394"/>
    <w:rsid w:val="006E6974"/>
    <w:rsid w:val="006E6E38"/>
    <w:rsid w:val="006E6E69"/>
    <w:rsid w:val="006E6E96"/>
    <w:rsid w:val="006F02E4"/>
    <w:rsid w:val="006F0415"/>
    <w:rsid w:val="006F07B8"/>
    <w:rsid w:val="006F089B"/>
    <w:rsid w:val="006F1478"/>
    <w:rsid w:val="006F149E"/>
    <w:rsid w:val="006F1ADE"/>
    <w:rsid w:val="006F222F"/>
    <w:rsid w:val="006F2F09"/>
    <w:rsid w:val="006F3B3F"/>
    <w:rsid w:val="006F3F58"/>
    <w:rsid w:val="006F4296"/>
    <w:rsid w:val="006F439E"/>
    <w:rsid w:val="006F49BB"/>
    <w:rsid w:val="006F53FB"/>
    <w:rsid w:val="006F5D8A"/>
    <w:rsid w:val="006F678E"/>
    <w:rsid w:val="006F6C01"/>
    <w:rsid w:val="006F7DC1"/>
    <w:rsid w:val="006F7FA8"/>
    <w:rsid w:val="00700801"/>
    <w:rsid w:val="00700A24"/>
    <w:rsid w:val="00701A26"/>
    <w:rsid w:val="00701F43"/>
    <w:rsid w:val="0070269F"/>
    <w:rsid w:val="00702AF7"/>
    <w:rsid w:val="00702DBE"/>
    <w:rsid w:val="00704715"/>
    <w:rsid w:val="00705538"/>
    <w:rsid w:val="00705C57"/>
    <w:rsid w:val="007060E7"/>
    <w:rsid w:val="00706150"/>
    <w:rsid w:val="007063B4"/>
    <w:rsid w:val="00706D98"/>
    <w:rsid w:val="00707646"/>
    <w:rsid w:val="00710744"/>
    <w:rsid w:val="00710A2A"/>
    <w:rsid w:val="00710F30"/>
    <w:rsid w:val="007110C2"/>
    <w:rsid w:val="00711154"/>
    <w:rsid w:val="00712067"/>
    <w:rsid w:val="0071215B"/>
    <w:rsid w:val="00712265"/>
    <w:rsid w:val="0071260F"/>
    <w:rsid w:val="007129CF"/>
    <w:rsid w:val="00712B1A"/>
    <w:rsid w:val="007130B2"/>
    <w:rsid w:val="0071446E"/>
    <w:rsid w:val="00714F19"/>
    <w:rsid w:val="007151F1"/>
    <w:rsid w:val="00715C09"/>
    <w:rsid w:val="00716231"/>
    <w:rsid w:val="007165F8"/>
    <w:rsid w:val="007166F9"/>
    <w:rsid w:val="00717A69"/>
    <w:rsid w:val="00717BB4"/>
    <w:rsid w:val="00720571"/>
    <w:rsid w:val="00721D22"/>
    <w:rsid w:val="00721F1C"/>
    <w:rsid w:val="00722213"/>
    <w:rsid w:val="00722421"/>
    <w:rsid w:val="007236BC"/>
    <w:rsid w:val="00723ACD"/>
    <w:rsid w:val="00724031"/>
    <w:rsid w:val="0072423F"/>
    <w:rsid w:val="007248D2"/>
    <w:rsid w:val="007248F9"/>
    <w:rsid w:val="00724CC7"/>
    <w:rsid w:val="00726003"/>
    <w:rsid w:val="00726234"/>
    <w:rsid w:val="007265BF"/>
    <w:rsid w:val="0072691C"/>
    <w:rsid w:val="00726AE4"/>
    <w:rsid w:val="00726B87"/>
    <w:rsid w:val="0072746C"/>
    <w:rsid w:val="00727DEF"/>
    <w:rsid w:val="007301F0"/>
    <w:rsid w:val="00730358"/>
    <w:rsid w:val="00730552"/>
    <w:rsid w:val="00730678"/>
    <w:rsid w:val="007318D4"/>
    <w:rsid w:val="0073190D"/>
    <w:rsid w:val="00732910"/>
    <w:rsid w:val="00732916"/>
    <w:rsid w:val="0073455E"/>
    <w:rsid w:val="00734B97"/>
    <w:rsid w:val="007365B8"/>
    <w:rsid w:val="00736904"/>
    <w:rsid w:val="00736B07"/>
    <w:rsid w:val="00740141"/>
    <w:rsid w:val="00740492"/>
    <w:rsid w:val="00740997"/>
    <w:rsid w:val="00740C43"/>
    <w:rsid w:val="0074180E"/>
    <w:rsid w:val="00742852"/>
    <w:rsid w:val="00742E91"/>
    <w:rsid w:val="00743109"/>
    <w:rsid w:val="007432A6"/>
    <w:rsid w:val="007432CB"/>
    <w:rsid w:val="00743B5D"/>
    <w:rsid w:val="00744319"/>
    <w:rsid w:val="007444CB"/>
    <w:rsid w:val="00744BAF"/>
    <w:rsid w:val="007453B5"/>
    <w:rsid w:val="007458EC"/>
    <w:rsid w:val="00745E11"/>
    <w:rsid w:val="00745FC2"/>
    <w:rsid w:val="007464DC"/>
    <w:rsid w:val="007467F9"/>
    <w:rsid w:val="00746AA6"/>
    <w:rsid w:val="0074715E"/>
    <w:rsid w:val="00747493"/>
    <w:rsid w:val="007475C9"/>
    <w:rsid w:val="007509C5"/>
    <w:rsid w:val="00750BCC"/>
    <w:rsid w:val="00750C3E"/>
    <w:rsid w:val="00750F51"/>
    <w:rsid w:val="007511A9"/>
    <w:rsid w:val="0075169E"/>
    <w:rsid w:val="007518DB"/>
    <w:rsid w:val="00752E9E"/>
    <w:rsid w:val="00753AB2"/>
    <w:rsid w:val="007550F0"/>
    <w:rsid w:val="00755B90"/>
    <w:rsid w:val="00756367"/>
    <w:rsid w:val="00756A3E"/>
    <w:rsid w:val="0075767F"/>
    <w:rsid w:val="007579F4"/>
    <w:rsid w:val="00757C76"/>
    <w:rsid w:val="0076068C"/>
    <w:rsid w:val="007608E3"/>
    <w:rsid w:val="007615B3"/>
    <w:rsid w:val="00761D4D"/>
    <w:rsid w:val="00761E4E"/>
    <w:rsid w:val="007623F2"/>
    <w:rsid w:val="00762982"/>
    <w:rsid w:val="007630B9"/>
    <w:rsid w:val="0076342F"/>
    <w:rsid w:val="0076377C"/>
    <w:rsid w:val="00763A04"/>
    <w:rsid w:val="00764288"/>
    <w:rsid w:val="0076548E"/>
    <w:rsid w:val="007654C1"/>
    <w:rsid w:val="007659D8"/>
    <w:rsid w:val="00765C27"/>
    <w:rsid w:val="00766059"/>
    <w:rsid w:val="007663EF"/>
    <w:rsid w:val="007664DA"/>
    <w:rsid w:val="00766B3D"/>
    <w:rsid w:val="007672FB"/>
    <w:rsid w:val="0076784B"/>
    <w:rsid w:val="00767A51"/>
    <w:rsid w:val="00770D8A"/>
    <w:rsid w:val="00770F9D"/>
    <w:rsid w:val="007719E7"/>
    <w:rsid w:val="00772222"/>
    <w:rsid w:val="007727DE"/>
    <w:rsid w:val="00773218"/>
    <w:rsid w:val="007737C4"/>
    <w:rsid w:val="00773C1B"/>
    <w:rsid w:val="00773C7A"/>
    <w:rsid w:val="00774FD0"/>
    <w:rsid w:val="00775468"/>
    <w:rsid w:val="00775E32"/>
    <w:rsid w:val="00776674"/>
    <w:rsid w:val="00777035"/>
    <w:rsid w:val="00777563"/>
    <w:rsid w:val="00777FFB"/>
    <w:rsid w:val="00780381"/>
    <w:rsid w:val="00780502"/>
    <w:rsid w:val="00780E90"/>
    <w:rsid w:val="0078152D"/>
    <w:rsid w:val="00781CB1"/>
    <w:rsid w:val="007820BE"/>
    <w:rsid w:val="00783018"/>
    <w:rsid w:val="0078323C"/>
    <w:rsid w:val="007836AA"/>
    <w:rsid w:val="007837E3"/>
    <w:rsid w:val="00783B83"/>
    <w:rsid w:val="0078419A"/>
    <w:rsid w:val="007845AF"/>
    <w:rsid w:val="007845E0"/>
    <w:rsid w:val="007851FF"/>
    <w:rsid w:val="007854DF"/>
    <w:rsid w:val="007854E7"/>
    <w:rsid w:val="007855A7"/>
    <w:rsid w:val="00786222"/>
    <w:rsid w:val="007867CA"/>
    <w:rsid w:val="00786FFD"/>
    <w:rsid w:val="00787A11"/>
    <w:rsid w:val="00787A92"/>
    <w:rsid w:val="007901B2"/>
    <w:rsid w:val="00790BAD"/>
    <w:rsid w:val="00791DE5"/>
    <w:rsid w:val="00791EA5"/>
    <w:rsid w:val="0079218C"/>
    <w:rsid w:val="007921C3"/>
    <w:rsid w:val="00792905"/>
    <w:rsid w:val="00792F9B"/>
    <w:rsid w:val="00793CFD"/>
    <w:rsid w:val="00794241"/>
    <w:rsid w:val="007942A0"/>
    <w:rsid w:val="00794B5A"/>
    <w:rsid w:val="00795177"/>
    <w:rsid w:val="007955CC"/>
    <w:rsid w:val="00795690"/>
    <w:rsid w:val="00795DE9"/>
    <w:rsid w:val="0079603E"/>
    <w:rsid w:val="0079667A"/>
    <w:rsid w:val="00797595"/>
    <w:rsid w:val="007A0636"/>
    <w:rsid w:val="007A07D5"/>
    <w:rsid w:val="007A0873"/>
    <w:rsid w:val="007A0B8F"/>
    <w:rsid w:val="007A0C16"/>
    <w:rsid w:val="007A14E8"/>
    <w:rsid w:val="007A154F"/>
    <w:rsid w:val="007A1696"/>
    <w:rsid w:val="007A1FAB"/>
    <w:rsid w:val="007A2676"/>
    <w:rsid w:val="007A2A10"/>
    <w:rsid w:val="007A3071"/>
    <w:rsid w:val="007A37F9"/>
    <w:rsid w:val="007A3C81"/>
    <w:rsid w:val="007A3E37"/>
    <w:rsid w:val="007A452E"/>
    <w:rsid w:val="007A48A7"/>
    <w:rsid w:val="007A4999"/>
    <w:rsid w:val="007A4B52"/>
    <w:rsid w:val="007A5380"/>
    <w:rsid w:val="007A5506"/>
    <w:rsid w:val="007A6DFC"/>
    <w:rsid w:val="007A7238"/>
    <w:rsid w:val="007A751E"/>
    <w:rsid w:val="007B07C4"/>
    <w:rsid w:val="007B1836"/>
    <w:rsid w:val="007B2845"/>
    <w:rsid w:val="007B2A66"/>
    <w:rsid w:val="007B2BDC"/>
    <w:rsid w:val="007B32CD"/>
    <w:rsid w:val="007B384E"/>
    <w:rsid w:val="007B392B"/>
    <w:rsid w:val="007B45F9"/>
    <w:rsid w:val="007B4AA3"/>
    <w:rsid w:val="007B4D12"/>
    <w:rsid w:val="007B52BB"/>
    <w:rsid w:val="007B68D8"/>
    <w:rsid w:val="007B6CE6"/>
    <w:rsid w:val="007C04FD"/>
    <w:rsid w:val="007C0834"/>
    <w:rsid w:val="007C0D78"/>
    <w:rsid w:val="007C12AE"/>
    <w:rsid w:val="007C1417"/>
    <w:rsid w:val="007C14C2"/>
    <w:rsid w:val="007C1539"/>
    <w:rsid w:val="007C1827"/>
    <w:rsid w:val="007C1A2C"/>
    <w:rsid w:val="007C1E04"/>
    <w:rsid w:val="007C2643"/>
    <w:rsid w:val="007C27E7"/>
    <w:rsid w:val="007C2C86"/>
    <w:rsid w:val="007C302C"/>
    <w:rsid w:val="007C3B1B"/>
    <w:rsid w:val="007C42AE"/>
    <w:rsid w:val="007C4D04"/>
    <w:rsid w:val="007C5C6C"/>
    <w:rsid w:val="007C6485"/>
    <w:rsid w:val="007C6BBB"/>
    <w:rsid w:val="007C7CE2"/>
    <w:rsid w:val="007D0F02"/>
    <w:rsid w:val="007D14BE"/>
    <w:rsid w:val="007D155E"/>
    <w:rsid w:val="007D1931"/>
    <w:rsid w:val="007D203C"/>
    <w:rsid w:val="007D26FD"/>
    <w:rsid w:val="007D2869"/>
    <w:rsid w:val="007D2AD0"/>
    <w:rsid w:val="007D2E0C"/>
    <w:rsid w:val="007D37D5"/>
    <w:rsid w:val="007D405B"/>
    <w:rsid w:val="007D4442"/>
    <w:rsid w:val="007D4D2C"/>
    <w:rsid w:val="007D4EE8"/>
    <w:rsid w:val="007D602C"/>
    <w:rsid w:val="007D6151"/>
    <w:rsid w:val="007D6284"/>
    <w:rsid w:val="007D66A0"/>
    <w:rsid w:val="007D6E33"/>
    <w:rsid w:val="007D7988"/>
    <w:rsid w:val="007D7A14"/>
    <w:rsid w:val="007D7A2B"/>
    <w:rsid w:val="007E0379"/>
    <w:rsid w:val="007E03D4"/>
    <w:rsid w:val="007E0444"/>
    <w:rsid w:val="007E0609"/>
    <w:rsid w:val="007E089D"/>
    <w:rsid w:val="007E0D3D"/>
    <w:rsid w:val="007E1E93"/>
    <w:rsid w:val="007E1FA4"/>
    <w:rsid w:val="007E3418"/>
    <w:rsid w:val="007E388A"/>
    <w:rsid w:val="007E414D"/>
    <w:rsid w:val="007E47CC"/>
    <w:rsid w:val="007E58A6"/>
    <w:rsid w:val="007E5DA7"/>
    <w:rsid w:val="007E5ECB"/>
    <w:rsid w:val="007E5FE3"/>
    <w:rsid w:val="007E6953"/>
    <w:rsid w:val="007E6ECA"/>
    <w:rsid w:val="007E7902"/>
    <w:rsid w:val="007F022C"/>
    <w:rsid w:val="007F06C4"/>
    <w:rsid w:val="007F1814"/>
    <w:rsid w:val="007F1A0C"/>
    <w:rsid w:val="007F26E1"/>
    <w:rsid w:val="007F2D2D"/>
    <w:rsid w:val="007F2DA3"/>
    <w:rsid w:val="007F2FA0"/>
    <w:rsid w:val="007F3064"/>
    <w:rsid w:val="007F35DE"/>
    <w:rsid w:val="007F3851"/>
    <w:rsid w:val="007F3BA8"/>
    <w:rsid w:val="007F3E94"/>
    <w:rsid w:val="007F4973"/>
    <w:rsid w:val="007F5D45"/>
    <w:rsid w:val="007F6873"/>
    <w:rsid w:val="007F6D51"/>
    <w:rsid w:val="007F71AB"/>
    <w:rsid w:val="007F7884"/>
    <w:rsid w:val="007F7D6E"/>
    <w:rsid w:val="00800071"/>
    <w:rsid w:val="008008B2"/>
    <w:rsid w:val="00800917"/>
    <w:rsid w:val="00800F5A"/>
    <w:rsid w:val="00801238"/>
    <w:rsid w:val="00801D90"/>
    <w:rsid w:val="00801FEE"/>
    <w:rsid w:val="00802E8D"/>
    <w:rsid w:val="0080363F"/>
    <w:rsid w:val="00803E9A"/>
    <w:rsid w:val="00804065"/>
    <w:rsid w:val="0080419D"/>
    <w:rsid w:val="008043FA"/>
    <w:rsid w:val="00804A03"/>
    <w:rsid w:val="00805B9D"/>
    <w:rsid w:val="00806A47"/>
    <w:rsid w:val="00807252"/>
    <w:rsid w:val="00810047"/>
    <w:rsid w:val="00810AA4"/>
    <w:rsid w:val="00811ADD"/>
    <w:rsid w:val="0081290C"/>
    <w:rsid w:val="008136F5"/>
    <w:rsid w:val="00814271"/>
    <w:rsid w:val="008163D3"/>
    <w:rsid w:val="00816470"/>
    <w:rsid w:val="00816527"/>
    <w:rsid w:val="00816DFC"/>
    <w:rsid w:val="008173C6"/>
    <w:rsid w:val="0081740C"/>
    <w:rsid w:val="00817A74"/>
    <w:rsid w:val="00820784"/>
    <w:rsid w:val="008208EE"/>
    <w:rsid w:val="0082093A"/>
    <w:rsid w:val="00820AD9"/>
    <w:rsid w:val="00820C28"/>
    <w:rsid w:val="00820FFB"/>
    <w:rsid w:val="0082136B"/>
    <w:rsid w:val="00821AFE"/>
    <w:rsid w:val="0082226F"/>
    <w:rsid w:val="0082230E"/>
    <w:rsid w:val="008224FD"/>
    <w:rsid w:val="00822878"/>
    <w:rsid w:val="008235FB"/>
    <w:rsid w:val="00824024"/>
    <w:rsid w:val="0082466B"/>
    <w:rsid w:val="00824773"/>
    <w:rsid w:val="00824806"/>
    <w:rsid w:val="00824860"/>
    <w:rsid w:val="00824BAB"/>
    <w:rsid w:val="008255C9"/>
    <w:rsid w:val="00825BC7"/>
    <w:rsid w:val="00826340"/>
    <w:rsid w:val="008263CF"/>
    <w:rsid w:val="00826C32"/>
    <w:rsid w:val="0082705C"/>
    <w:rsid w:val="008273FE"/>
    <w:rsid w:val="00827420"/>
    <w:rsid w:val="00827552"/>
    <w:rsid w:val="0082760B"/>
    <w:rsid w:val="00827A60"/>
    <w:rsid w:val="00827BF1"/>
    <w:rsid w:val="00827D94"/>
    <w:rsid w:val="00827DCB"/>
    <w:rsid w:val="008305AF"/>
    <w:rsid w:val="008308D5"/>
    <w:rsid w:val="00830970"/>
    <w:rsid w:val="0083193E"/>
    <w:rsid w:val="00831D40"/>
    <w:rsid w:val="008321CE"/>
    <w:rsid w:val="00832B9A"/>
    <w:rsid w:val="008333E2"/>
    <w:rsid w:val="008348F8"/>
    <w:rsid w:val="0083540D"/>
    <w:rsid w:val="00835532"/>
    <w:rsid w:val="00835A45"/>
    <w:rsid w:val="00835CCC"/>
    <w:rsid w:val="00836918"/>
    <w:rsid w:val="0083699E"/>
    <w:rsid w:val="00836EB6"/>
    <w:rsid w:val="00837242"/>
    <w:rsid w:val="008373C2"/>
    <w:rsid w:val="0083797A"/>
    <w:rsid w:val="00840194"/>
    <w:rsid w:val="008405CE"/>
    <w:rsid w:val="008407D3"/>
    <w:rsid w:val="00840B6A"/>
    <w:rsid w:val="00840CB7"/>
    <w:rsid w:val="00841003"/>
    <w:rsid w:val="00841273"/>
    <w:rsid w:val="008412E2"/>
    <w:rsid w:val="008415D2"/>
    <w:rsid w:val="008418BF"/>
    <w:rsid w:val="00842862"/>
    <w:rsid w:val="0084288E"/>
    <w:rsid w:val="0084300E"/>
    <w:rsid w:val="008433B1"/>
    <w:rsid w:val="008438C7"/>
    <w:rsid w:val="008446E2"/>
    <w:rsid w:val="00844773"/>
    <w:rsid w:val="00844893"/>
    <w:rsid w:val="00844A48"/>
    <w:rsid w:val="00844F88"/>
    <w:rsid w:val="00845448"/>
    <w:rsid w:val="008458EA"/>
    <w:rsid w:val="008463DF"/>
    <w:rsid w:val="00846FF1"/>
    <w:rsid w:val="0084768A"/>
    <w:rsid w:val="0084792B"/>
    <w:rsid w:val="00847E63"/>
    <w:rsid w:val="0085045B"/>
    <w:rsid w:val="0085088C"/>
    <w:rsid w:val="0085093D"/>
    <w:rsid w:val="00850988"/>
    <w:rsid w:val="00850D55"/>
    <w:rsid w:val="00851489"/>
    <w:rsid w:val="00851B35"/>
    <w:rsid w:val="00851DD5"/>
    <w:rsid w:val="00852475"/>
    <w:rsid w:val="00852CB3"/>
    <w:rsid w:val="00852CEC"/>
    <w:rsid w:val="00853785"/>
    <w:rsid w:val="00854A58"/>
    <w:rsid w:val="00854F8B"/>
    <w:rsid w:val="008553F6"/>
    <w:rsid w:val="00855858"/>
    <w:rsid w:val="0085686C"/>
    <w:rsid w:val="0085739A"/>
    <w:rsid w:val="00857B03"/>
    <w:rsid w:val="008601DD"/>
    <w:rsid w:val="00860A72"/>
    <w:rsid w:val="00860B8D"/>
    <w:rsid w:val="00860D7D"/>
    <w:rsid w:val="00860EC8"/>
    <w:rsid w:val="0086154E"/>
    <w:rsid w:val="00861570"/>
    <w:rsid w:val="00861F91"/>
    <w:rsid w:val="0086205D"/>
    <w:rsid w:val="00864C34"/>
    <w:rsid w:val="00864F16"/>
    <w:rsid w:val="00865145"/>
    <w:rsid w:val="0086537E"/>
    <w:rsid w:val="008664B6"/>
    <w:rsid w:val="00866B62"/>
    <w:rsid w:val="00870156"/>
    <w:rsid w:val="008710C1"/>
    <w:rsid w:val="0087134E"/>
    <w:rsid w:val="008715D1"/>
    <w:rsid w:val="00871D90"/>
    <w:rsid w:val="00872325"/>
    <w:rsid w:val="008725FB"/>
    <w:rsid w:val="00872878"/>
    <w:rsid w:val="008729E6"/>
    <w:rsid w:val="008730CF"/>
    <w:rsid w:val="00873423"/>
    <w:rsid w:val="00873C29"/>
    <w:rsid w:val="00873F03"/>
    <w:rsid w:val="00874204"/>
    <w:rsid w:val="0087441E"/>
    <w:rsid w:val="00874BAD"/>
    <w:rsid w:val="00874CC0"/>
    <w:rsid w:val="00875321"/>
    <w:rsid w:val="00875CF1"/>
    <w:rsid w:val="00875ECC"/>
    <w:rsid w:val="00876212"/>
    <w:rsid w:val="00876645"/>
    <w:rsid w:val="0087707E"/>
    <w:rsid w:val="00877428"/>
    <w:rsid w:val="008777FC"/>
    <w:rsid w:val="00877CF1"/>
    <w:rsid w:val="0088049E"/>
    <w:rsid w:val="00880AE1"/>
    <w:rsid w:val="00881533"/>
    <w:rsid w:val="008817A3"/>
    <w:rsid w:val="00881C12"/>
    <w:rsid w:val="008824D7"/>
    <w:rsid w:val="00882B3D"/>
    <w:rsid w:val="00883119"/>
    <w:rsid w:val="00883FBB"/>
    <w:rsid w:val="0088423C"/>
    <w:rsid w:val="008858CB"/>
    <w:rsid w:val="00885B2C"/>
    <w:rsid w:val="00886111"/>
    <w:rsid w:val="00886B86"/>
    <w:rsid w:val="0088729D"/>
    <w:rsid w:val="008878C3"/>
    <w:rsid w:val="00887E11"/>
    <w:rsid w:val="0089062C"/>
    <w:rsid w:val="00890793"/>
    <w:rsid w:val="0089086C"/>
    <w:rsid w:val="00891189"/>
    <w:rsid w:val="00891A31"/>
    <w:rsid w:val="00891B03"/>
    <w:rsid w:val="00891DCA"/>
    <w:rsid w:val="00892218"/>
    <w:rsid w:val="00892AB1"/>
    <w:rsid w:val="008932A3"/>
    <w:rsid w:val="00893997"/>
    <w:rsid w:val="00893AAB"/>
    <w:rsid w:val="00893AC7"/>
    <w:rsid w:val="00894287"/>
    <w:rsid w:val="0089490C"/>
    <w:rsid w:val="00894BFD"/>
    <w:rsid w:val="00894C1F"/>
    <w:rsid w:val="00894E7B"/>
    <w:rsid w:val="00894ECD"/>
    <w:rsid w:val="00895053"/>
    <w:rsid w:val="00895093"/>
    <w:rsid w:val="008959F4"/>
    <w:rsid w:val="00895F4B"/>
    <w:rsid w:val="008960A6"/>
    <w:rsid w:val="00896158"/>
    <w:rsid w:val="00896AA8"/>
    <w:rsid w:val="0089703F"/>
    <w:rsid w:val="0089758E"/>
    <w:rsid w:val="00897F9D"/>
    <w:rsid w:val="008A0ACE"/>
    <w:rsid w:val="008A0EB1"/>
    <w:rsid w:val="008A1BE2"/>
    <w:rsid w:val="008A24BC"/>
    <w:rsid w:val="008A2969"/>
    <w:rsid w:val="008A3C79"/>
    <w:rsid w:val="008A4347"/>
    <w:rsid w:val="008A4769"/>
    <w:rsid w:val="008A5A32"/>
    <w:rsid w:val="008A5B33"/>
    <w:rsid w:val="008A5DAC"/>
    <w:rsid w:val="008A61F0"/>
    <w:rsid w:val="008A6551"/>
    <w:rsid w:val="008A7177"/>
    <w:rsid w:val="008A7D74"/>
    <w:rsid w:val="008B034B"/>
    <w:rsid w:val="008B0565"/>
    <w:rsid w:val="008B15B9"/>
    <w:rsid w:val="008B172F"/>
    <w:rsid w:val="008B173E"/>
    <w:rsid w:val="008B17E2"/>
    <w:rsid w:val="008B197E"/>
    <w:rsid w:val="008B1A8A"/>
    <w:rsid w:val="008B29C1"/>
    <w:rsid w:val="008B29EF"/>
    <w:rsid w:val="008B2CB7"/>
    <w:rsid w:val="008B2D8D"/>
    <w:rsid w:val="008B2E42"/>
    <w:rsid w:val="008B31CE"/>
    <w:rsid w:val="008B3312"/>
    <w:rsid w:val="008B363A"/>
    <w:rsid w:val="008B37F0"/>
    <w:rsid w:val="008B389B"/>
    <w:rsid w:val="008B4080"/>
    <w:rsid w:val="008B428B"/>
    <w:rsid w:val="008B44E3"/>
    <w:rsid w:val="008B4979"/>
    <w:rsid w:val="008B4E4D"/>
    <w:rsid w:val="008B53C5"/>
    <w:rsid w:val="008B548D"/>
    <w:rsid w:val="008B54AE"/>
    <w:rsid w:val="008B58A5"/>
    <w:rsid w:val="008B623F"/>
    <w:rsid w:val="008B669D"/>
    <w:rsid w:val="008B699D"/>
    <w:rsid w:val="008B6FAF"/>
    <w:rsid w:val="008B7C45"/>
    <w:rsid w:val="008C018D"/>
    <w:rsid w:val="008C1019"/>
    <w:rsid w:val="008C19C4"/>
    <w:rsid w:val="008C1FA9"/>
    <w:rsid w:val="008C1FC4"/>
    <w:rsid w:val="008C20E4"/>
    <w:rsid w:val="008C2498"/>
    <w:rsid w:val="008C2737"/>
    <w:rsid w:val="008C2B91"/>
    <w:rsid w:val="008C3A44"/>
    <w:rsid w:val="008C422D"/>
    <w:rsid w:val="008C46B5"/>
    <w:rsid w:val="008C46C8"/>
    <w:rsid w:val="008C4A0F"/>
    <w:rsid w:val="008C4BCB"/>
    <w:rsid w:val="008C505D"/>
    <w:rsid w:val="008C5B4C"/>
    <w:rsid w:val="008C5E72"/>
    <w:rsid w:val="008C6986"/>
    <w:rsid w:val="008C6A9C"/>
    <w:rsid w:val="008C6BAB"/>
    <w:rsid w:val="008C72C2"/>
    <w:rsid w:val="008D005A"/>
    <w:rsid w:val="008D041A"/>
    <w:rsid w:val="008D0508"/>
    <w:rsid w:val="008D1A05"/>
    <w:rsid w:val="008D2118"/>
    <w:rsid w:val="008D23AD"/>
    <w:rsid w:val="008D2D67"/>
    <w:rsid w:val="008D33F1"/>
    <w:rsid w:val="008D3B10"/>
    <w:rsid w:val="008D44B5"/>
    <w:rsid w:val="008D4B59"/>
    <w:rsid w:val="008D5C8A"/>
    <w:rsid w:val="008D6BA4"/>
    <w:rsid w:val="008D710D"/>
    <w:rsid w:val="008D7218"/>
    <w:rsid w:val="008D75CB"/>
    <w:rsid w:val="008D7916"/>
    <w:rsid w:val="008E023D"/>
    <w:rsid w:val="008E035C"/>
    <w:rsid w:val="008E03BD"/>
    <w:rsid w:val="008E0AE5"/>
    <w:rsid w:val="008E11D2"/>
    <w:rsid w:val="008E1320"/>
    <w:rsid w:val="008E1575"/>
    <w:rsid w:val="008E19FC"/>
    <w:rsid w:val="008E1A17"/>
    <w:rsid w:val="008E1DE9"/>
    <w:rsid w:val="008E275A"/>
    <w:rsid w:val="008E2776"/>
    <w:rsid w:val="008E29F7"/>
    <w:rsid w:val="008E2DAE"/>
    <w:rsid w:val="008E324C"/>
    <w:rsid w:val="008E33BA"/>
    <w:rsid w:val="008E33E1"/>
    <w:rsid w:val="008E3E78"/>
    <w:rsid w:val="008E5363"/>
    <w:rsid w:val="008E59A1"/>
    <w:rsid w:val="008E63A6"/>
    <w:rsid w:val="008E6865"/>
    <w:rsid w:val="008E69A2"/>
    <w:rsid w:val="008E7823"/>
    <w:rsid w:val="008E7B28"/>
    <w:rsid w:val="008E7F76"/>
    <w:rsid w:val="008F0A2C"/>
    <w:rsid w:val="008F0A30"/>
    <w:rsid w:val="008F17E5"/>
    <w:rsid w:val="008F2108"/>
    <w:rsid w:val="008F37A3"/>
    <w:rsid w:val="008F4002"/>
    <w:rsid w:val="008F4FFE"/>
    <w:rsid w:val="008F506D"/>
    <w:rsid w:val="008F5329"/>
    <w:rsid w:val="008F592E"/>
    <w:rsid w:val="008F6178"/>
    <w:rsid w:val="008F620C"/>
    <w:rsid w:val="008F625F"/>
    <w:rsid w:val="008F68EB"/>
    <w:rsid w:val="008F690E"/>
    <w:rsid w:val="008F69BD"/>
    <w:rsid w:val="008F728C"/>
    <w:rsid w:val="008F73C7"/>
    <w:rsid w:val="008F7A93"/>
    <w:rsid w:val="00900DFB"/>
    <w:rsid w:val="00901080"/>
    <w:rsid w:val="009020CE"/>
    <w:rsid w:val="00902234"/>
    <w:rsid w:val="009024AF"/>
    <w:rsid w:val="0090347C"/>
    <w:rsid w:val="009038D6"/>
    <w:rsid w:val="00904155"/>
    <w:rsid w:val="00904660"/>
    <w:rsid w:val="00904B18"/>
    <w:rsid w:val="00904BBF"/>
    <w:rsid w:val="00904C65"/>
    <w:rsid w:val="009055B7"/>
    <w:rsid w:val="00905C56"/>
    <w:rsid w:val="009061FC"/>
    <w:rsid w:val="009062E0"/>
    <w:rsid w:val="00906507"/>
    <w:rsid w:val="00906B06"/>
    <w:rsid w:val="00907054"/>
    <w:rsid w:val="00907331"/>
    <w:rsid w:val="00907CB9"/>
    <w:rsid w:val="009103CC"/>
    <w:rsid w:val="0091096E"/>
    <w:rsid w:val="00911251"/>
    <w:rsid w:val="0091189B"/>
    <w:rsid w:val="00911ECA"/>
    <w:rsid w:val="00912FF9"/>
    <w:rsid w:val="0091330B"/>
    <w:rsid w:val="00913390"/>
    <w:rsid w:val="009136FA"/>
    <w:rsid w:val="00913FEE"/>
    <w:rsid w:val="00914476"/>
    <w:rsid w:val="00914FBA"/>
    <w:rsid w:val="009150B1"/>
    <w:rsid w:val="009151BF"/>
    <w:rsid w:val="009155B0"/>
    <w:rsid w:val="00915826"/>
    <w:rsid w:val="00915B3D"/>
    <w:rsid w:val="00916026"/>
    <w:rsid w:val="0091642F"/>
    <w:rsid w:val="00916B60"/>
    <w:rsid w:val="00916C2B"/>
    <w:rsid w:val="00917882"/>
    <w:rsid w:val="00917A28"/>
    <w:rsid w:val="00917AEB"/>
    <w:rsid w:val="00920806"/>
    <w:rsid w:val="00920E89"/>
    <w:rsid w:val="00920F59"/>
    <w:rsid w:val="00921A82"/>
    <w:rsid w:val="0092271B"/>
    <w:rsid w:val="009235AE"/>
    <w:rsid w:val="0092366B"/>
    <w:rsid w:val="009237B5"/>
    <w:rsid w:val="0092429A"/>
    <w:rsid w:val="009242DE"/>
    <w:rsid w:val="009243E0"/>
    <w:rsid w:val="00924980"/>
    <w:rsid w:val="00924A8C"/>
    <w:rsid w:val="00924D25"/>
    <w:rsid w:val="00925ADD"/>
    <w:rsid w:val="00925B99"/>
    <w:rsid w:val="0092619D"/>
    <w:rsid w:val="0092624B"/>
    <w:rsid w:val="00926295"/>
    <w:rsid w:val="00926435"/>
    <w:rsid w:val="00926650"/>
    <w:rsid w:val="009267E5"/>
    <w:rsid w:val="00926A05"/>
    <w:rsid w:val="00926C51"/>
    <w:rsid w:val="009276BB"/>
    <w:rsid w:val="00927E85"/>
    <w:rsid w:val="00930015"/>
    <w:rsid w:val="00930DCD"/>
    <w:rsid w:val="00930F70"/>
    <w:rsid w:val="0093220E"/>
    <w:rsid w:val="009322C8"/>
    <w:rsid w:val="0093233B"/>
    <w:rsid w:val="00932613"/>
    <w:rsid w:val="00932C5D"/>
    <w:rsid w:val="0093342A"/>
    <w:rsid w:val="00933A9E"/>
    <w:rsid w:val="00933EDA"/>
    <w:rsid w:val="0093434E"/>
    <w:rsid w:val="0093455F"/>
    <w:rsid w:val="009356F8"/>
    <w:rsid w:val="00935787"/>
    <w:rsid w:val="00935DD9"/>
    <w:rsid w:val="009361B2"/>
    <w:rsid w:val="00936356"/>
    <w:rsid w:val="009366CA"/>
    <w:rsid w:val="009369BB"/>
    <w:rsid w:val="00936CED"/>
    <w:rsid w:val="00937978"/>
    <w:rsid w:val="00937B95"/>
    <w:rsid w:val="0094019A"/>
    <w:rsid w:val="0094024B"/>
    <w:rsid w:val="00940496"/>
    <w:rsid w:val="009410AF"/>
    <w:rsid w:val="00941163"/>
    <w:rsid w:val="00941195"/>
    <w:rsid w:val="00941288"/>
    <w:rsid w:val="00941CC1"/>
    <w:rsid w:val="00941DB4"/>
    <w:rsid w:val="009424AA"/>
    <w:rsid w:val="009425DA"/>
    <w:rsid w:val="00942958"/>
    <w:rsid w:val="00943580"/>
    <w:rsid w:val="00943873"/>
    <w:rsid w:val="00943BD3"/>
    <w:rsid w:val="0094439B"/>
    <w:rsid w:val="00944C01"/>
    <w:rsid w:val="00944EC9"/>
    <w:rsid w:val="00945229"/>
    <w:rsid w:val="00945743"/>
    <w:rsid w:val="00946066"/>
    <w:rsid w:val="009461A6"/>
    <w:rsid w:val="00947745"/>
    <w:rsid w:val="009478ED"/>
    <w:rsid w:val="00947ACB"/>
    <w:rsid w:val="00947AFF"/>
    <w:rsid w:val="00947B0C"/>
    <w:rsid w:val="00947C8C"/>
    <w:rsid w:val="00950F8F"/>
    <w:rsid w:val="00950FCD"/>
    <w:rsid w:val="009513C6"/>
    <w:rsid w:val="00951A33"/>
    <w:rsid w:val="009530D0"/>
    <w:rsid w:val="00953A0C"/>
    <w:rsid w:val="00953D7A"/>
    <w:rsid w:val="009549B6"/>
    <w:rsid w:val="00954F16"/>
    <w:rsid w:val="0095545F"/>
    <w:rsid w:val="009554F5"/>
    <w:rsid w:val="00955505"/>
    <w:rsid w:val="00955C48"/>
    <w:rsid w:val="009560C0"/>
    <w:rsid w:val="00956257"/>
    <w:rsid w:val="009563C7"/>
    <w:rsid w:val="00956575"/>
    <w:rsid w:val="00956C97"/>
    <w:rsid w:val="0095765B"/>
    <w:rsid w:val="00957975"/>
    <w:rsid w:val="00957EF6"/>
    <w:rsid w:val="00960C44"/>
    <w:rsid w:val="0096148F"/>
    <w:rsid w:val="009614E1"/>
    <w:rsid w:val="009615D6"/>
    <w:rsid w:val="0096163B"/>
    <w:rsid w:val="00961DC7"/>
    <w:rsid w:val="00961E03"/>
    <w:rsid w:val="0096221B"/>
    <w:rsid w:val="00962630"/>
    <w:rsid w:val="00963565"/>
    <w:rsid w:val="0096411E"/>
    <w:rsid w:val="0096465B"/>
    <w:rsid w:val="009649C0"/>
    <w:rsid w:val="00964A81"/>
    <w:rsid w:val="009654B3"/>
    <w:rsid w:val="00965A8D"/>
    <w:rsid w:val="00965CC1"/>
    <w:rsid w:val="00965D6A"/>
    <w:rsid w:val="0096640D"/>
    <w:rsid w:val="0096643A"/>
    <w:rsid w:val="00966F16"/>
    <w:rsid w:val="00967FAF"/>
    <w:rsid w:val="009706E4"/>
    <w:rsid w:val="00970E84"/>
    <w:rsid w:val="00970EE1"/>
    <w:rsid w:val="00971253"/>
    <w:rsid w:val="009717A5"/>
    <w:rsid w:val="009728EF"/>
    <w:rsid w:val="00972A5B"/>
    <w:rsid w:val="0097319B"/>
    <w:rsid w:val="009731AC"/>
    <w:rsid w:val="009731DE"/>
    <w:rsid w:val="00973953"/>
    <w:rsid w:val="00974D75"/>
    <w:rsid w:val="00974E9E"/>
    <w:rsid w:val="009751A1"/>
    <w:rsid w:val="00975C7F"/>
    <w:rsid w:val="00975EA0"/>
    <w:rsid w:val="009764AF"/>
    <w:rsid w:val="00976A5E"/>
    <w:rsid w:val="00976D4A"/>
    <w:rsid w:val="00976F4D"/>
    <w:rsid w:val="009774E2"/>
    <w:rsid w:val="009779C0"/>
    <w:rsid w:val="00980057"/>
    <w:rsid w:val="00980BCD"/>
    <w:rsid w:val="00980F65"/>
    <w:rsid w:val="00980FBB"/>
    <w:rsid w:val="00981498"/>
    <w:rsid w:val="009817C9"/>
    <w:rsid w:val="00981D9D"/>
    <w:rsid w:val="009820CC"/>
    <w:rsid w:val="0098264A"/>
    <w:rsid w:val="009828DB"/>
    <w:rsid w:val="009832A1"/>
    <w:rsid w:val="009837FE"/>
    <w:rsid w:val="00983A2C"/>
    <w:rsid w:val="00983F9E"/>
    <w:rsid w:val="009842F6"/>
    <w:rsid w:val="00984354"/>
    <w:rsid w:val="00984CC3"/>
    <w:rsid w:val="00985637"/>
    <w:rsid w:val="00986852"/>
    <w:rsid w:val="0098686D"/>
    <w:rsid w:val="0098714B"/>
    <w:rsid w:val="00987C86"/>
    <w:rsid w:val="00987D6A"/>
    <w:rsid w:val="00987E14"/>
    <w:rsid w:val="00990234"/>
    <w:rsid w:val="00990A85"/>
    <w:rsid w:val="00991101"/>
    <w:rsid w:val="00991857"/>
    <w:rsid w:val="00991993"/>
    <w:rsid w:val="009919CA"/>
    <w:rsid w:val="00992162"/>
    <w:rsid w:val="00993235"/>
    <w:rsid w:val="009944FD"/>
    <w:rsid w:val="009946C9"/>
    <w:rsid w:val="009958AB"/>
    <w:rsid w:val="009961D4"/>
    <w:rsid w:val="0099674D"/>
    <w:rsid w:val="00996AFD"/>
    <w:rsid w:val="0099718A"/>
    <w:rsid w:val="009A04AE"/>
    <w:rsid w:val="009A0C5D"/>
    <w:rsid w:val="009A1EA0"/>
    <w:rsid w:val="009A2E5F"/>
    <w:rsid w:val="009A30AF"/>
    <w:rsid w:val="009A30B6"/>
    <w:rsid w:val="009A31CD"/>
    <w:rsid w:val="009A3514"/>
    <w:rsid w:val="009A3944"/>
    <w:rsid w:val="009A3B77"/>
    <w:rsid w:val="009A3E09"/>
    <w:rsid w:val="009A4244"/>
    <w:rsid w:val="009A4885"/>
    <w:rsid w:val="009A4BBC"/>
    <w:rsid w:val="009A5710"/>
    <w:rsid w:val="009A5D89"/>
    <w:rsid w:val="009A6210"/>
    <w:rsid w:val="009A6320"/>
    <w:rsid w:val="009A6AB4"/>
    <w:rsid w:val="009A6AB7"/>
    <w:rsid w:val="009A7CBF"/>
    <w:rsid w:val="009B0008"/>
    <w:rsid w:val="009B00E0"/>
    <w:rsid w:val="009B0606"/>
    <w:rsid w:val="009B07B5"/>
    <w:rsid w:val="009B17FB"/>
    <w:rsid w:val="009B1BA5"/>
    <w:rsid w:val="009B215B"/>
    <w:rsid w:val="009B30F9"/>
    <w:rsid w:val="009B420B"/>
    <w:rsid w:val="009B444B"/>
    <w:rsid w:val="009B4BFD"/>
    <w:rsid w:val="009B4DE9"/>
    <w:rsid w:val="009B57AC"/>
    <w:rsid w:val="009B595B"/>
    <w:rsid w:val="009B6C9F"/>
    <w:rsid w:val="009B6E5C"/>
    <w:rsid w:val="009B6F7B"/>
    <w:rsid w:val="009B6FB8"/>
    <w:rsid w:val="009B7831"/>
    <w:rsid w:val="009B78EA"/>
    <w:rsid w:val="009B79E6"/>
    <w:rsid w:val="009C03BE"/>
    <w:rsid w:val="009C03E6"/>
    <w:rsid w:val="009C07A3"/>
    <w:rsid w:val="009C11DE"/>
    <w:rsid w:val="009C1665"/>
    <w:rsid w:val="009C16A2"/>
    <w:rsid w:val="009C2228"/>
    <w:rsid w:val="009C280E"/>
    <w:rsid w:val="009C3A0C"/>
    <w:rsid w:val="009C3DA6"/>
    <w:rsid w:val="009C3EA5"/>
    <w:rsid w:val="009C50E8"/>
    <w:rsid w:val="009C56A5"/>
    <w:rsid w:val="009C5B4E"/>
    <w:rsid w:val="009C5C1D"/>
    <w:rsid w:val="009C5FE8"/>
    <w:rsid w:val="009C65D4"/>
    <w:rsid w:val="009C7111"/>
    <w:rsid w:val="009C7FD3"/>
    <w:rsid w:val="009D03FF"/>
    <w:rsid w:val="009D053A"/>
    <w:rsid w:val="009D0D85"/>
    <w:rsid w:val="009D229A"/>
    <w:rsid w:val="009D2357"/>
    <w:rsid w:val="009D2458"/>
    <w:rsid w:val="009D25A1"/>
    <w:rsid w:val="009D397A"/>
    <w:rsid w:val="009D3AF4"/>
    <w:rsid w:val="009D3E65"/>
    <w:rsid w:val="009D483A"/>
    <w:rsid w:val="009D4D19"/>
    <w:rsid w:val="009D5661"/>
    <w:rsid w:val="009D59FD"/>
    <w:rsid w:val="009D5DE9"/>
    <w:rsid w:val="009D5E7C"/>
    <w:rsid w:val="009D60A0"/>
    <w:rsid w:val="009D617F"/>
    <w:rsid w:val="009D6360"/>
    <w:rsid w:val="009D6C6E"/>
    <w:rsid w:val="009D6EE3"/>
    <w:rsid w:val="009D6FA9"/>
    <w:rsid w:val="009D72BF"/>
    <w:rsid w:val="009D75A1"/>
    <w:rsid w:val="009D78DA"/>
    <w:rsid w:val="009D79BF"/>
    <w:rsid w:val="009D7BCD"/>
    <w:rsid w:val="009D7E62"/>
    <w:rsid w:val="009E00C2"/>
    <w:rsid w:val="009E02C9"/>
    <w:rsid w:val="009E0692"/>
    <w:rsid w:val="009E0D9E"/>
    <w:rsid w:val="009E11E0"/>
    <w:rsid w:val="009E1407"/>
    <w:rsid w:val="009E1481"/>
    <w:rsid w:val="009E18EE"/>
    <w:rsid w:val="009E224C"/>
    <w:rsid w:val="009E2B3C"/>
    <w:rsid w:val="009E2FC2"/>
    <w:rsid w:val="009E37BC"/>
    <w:rsid w:val="009E4000"/>
    <w:rsid w:val="009E44B3"/>
    <w:rsid w:val="009E464A"/>
    <w:rsid w:val="009E4719"/>
    <w:rsid w:val="009E4EA6"/>
    <w:rsid w:val="009E515F"/>
    <w:rsid w:val="009E532C"/>
    <w:rsid w:val="009E5623"/>
    <w:rsid w:val="009E61C8"/>
    <w:rsid w:val="009E6851"/>
    <w:rsid w:val="009E6D9C"/>
    <w:rsid w:val="009E6F8E"/>
    <w:rsid w:val="009E7692"/>
    <w:rsid w:val="009E79D7"/>
    <w:rsid w:val="009E7AB1"/>
    <w:rsid w:val="009E7FA9"/>
    <w:rsid w:val="009F0708"/>
    <w:rsid w:val="009F0768"/>
    <w:rsid w:val="009F0C8D"/>
    <w:rsid w:val="009F0EB7"/>
    <w:rsid w:val="009F1A4C"/>
    <w:rsid w:val="009F1ADC"/>
    <w:rsid w:val="009F3209"/>
    <w:rsid w:val="009F4601"/>
    <w:rsid w:val="009F476B"/>
    <w:rsid w:val="009F47D0"/>
    <w:rsid w:val="009F5B9B"/>
    <w:rsid w:val="009F6766"/>
    <w:rsid w:val="009F6A61"/>
    <w:rsid w:val="009F6B24"/>
    <w:rsid w:val="009F6D0D"/>
    <w:rsid w:val="009F7681"/>
    <w:rsid w:val="00A00392"/>
    <w:rsid w:val="00A00BA5"/>
    <w:rsid w:val="00A011CE"/>
    <w:rsid w:val="00A01BF7"/>
    <w:rsid w:val="00A0234E"/>
    <w:rsid w:val="00A02C99"/>
    <w:rsid w:val="00A03724"/>
    <w:rsid w:val="00A03B63"/>
    <w:rsid w:val="00A03FB2"/>
    <w:rsid w:val="00A0404A"/>
    <w:rsid w:val="00A0454E"/>
    <w:rsid w:val="00A04BEF"/>
    <w:rsid w:val="00A05B03"/>
    <w:rsid w:val="00A062B8"/>
    <w:rsid w:val="00A06534"/>
    <w:rsid w:val="00A06650"/>
    <w:rsid w:val="00A06CDB"/>
    <w:rsid w:val="00A07184"/>
    <w:rsid w:val="00A1002E"/>
    <w:rsid w:val="00A101AC"/>
    <w:rsid w:val="00A10219"/>
    <w:rsid w:val="00A1032F"/>
    <w:rsid w:val="00A10A03"/>
    <w:rsid w:val="00A10A83"/>
    <w:rsid w:val="00A10BFE"/>
    <w:rsid w:val="00A10EDB"/>
    <w:rsid w:val="00A11750"/>
    <w:rsid w:val="00A1176D"/>
    <w:rsid w:val="00A1177E"/>
    <w:rsid w:val="00A11836"/>
    <w:rsid w:val="00A11AB2"/>
    <w:rsid w:val="00A11BFB"/>
    <w:rsid w:val="00A12516"/>
    <w:rsid w:val="00A12999"/>
    <w:rsid w:val="00A12EBD"/>
    <w:rsid w:val="00A12F3B"/>
    <w:rsid w:val="00A131A4"/>
    <w:rsid w:val="00A1393F"/>
    <w:rsid w:val="00A1429D"/>
    <w:rsid w:val="00A142FE"/>
    <w:rsid w:val="00A14989"/>
    <w:rsid w:val="00A14E06"/>
    <w:rsid w:val="00A1503A"/>
    <w:rsid w:val="00A150F0"/>
    <w:rsid w:val="00A1519F"/>
    <w:rsid w:val="00A15CD4"/>
    <w:rsid w:val="00A15F59"/>
    <w:rsid w:val="00A1653A"/>
    <w:rsid w:val="00A1685D"/>
    <w:rsid w:val="00A17B77"/>
    <w:rsid w:val="00A17D7E"/>
    <w:rsid w:val="00A2096A"/>
    <w:rsid w:val="00A20F52"/>
    <w:rsid w:val="00A212FD"/>
    <w:rsid w:val="00A2140B"/>
    <w:rsid w:val="00A225CF"/>
    <w:rsid w:val="00A23E7B"/>
    <w:rsid w:val="00A24198"/>
    <w:rsid w:val="00A24A59"/>
    <w:rsid w:val="00A267A6"/>
    <w:rsid w:val="00A26A11"/>
    <w:rsid w:val="00A27469"/>
    <w:rsid w:val="00A278AD"/>
    <w:rsid w:val="00A30280"/>
    <w:rsid w:val="00A30BDF"/>
    <w:rsid w:val="00A30F56"/>
    <w:rsid w:val="00A3110E"/>
    <w:rsid w:val="00A32127"/>
    <w:rsid w:val="00A3231D"/>
    <w:rsid w:val="00A3234D"/>
    <w:rsid w:val="00A3258D"/>
    <w:rsid w:val="00A3290D"/>
    <w:rsid w:val="00A332A0"/>
    <w:rsid w:val="00A33AFE"/>
    <w:rsid w:val="00A33C80"/>
    <w:rsid w:val="00A33FAA"/>
    <w:rsid w:val="00A34131"/>
    <w:rsid w:val="00A34722"/>
    <w:rsid w:val="00A35208"/>
    <w:rsid w:val="00A35703"/>
    <w:rsid w:val="00A35A0A"/>
    <w:rsid w:val="00A35CD2"/>
    <w:rsid w:val="00A371A5"/>
    <w:rsid w:val="00A37725"/>
    <w:rsid w:val="00A37B27"/>
    <w:rsid w:val="00A409EE"/>
    <w:rsid w:val="00A40CC7"/>
    <w:rsid w:val="00A412AB"/>
    <w:rsid w:val="00A41985"/>
    <w:rsid w:val="00A42C75"/>
    <w:rsid w:val="00A4332D"/>
    <w:rsid w:val="00A43568"/>
    <w:rsid w:val="00A43B19"/>
    <w:rsid w:val="00A450DA"/>
    <w:rsid w:val="00A4582D"/>
    <w:rsid w:val="00A461FB"/>
    <w:rsid w:val="00A46421"/>
    <w:rsid w:val="00A4696F"/>
    <w:rsid w:val="00A47A66"/>
    <w:rsid w:val="00A5107E"/>
    <w:rsid w:val="00A511C1"/>
    <w:rsid w:val="00A51253"/>
    <w:rsid w:val="00A51988"/>
    <w:rsid w:val="00A519CC"/>
    <w:rsid w:val="00A51B29"/>
    <w:rsid w:val="00A51C3C"/>
    <w:rsid w:val="00A52775"/>
    <w:rsid w:val="00A52AC7"/>
    <w:rsid w:val="00A5329E"/>
    <w:rsid w:val="00A54901"/>
    <w:rsid w:val="00A55E2F"/>
    <w:rsid w:val="00A55E87"/>
    <w:rsid w:val="00A5645C"/>
    <w:rsid w:val="00A565AE"/>
    <w:rsid w:val="00A56720"/>
    <w:rsid w:val="00A57700"/>
    <w:rsid w:val="00A578AF"/>
    <w:rsid w:val="00A60058"/>
    <w:rsid w:val="00A60BB5"/>
    <w:rsid w:val="00A61326"/>
    <w:rsid w:val="00A61673"/>
    <w:rsid w:val="00A61F0B"/>
    <w:rsid w:val="00A61F29"/>
    <w:rsid w:val="00A62996"/>
    <w:rsid w:val="00A62EA0"/>
    <w:rsid w:val="00A6313C"/>
    <w:rsid w:val="00A631C3"/>
    <w:rsid w:val="00A632AE"/>
    <w:rsid w:val="00A64559"/>
    <w:rsid w:val="00A64A55"/>
    <w:rsid w:val="00A64DDA"/>
    <w:rsid w:val="00A65010"/>
    <w:rsid w:val="00A65031"/>
    <w:rsid w:val="00A65A3D"/>
    <w:rsid w:val="00A65B55"/>
    <w:rsid w:val="00A65E46"/>
    <w:rsid w:val="00A6620A"/>
    <w:rsid w:val="00A66737"/>
    <w:rsid w:val="00A66B6A"/>
    <w:rsid w:val="00A66BF3"/>
    <w:rsid w:val="00A6779A"/>
    <w:rsid w:val="00A679BF"/>
    <w:rsid w:val="00A7067F"/>
    <w:rsid w:val="00A70CDE"/>
    <w:rsid w:val="00A70E95"/>
    <w:rsid w:val="00A711B4"/>
    <w:rsid w:val="00A71452"/>
    <w:rsid w:val="00A727DB"/>
    <w:rsid w:val="00A73A5D"/>
    <w:rsid w:val="00A73B42"/>
    <w:rsid w:val="00A73D0C"/>
    <w:rsid w:val="00A743AB"/>
    <w:rsid w:val="00A74411"/>
    <w:rsid w:val="00A74589"/>
    <w:rsid w:val="00A7499B"/>
    <w:rsid w:val="00A75119"/>
    <w:rsid w:val="00A75461"/>
    <w:rsid w:val="00A75466"/>
    <w:rsid w:val="00A75BF8"/>
    <w:rsid w:val="00A75C20"/>
    <w:rsid w:val="00A76733"/>
    <w:rsid w:val="00A767BF"/>
    <w:rsid w:val="00A769FB"/>
    <w:rsid w:val="00A76F8D"/>
    <w:rsid w:val="00A775FC"/>
    <w:rsid w:val="00A7792A"/>
    <w:rsid w:val="00A77CA5"/>
    <w:rsid w:val="00A77F9A"/>
    <w:rsid w:val="00A806AA"/>
    <w:rsid w:val="00A81528"/>
    <w:rsid w:val="00A81743"/>
    <w:rsid w:val="00A81F2C"/>
    <w:rsid w:val="00A81F68"/>
    <w:rsid w:val="00A820CB"/>
    <w:rsid w:val="00A82A83"/>
    <w:rsid w:val="00A83477"/>
    <w:rsid w:val="00A839E6"/>
    <w:rsid w:val="00A8440C"/>
    <w:rsid w:val="00A8472C"/>
    <w:rsid w:val="00A8542C"/>
    <w:rsid w:val="00A85514"/>
    <w:rsid w:val="00A86174"/>
    <w:rsid w:val="00A868E2"/>
    <w:rsid w:val="00A877A7"/>
    <w:rsid w:val="00A878D3"/>
    <w:rsid w:val="00A8798A"/>
    <w:rsid w:val="00A90CB5"/>
    <w:rsid w:val="00A912EB"/>
    <w:rsid w:val="00A922B8"/>
    <w:rsid w:val="00A9241F"/>
    <w:rsid w:val="00A92516"/>
    <w:rsid w:val="00A927D3"/>
    <w:rsid w:val="00A92F77"/>
    <w:rsid w:val="00A93106"/>
    <w:rsid w:val="00A9314D"/>
    <w:rsid w:val="00A9336C"/>
    <w:rsid w:val="00A94EB1"/>
    <w:rsid w:val="00A9503F"/>
    <w:rsid w:val="00A95D85"/>
    <w:rsid w:val="00A96431"/>
    <w:rsid w:val="00A96A8C"/>
    <w:rsid w:val="00A970B4"/>
    <w:rsid w:val="00A970C5"/>
    <w:rsid w:val="00A9758A"/>
    <w:rsid w:val="00AA00EA"/>
    <w:rsid w:val="00AA03BF"/>
    <w:rsid w:val="00AA128A"/>
    <w:rsid w:val="00AA15D5"/>
    <w:rsid w:val="00AA16F8"/>
    <w:rsid w:val="00AA18E3"/>
    <w:rsid w:val="00AA23B1"/>
    <w:rsid w:val="00AA32CE"/>
    <w:rsid w:val="00AA3398"/>
    <w:rsid w:val="00AA4C2F"/>
    <w:rsid w:val="00AA54E1"/>
    <w:rsid w:val="00AA564C"/>
    <w:rsid w:val="00AA616F"/>
    <w:rsid w:val="00AA6B44"/>
    <w:rsid w:val="00AA6DA2"/>
    <w:rsid w:val="00AA7248"/>
    <w:rsid w:val="00AA7755"/>
    <w:rsid w:val="00AB00FC"/>
    <w:rsid w:val="00AB080F"/>
    <w:rsid w:val="00AB0CBF"/>
    <w:rsid w:val="00AB0D12"/>
    <w:rsid w:val="00AB1AF8"/>
    <w:rsid w:val="00AB1BAE"/>
    <w:rsid w:val="00AB1CD6"/>
    <w:rsid w:val="00AB1CEA"/>
    <w:rsid w:val="00AB1F9A"/>
    <w:rsid w:val="00AB2036"/>
    <w:rsid w:val="00AB384F"/>
    <w:rsid w:val="00AB3C56"/>
    <w:rsid w:val="00AB4063"/>
    <w:rsid w:val="00AB44C9"/>
    <w:rsid w:val="00AB4736"/>
    <w:rsid w:val="00AB4830"/>
    <w:rsid w:val="00AB4C3D"/>
    <w:rsid w:val="00AB4DBF"/>
    <w:rsid w:val="00AB51B3"/>
    <w:rsid w:val="00AB56CB"/>
    <w:rsid w:val="00AB6C3E"/>
    <w:rsid w:val="00AB6DC9"/>
    <w:rsid w:val="00AB7C3E"/>
    <w:rsid w:val="00AC060C"/>
    <w:rsid w:val="00AC077F"/>
    <w:rsid w:val="00AC0DD7"/>
    <w:rsid w:val="00AC107A"/>
    <w:rsid w:val="00AC16D0"/>
    <w:rsid w:val="00AC18FD"/>
    <w:rsid w:val="00AC1D81"/>
    <w:rsid w:val="00AC33E7"/>
    <w:rsid w:val="00AC341F"/>
    <w:rsid w:val="00AC3622"/>
    <w:rsid w:val="00AC38A2"/>
    <w:rsid w:val="00AC3A29"/>
    <w:rsid w:val="00AC3ABC"/>
    <w:rsid w:val="00AC419A"/>
    <w:rsid w:val="00AC4641"/>
    <w:rsid w:val="00AC4D91"/>
    <w:rsid w:val="00AC505F"/>
    <w:rsid w:val="00AC5412"/>
    <w:rsid w:val="00AC54D5"/>
    <w:rsid w:val="00AC566B"/>
    <w:rsid w:val="00AC5BB2"/>
    <w:rsid w:val="00AC6D45"/>
    <w:rsid w:val="00AC715B"/>
    <w:rsid w:val="00AC7411"/>
    <w:rsid w:val="00AC7D19"/>
    <w:rsid w:val="00AD028A"/>
    <w:rsid w:val="00AD07D0"/>
    <w:rsid w:val="00AD0B98"/>
    <w:rsid w:val="00AD109C"/>
    <w:rsid w:val="00AD17F1"/>
    <w:rsid w:val="00AD1BC4"/>
    <w:rsid w:val="00AD27EF"/>
    <w:rsid w:val="00AD2B47"/>
    <w:rsid w:val="00AD3026"/>
    <w:rsid w:val="00AD32DB"/>
    <w:rsid w:val="00AD373E"/>
    <w:rsid w:val="00AD49B0"/>
    <w:rsid w:val="00AD4DA8"/>
    <w:rsid w:val="00AD5BC1"/>
    <w:rsid w:val="00AD5C68"/>
    <w:rsid w:val="00AD6146"/>
    <w:rsid w:val="00AD6650"/>
    <w:rsid w:val="00AD6FFE"/>
    <w:rsid w:val="00AD7592"/>
    <w:rsid w:val="00AD773C"/>
    <w:rsid w:val="00AE006E"/>
    <w:rsid w:val="00AE012B"/>
    <w:rsid w:val="00AE06C5"/>
    <w:rsid w:val="00AE155B"/>
    <w:rsid w:val="00AE1D75"/>
    <w:rsid w:val="00AE2591"/>
    <w:rsid w:val="00AE25B8"/>
    <w:rsid w:val="00AE2997"/>
    <w:rsid w:val="00AE2B04"/>
    <w:rsid w:val="00AE2C5B"/>
    <w:rsid w:val="00AE3468"/>
    <w:rsid w:val="00AE4AB4"/>
    <w:rsid w:val="00AE517F"/>
    <w:rsid w:val="00AE53A0"/>
    <w:rsid w:val="00AE54C6"/>
    <w:rsid w:val="00AE5885"/>
    <w:rsid w:val="00AE60D5"/>
    <w:rsid w:val="00AE6A4A"/>
    <w:rsid w:val="00AE6AB6"/>
    <w:rsid w:val="00AE6C2D"/>
    <w:rsid w:val="00AE7049"/>
    <w:rsid w:val="00AE74E6"/>
    <w:rsid w:val="00AE78CA"/>
    <w:rsid w:val="00AE79EF"/>
    <w:rsid w:val="00AF04C1"/>
    <w:rsid w:val="00AF0577"/>
    <w:rsid w:val="00AF0A11"/>
    <w:rsid w:val="00AF0C91"/>
    <w:rsid w:val="00AF110D"/>
    <w:rsid w:val="00AF1749"/>
    <w:rsid w:val="00AF1872"/>
    <w:rsid w:val="00AF1F5B"/>
    <w:rsid w:val="00AF22C8"/>
    <w:rsid w:val="00AF2A2E"/>
    <w:rsid w:val="00AF2D4A"/>
    <w:rsid w:val="00AF35AF"/>
    <w:rsid w:val="00AF36FA"/>
    <w:rsid w:val="00AF38C0"/>
    <w:rsid w:val="00AF4002"/>
    <w:rsid w:val="00AF4F5E"/>
    <w:rsid w:val="00AF5F35"/>
    <w:rsid w:val="00AF64C1"/>
    <w:rsid w:val="00AF65C4"/>
    <w:rsid w:val="00AF6D1B"/>
    <w:rsid w:val="00AF703F"/>
    <w:rsid w:val="00AF7076"/>
    <w:rsid w:val="00AF7336"/>
    <w:rsid w:val="00AF767A"/>
    <w:rsid w:val="00B00202"/>
    <w:rsid w:val="00B002D2"/>
    <w:rsid w:val="00B00A40"/>
    <w:rsid w:val="00B0153D"/>
    <w:rsid w:val="00B01776"/>
    <w:rsid w:val="00B01802"/>
    <w:rsid w:val="00B018E3"/>
    <w:rsid w:val="00B019C9"/>
    <w:rsid w:val="00B02515"/>
    <w:rsid w:val="00B02DB7"/>
    <w:rsid w:val="00B036A8"/>
    <w:rsid w:val="00B03842"/>
    <w:rsid w:val="00B03EC0"/>
    <w:rsid w:val="00B044BF"/>
    <w:rsid w:val="00B0477F"/>
    <w:rsid w:val="00B04D41"/>
    <w:rsid w:val="00B05D28"/>
    <w:rsid w:val="00B05E43"/>
    <w:rsid w:val="00B060A5"/>
    <w:rsid w:val="00B06170"/>
    <w:rsid w:val="00B06BA2"/>
    <w:rsid w:val="00B0707E"/>
    <w:rsid w:val="00B07DA4"/>
    <w:rsid w:val="00B07DBD"/>
    <w:rsid w:val="00B103B4"/>
    <w:rsid w:val="00B10870"/>
    <w:rsid w:val="00B10E13"/>
    <w:rsid w:val="00B10FA7"/>
    <w:rsid w:val="00B11468"/>
    <w:rsid w:val="00B11A3F"/>
    <w:rsid w:val="00B1240B"/>
    <w:rsid w:val="00B12AB1"/>
    <w:rsid w:val="00B136EB"/>
    <w:rsid w:val="00B13CA4"/>
    <w:rsid w:val="00B1472B"/>
    <w:rsid w:val="00B1502E"/>
    <w:rsid w:val="00B152A9"/>
    <w:rsid w:val="00B15C99"/>
    <w:rsid w:val="00B15EE2"/>
    <w:rsid w:val="00B1626B"/>
    <w:rsid w:val="00B1670E"/>
    <w:rsid w:val="00B16E23"/>
    <w:rsid w:val="00B17210"/>
    <w:rsid w:val="00B17B2F"/>
    <w:rsid w:val="00B20477"/>
    <w:rsid w:val="00B209A3"/>
    <w:rsid w:val="00B21047"/>
    <w:rsid w:val="00B211D8"/>
    <w:rsid w:val="00B21ABD"/>
    <w:rsid w:val="00B2300E"/>
    <w:rsid w:val="00B23380"/>
    <w:rsid w:val="00B23414"/>
    <w:rsid w:val="00B23DCE"/>
    <w:rsid w:val="00B242A0"/>
    <w:rsid w:val="00B25611"/>
    <w:rsid w:val="00B257A1"/>
    <w:rsid w:val="00B2667E"/>
    <w:rsid w:val="00B2674A"/>
    <w:rsid w:val="00B26D34"/>
    <w:rsid w:val="00B277AB"/>
    <w:rsid w:val="00B27ADD"/>
    <w:rsid w:val="00B27B61"/>
    <w:rsid w:val="00B27B7E"/>
    <w:rsid w:val="00B27EAF"/>
    <w:rsid w:val="00B301AE"/>
    <w:rsid w:val="00B306CB"/>
    <w:rsid w:val="00B30B85"/>
    <w:rsid w:val="00B30D5A"/>
    <w:rsid w:val="00B30FFD"/>
    <w:rsid w:val="00B3166F"/>
    <w:rsid w:val="00B31680"/>
    <w:rsid w:val="00B32016"/>
    <w:rsid w:val="00B32027"/>
    <w:rsid w:val="00B32BDB"/>
    <w:rsid w:val="00B32C18"/>
    <w:rsid w:val="00B32EB5"/>
    <w:rsid w:val="00B3378B"/>
    <w:rsid w:val="00B33CE0"/>
    <w:rsid w:val="00B343DF"/>
    <w:rsid w:val="00B35049"/>
    <w:rsid w:val="00B35461"/>
    <w:rsid w:val="00B356EF"/>
    <w:rsid w:val="00B35955"/>
    <w:rsid w:val="00B35B32"/>
    <w:rsid w:val="00B35DC7"/>
    <w:rsid w:val="00B35E0F"/>
    <w:rsid w:val="00B363E0"/>
    <w:rsid w:val="00B3654B"/>
    <w:rsid w:val="00B367E0"/>
    <w:rsid w:val="00B36BDF"/>
    <w:rsid w:val="00B37479"/>
    <w:rsid w:val="00B379CE"/>
    <w:rsid w:val="00B37CAD"/>
    <w:rsid w:val="00B4058C"/>
    <w:rsid w:val="00B409F6"/>
    <w:rsid w:val="00B40D84"/>
    <w:rsid w:val="00B4105A"/>
    <w:rsid w:val="00B412A5"/>
    <w:rsid w:val="00B41454"/>
    <w:rsid w:val="00B4153B"/>
    <w:rsid w:val="00B41679"/>
    <w:rsid w:val="00B41712"/>
    <w:rsid w:val="00B41A51"/>
    <w:rsid w:val="00B41C5F"/>
    <w:rsid w:val="00B421E3"/>
    <w:rsid w:val="00B4230D"/>
    <w:rsid w:val="00B42E98"/>
    <w:rsid w:val="00B43666"/>
    <w:rsid w:val="00B449A7"/>
    <w:rsid w:val="00B44C98"/>
    <w:rsid w:val="00B44EE4"/>
    <w:rsid w:val="00B45014"/>
    <w:rsid w:val="00B4547B"/>
    <w:rsid w:val="00B4550D"/>
    <w:rsid w:val="00B456F8"/>
    <w:rsid w:val="00B45AE1"/>
    <w:rsid w:val="00B45EF4"/>
    <w:rsid w:val="00B463FF"/>
    <w:rsid w:val="00B46CC8"/>
    <w:rsid w:val="00B47491"/>
    <w:rsid w:val="00B47F51"/>
    <w:rsid w:val="00B47FBF"/>
    <w:rsid w:val="00B50129"/>
    <w:rsid w:val="00B504E0"/>
    <w:rsid w:val="00B50FC3"/>
    <w:rsid w:val="00B51008"/>
    <w:rsid w:val="00B513F2"/>
    <w:rsid w:val="00B51522"/>
    <w:rsid w:val="00B51B21"/>
    <w:rsid w:val="00B51CA0"/>
    <w:rsid w:val="00B52029"/>
    <w:rsid w:val="00B52493"/>
    <w:rsid w:val="00B52F95"/>
    <w:rsid w:val="00B5329B"/>
    <w:rsid w:val="00B545EB"/>
    <w:rsid w:val="00B555EE"/>
    <w:rsid w:val="00B55C20"/>
    <w:rsid w:val="00B561CC"/>
    <w:rsid w:val="00B5686C"/>
    <w:rsid w:val="00B56C49"/>
    <w:rsid w:val="00B5778C"/>
    <w:rsid w:val="00B610F1"/>
    <w:rsid w:val="00B62444"/>
    <w:rsid w:val="00B6277D"/>
    <w:rsid w:val="00B62857"/>
    <w:rsid w:val="00B63AB2"/>
    <w:rsid w:val="00B63F65"/>
    <w:rsid w:val="00B6428A"/>
    <w:rsid w:val="00B64A59"/>
    <w:rsid w:val="00B64DB2"/>
    <w:rsid w:val="00B64DD1"/>
    <w:rsid w:val="00B64F8D"/>
    <w:rsid w:val="00B651C8"/>
    <w:rsid w:val="00B65287"/>
    <w:rsid w:val="00B6571A"/>
    <w:rsid w:val="00B65D1B"/>
    <w:rsid w:val="00B6626D"/>
    <w:rsid w:val="00B66794"/>
    <w:rsid w:val="00B66A7E"/>
    <w:rsid w:val="00B66C1A"/>
    <w:rsid w:val="00B700DC"/>
    <w:rsid w:val="00B70520"/>
    <w:rsid w:val="00B70E06"/>
    <w:rsid w:val="00B71EBD"/>
    <w:rsid w:val="00B744C3"/>
    <w:rsid w:val="00B74EBF"/>
    <w:rsid w:val="00B76424"/>
    <w:rsid w:val="00B7696D"/>
    <w:rsid w:val="00B772FB"/>
    <w:rsid w:val="00B77760"/>
    <w:rsid w:val="00B77AE4"/>
    <w:rsid w:val="00B77D4C"/>
    <w:rsid w:val="00B80015"/>
    <w:rsid w:val="00B801A9"/>
    <w:rsid w:val="00B8021D"/>
    <w:rsid w:val="00B81421"/>
    <w:rsid w:val="00B82129"/>
    <w:rsid w:val="00B82B4F"/>
    <w:rsid w:val="00B82CD1"/>
    <w:rsid w:val="00B82F93"/>
    <w:rsid w:val="00B82FBE"/>
    <w:rsid w:val="00B8315B"/>
    <w:rsid w:val="00B8584F"/>
    <w:rsid w:val="00B86535"/>
    <w:rsid w:val="00B865B3"/>
    <w:rsid w:val="00B86AB6"/>
    <w:rsid w:val="00B86D53"/>
    <w:rsid w:val="00B86EEF"/>
    <w:rsid w:val="00B873DA"/>
    <w:rsid w:val="00B87875"/>
    <w:rsid w:val="00B90A9B"/>
    <w:rsid w:val="00B911DA"/>
    <w:rsid w:val="00B912C8"/>
    <w:rsid w:val="00B914AE"/>
    <w:rsid w:val="00B917CA"/>
    <w:rsid w:val="00B919A9"/>
    <w:rsid w:val="00B91ACA"/>
    <w:rsid w:val="00B9217C"/>
    <w:rsid w:val="00B92677"/>
    <w:rsid w:val="00B93468"/>
    <w:rsid w:val="00B935C7"/>
    <w:rsid w:val="00B9376E"/>
    <w:rsid w:val="00B93A59"/>
    <w:rsid w:val="00B93EF3"/>
    <w:rsid w:val="00B93FF6"/>
    <w:rsid w:val="00B940A4"/>
    <w:rsid w:val="00B9459D"/>
    <w:rsid w:val="00B94C4D"/>
    <w:rsid w:val="00B95909"/>
    <w:rsid w:val="00B95AAF"/>
    <w:rsid w:val="00B97483"/>
    <w:rsid w:val="00B977C8"/>
    <w:rsid w:val="00BA08B2"/>
    <w:rsid w:val="00BA0A3A"/>
    <w:rsid w:val="00BA0A82"/>
    <w:rsid w:val="00BA109E"/>
    <w:rsid w:val="00BA17B1"/>
    <w:rsid w:val="00BA184A"/>
    <w:rsid w:val="00BA1AC3"/>
    <w:rsid w:val="00BA1AD8"/>
    <w:rsid w:val="00BA1F1B"/>
    <w:rsid w:val="00BA26F8"/>
    <w:rsid w:val="00BA29A1"/>
    <w:rsid w:val="00BA2B9C"/>
    <w:rsid w:val="00BA2F17"/>
    <w:rsid w:val="00BA3449"/>
    <w:rsid w:val="00BA4371"/>
    <w:rsid w:val="00BA44B6"/>
    <w:rsid w:val="00BA4DD6"/>
    <w:rsid w:val="00BA4FF4"/>
    <w:rsid w:val="00BA4FF6"/>
    <w:rsid w:val="00BA5338"/>
    <w:rsid w:val="00BA55A4"/>
    <w:rsid w:val="00BA57BA"/>
    <w:rsid w:val="00BA5A8D"/>
    <w:rsid w:val="00BA5EDC"/>
    <w:rsid w:val="00BA7537"/>
    <w:rsid w:val="00BA7558"/>
    <w:rsid w:val="00BA7F92"/>
    <w:rsid w:val="00BA7FAB"/>
    <w:rsid w:val="00BB01D1"/>
    <w:rsid w:val="00BB046D"/>
    <w:rsid w:val="00BB0715"/>
    <w:rsid w:val="00BB093E"/>
    <w:rsid w:val="00BB0B52"/>
    <w:rsid w:val="00BB0D90"/>
    <w:rsid w:val="00BB1587"/>
    <w:rsid w:val="00BB2D4E"/>
    <w:rsid w:val="00BB2EEB"/>
    <w:rsid w:val="00BB31BD"/>
    <w:rsid w:val="00BB367D"/>
    <w:rsid w:val="00BB3ABB"/>
    <w:rsid w:val="00BB3BBE"/>
    <w:rsid w:val="00BB4DAB"/>
    <w:rsid w:val="00BB50BA"/>
    <w:rsid w:val="00BB5402"/>
    <w:rsid w:val="00BB5545"/>
    <w:rsid w:val="00BB5596"/>
    <w:rsid w:val="00BB6A7F"/>
    <w:rsid w:val="00BB6F7C"/>
    <w:rsid w:val="00BB713C"/>
    <w:rsid w:val="00BB7353"/>
    <w:rsid w:val="00BB7937"/>
    <w:rsid w:val="00BC01F6"/>
    <w:rsid w:val="00BC0559"/>
    <w:rsid w:val="00BC11EF"/>
    <w:rsid w:val="00BC2B7E"/>
    <w:rsid w:val="00BC3345"/>
    <w:rsid w:val="00BC3507"/>
    <w:rsid w:val="00BC4A48"/>
    <w:rsid w:val="00BC5063"/>
    <w:rsid w:val="00BC5251"/>
    <w:rsid w:val="00BC55FD"/>
    <w:rsid w:val="00BC6BC0"/>
    <w:rsid w:val="00BC7834"/>
    <w:rsid w:val="00BC7C0B"/>
    <w:rsid w:val="00BD09D2"/>
    <w:rsid w:val="00BD0D16"/>
    <w:rsid w:val="00BD0E63"/>
    <w:rsid w:val="00BD154B"/>
    <w:rsid w:val="00BD1853"/>
    <w:rsid w:val="00BD1950"/>
    <w:rsid w:val="00BD21AE"/>
    <w:rsid w:val="00BD2385"/>
    <w:rsid w:val="00BD2832"/>
    <w:rsid w:val="00BD284B"/>
    <w:rsid w:val="00BD2B1A"/>
    <w:rsid w:val="00BD2CD4"/>
    <w:rsid w:val="00BD3D15"/>
    <w:rsid w:val="00BD3D73"/>
    <w:rsid w:val="00BD40BA"/>
    <w:rsid w:val="00BD414D"/>
    <w:rsid w:val="00BD5873"/>
    <w:rsid w:val="00BD5EA5"/>
    <w:rsid w:val="00BD6659"/>
    <w:rsid w:val="00BD6FB2"/>
    <w:rsid w:val="00BD759E"/>
    <w:rsid w:val="00BE097A"/>
    <w:rsid w:val="00BE1368"/>
    <w:rsid w:val="00BE19D2"/>
    <w:rsid w:val="00BE1C94"/>
    <w:rsid w:val="00BE1DCE"/>
    <w:rsid w:val="00BE1F15"/>
    <w:rsid w:val="00BE246F"/>
    <w:rsid w:val="00BE2503"/>
    <w:rsid w:val="00BE2ADC"/>
    <w:rsid w:val="00BE2D39"/>
    <w:rsid w:val="00BE2D78"/>
    <w:rsid w:val="00BE345D"/>
    <w:rsid w:val="00BE38B1"/>
    <w:rsid w:val="00BE38FF"/>
    <w:rsid w:val="00BE3C8A"/>
    <w:rsid w:val="00BE41C2"/>
    <w:rsid w:val="00BE4435"/>
    <w:rsid w:val="00BE44D8"/>
    <w:rsid w:val="00BE44F1"/>
    <w:rsid w:val="00BE4541"/>
    <w:rsid w:val="00BE46E5"/>
    <w:rsid w:val="00BE474E"/>
    <w:rsid w:val="00BE4E3C"/>
    <w:rsid w:val="00BE52F7"/>
    <w:rsid w:val="00BE57EE"/>
    <w:rsid w:val="00BE5857"/>
    <w:rsid w:val="00BE607E"/>
    <w:rsid w:val="00BE64C4"/>
    <w:rsid w:val="00BE6F11"/>
    <w:rsid w:val="00BE6FB9"/>
    <w:rsid w:val="00BE7D2C"/>
    <w:rsid w:val="00BF0095"/>
    <w:rsid w:val="00BF0223"/>
    <w:rsid w:val="00BF043A"/>
    <w:rsid w:val="00BF06AF"/>
    <w:rsid w:val="00BF1B03"/>
    <w:rsid w:val="00BF2335"/>
    <w:rsid w:val="00BF2CC0"/>
    <w:rsid w:val="00BF2DB0"/>
    <w:rsid w:val="00BF3376"/>
    <w:rsid w:val="00BF3530"/>
    <w:rsid w:val="00BF3BCD"/>
    <w:rsid w:val="00BF44B6"/>
    <w:rsid w:val="00BF44BC"/>
    <w:rsid w:val="00BF5083"/>
    <w:rsid w:val="00BF630C"/>
    <w:rsid w:val="00BF6D1F"/>
    <w:rsid w:val="00BF6F3B"/>
    <w:rsid w:val="00BF796A"/>
    <w:rsid w:val="00BF7D64"/>
    <w:rsid w:val="00C000E6"/>
    <w:rsid w:val="00C001A5"/>
    <w:rsid w:val="00C0138D"/>
    <w:rsid w:val="00C017EF"/>
    <w:rsid w:val="00C01FC9"/>
    <w:rsid w:val="00C024CF"/>
    <w:rsid w:val="00C032F5"/>
    <w:rsid w:val="00C04DA0"/>
    <w:rsid w:val="00C05022"/>
    <w:rsid w:val="00C050E0"/>
    <w:rsid w:val="00C05782"/>
    <w:rsid w:val="00C062DA"/>
    <w:rsid w:val="00C065BC"/>
    <w:rsid w:val="00C06698"/>
    <w:rsid w:val="00C068FC"/>
    <w:rsid w:val="00C06D86"/>
    <w:rsid w:val="00C06E8C"/>
    <w:rsid w:val="00C0743D"/>
    <w:rsid w:val="00C074C9"/>
    <w:rsid w:val="00C0761F"/>
    <w:rsid w:val="00C07CA5"/>
    <w:rsid w:val="00C10331"/>
    <w:rsid w:val="00C1100D"/>
    <w:rsid w:val="00C115C5"/>
    <w:rsid w:val="00C11937"/>
    <w:rsid w:val="00C121B0"/>
    <w:rsid w:val="00C13362"/>
    <w:rsid w:val="00C13A83"/>
    <w:rsid w:val="00C13AD5"/>
    <w:rsid w:val="00C149B6"/>
    <w:rsid w:val="00C1551E"/>
    <w:rsid w:val="00C1599F"/>
    <w:rsid w:val="00C15D5E"/>
    <w:rsid w:val="00C164E3"/>
    <w:rsid w:val="00C16649"/>
    <w:rsid w:val="00C16A86"/>
    <w:rsid w:val="00C1719B"/>
    <w:rsid w:val="00C17B83"/>
    <w:rsid w:val="00C17CFA"/>
    <w:rsid w:val="00C2065B"/>
    <w:rsid w:val="00C20CC5"/>
    <w:rsid w:val="00C216ED"/>
    <w:rsid w:val="00C21CE5"/>
    <w:rsid w:val="00C22014"/>
    <w:rsid w:val="00C225ED"/>
    <w:rsid w:val="00C22657"/>
    <w:rsid w:val="00C22814"/>
    <w:rsid w:val="00C230E9"/>
    <w:rsid w:val="00C2325C"/>
    <w:rsid w:val="00C23C44"/>
    <w:rsid w:val="00C23F05"/>
    <w:rsid w:val="00C24312"/>
    <w:rsid w:val="00C24580"/>
    <w:rsid w:val="00C24842"/>
    <w:rsid w:val="00C24C00"/>
    <w:rsid w:val="00C25AEA"/>
    <w:rsid w:val="00C25FB6"/>
    <w:rsid w:val="00C260A1"/>
    <w:rsid w:val="00C263C1"/>
    <w:rsid w:val="00C263DC"/>
    <w:rsid w:val="00C272DD"/>
    <w:rsid w:val="00C273FA"/>
    <w:rsid w:val="00C2767A"/>
    <w:rsid w:val="00C278DC"/>
    <w:rsid w:val="00C278F6"/>
    <w:rsid w:val="00C27F62"/>
    <w:rsid w:val="00C27FDE"/>
    <w:rsid w:val="00C27FE9"/>
    <w:rsid w:val="00C308D8"/>
    <w:rsid w:val="00C315A8"/>
    <w:rsid w:val="00C32679"/>
    <w:rsid w:val="00C3275B"/>
    <w:rsid w:val="00C32A52"/>
    <w:rsid w:val="00C335C3"/>
    <w:rsid w:val="00C339AF"/>
    <w:rsid w:val="00C35B8C"/>
    <w:rsid w:val="00C35DFE"/>
    <w:rsid w:val="00C36081"/>
    <w:rsid w:val="00C360A2"/>
    <w:rsid w:val="00C36185"/>
    <w:rsid w:val="00C36192"/>
    <w:rsid w:val="00C36564"/>
    <w:rsid w:val="00C368A4"/>
    <w:rsid w:val="00C36C58"/>
    <w:rsid w:val="00C3779D"/>
    <w:rsid w:val="00C4028D"/>
    <w:rsid w:val="00C40BF7"/>
    <w:rsid w:val="00C410A7"/>
    <w:rsid w:val="00C41292"/>
    <w:rsid w:val="00C413A5"/>
    <w:rsid w:val="00C41557"/>
    <w:rsid w:val="00C415ED"/>
    <w:rsid w:val="00C41B11"/>
    <w:rsid w:val="00C41BB9"/>
    <w:rsid w:val="00C42366"/>
    <w:rsid w:val="00C428FB"/>
    <w:rsid w:val="00C42B68"/>
    <w:rsid w:val="00C43441"/>
    <w:rsid w:val="00C43880"/>
    <w:rsid w:val="00C43BD3"/>
    <w:rsid w:val="00C443BF"/>
    <w:rsid w:val="00C4473A"/>
    <w:rsid w:val="00C44E99"/>
    <w:rsid w:val="00C4526D"/>
    <w:rsid w:val="00C4530C"/>
    <w:rsid w:val="00C4547D"/>
    <w:rsid w:val="00C457C8"/>
    <w:rsid w:val="00C45CDE"/>
    <w:rsid w:val="00C4604F"/>
    <w:rsid w:val="00C46A0F"/>
    <w:rsid w:val="00C477C4"/>
    <w:rsid w:val="00C4795E"/>
    <w:rsid w:val="00C47FC5"/>
    <w:rsid w:val="00C50A51"/>
    <w:rsid w:val="00C50E5C"/>
    <w:rsid w:val="00C50F29"/>
    <w:rsid w:val="00C5352A"/>
    <w:rsid w:val="00C536CD"/>
    <w:rsid w:val="00C536F4"/>
    <w:rsid w:val="00C53A48"/>
    <w:rsid w:val="00C53C47"/>
    <w:rsid w:val="00C53D6C"/>
    <w:rsid w:val="00C53FAB"/>
    <w:rsid w:val="00C53FEE"/>
    <w:rsid w:val="00C540C3"/>
    <w:rsid w:val="00C54C67"/>
    <w:rsid w:val="00C557C3"/>
    <w:rsid w:val="00C5638D"/>
    <w:rsid w:val="00C56962"/>
    <w:rsid w:val="00C56F8C"/>
    <w:rsid w:val="00C57134"/>
    <w:rsid w:val="00C602AC"/>
    <w:rsid w:val="00C60667"/>
    <w:rsid w:val="00C60E4C"/>
    <w:rsid w:val="00C61FD5"/>
    <w:rsid w:val="00C6316F"/>
    <w:rsid w:val="00C631EB"/>
    <w:rsid w:val="00C63CE2"/>
    <w:rsid w:val="00C64170"/>
    <w:rsid w:val="00C641F2"/>
    <w:rsid w:val="00C6434F"/>
    <w:rsid w:val="00C643D4"/>
    <w:rsid w:val="00C6440E"/>
    <w:rsid w:val="00C644FD"/>
    <w:rsid w:val="00C6493B"/>
    <w:rsid w:val="00C64962"/>
    <w:rsid w:val="00C64AA0"/>
    <w:rsid w:val="00C665F0"/>
    <w:rsid w:val="00C671A3"/>
    <w:rsid w:val="00C67B57"/>
    <w:rsid w:val="00C67B6F"/>
    <w:rsid w:val="00C67ED2"/>
    <w:rsid w:val="00C70078"/>
    <w:rsid w:val="00C70416"/>
    <w:rsid w:val="00C7122C"/>
    <w:rsid w:val="00C71B78"/>
    <w:rsid w:val="00C71C58"/>
    <w:rsid w:val="00C71EAA"/>
    <w:rsid w:val="00C722B8"/>
    <w:rsid w:val="00C72453"/>
    <w:rsid w:val="00C7339E"/>
    <w:rsid w:val="00C74B37"/>
    <w:rsid w:val="00C75365"/>
    <w:rsid w:val="00C7611E"/>
    <w:rsid w:val="00C76CB3"/>
    <w:rsid w:val="00C77098"/>
    <w:rsid w:val="00C773D6"/>
    <w:rsid w:val="00C8000C"/>
    <w:rsid w:val="00C80372"/>
    <w:rsid w:val="00C803E5"/>
    <w:rsid w:val="00C803EA"/>
    <w:rsid w:val="00C80600"/>
    <w:rsid w:val="00C80E50"/>
    <w:rsid w:val="00C825F4"/>
    <w:rsid w:val="00C83304"/>
    <w:rsid w:val="00C83708"/>
    <w:rsid w:val="00C83795"/>
    <w:rsid w:val="00C83A05"/>
    <w:rsid w:val="00C8418F"/>
    <w:rsid w:val="00C845BC"/>
    <w:rsid w:val="00C847E7"/>
    <w:rsid w:val="00C84C54"/>
    <w:rsid w:val="00C84D63"/>
    <w:rsid w:val="00C84D9F"/>
    <w:rsid w:val="00C856F6"/>
    <w:rsid w:val="00C85D7C"/>
    <w:rsid w:val="00C86294"/>
    <w:rsid w:val="00C86707"/>
    <w:rsid w:val="00C86A30"/>
    <w:rsid w:val="00C87165"/>
    <w:rsid w:val="00C90010"/>
    <w:rsid w:val="00C9098D"/>
    <w:rsid w:val="00C911A5"/>
    <w:rsid w:val="00C91770"/>
    <w:rsid w:val="00C92B09"/>
    <w:rsid w:val="00C92D22"/>
    <w:rsid w:val="00C93480"/>
    <w:rsid w:val="00C93B0E"/>
    <w:rsid w:val="00C93F6E"/>
    <w:rsid w:val="00C9415D"/>
    <w:rsid w:val="00C942DA"/>
    <w:rsid w:val="00C94999"/>
    <w:rsid w:val="00C95647"/>
    <w:rsid w:val="00C969CD"/>
    <w:rsid w:val="00C96D53"/>
    <w:rsid w:val="00C97032"/>
    <w:rsid w:val="00C97FB9"/>
    <w:rsid w:val="00CA0066"/>
    <w:rsid w:val="00CA06A7"/>
    <w:rsid w:val="00CA090B"/>
    <w:rsid w:val="00CA0923"/>
    <w:rsid w:val="00CA0989"/>
    <w:rsid w:val="00CA18F5"/>
    <w:rsid w:val="00CA1BBD"/>
    <w:rsid w:val="00CA1EBD"/>
    <w:rsid w:val="00CA1F89"/>
    <w:rsid w:val="00CA2595"/>
    <w:rsid w:val="00CA279F"/>
    <w:rsid w:val="00CA2942"/>
    <w:rsid w:val="00CA2D2A"/>
    <w:rsid w:val="00CA404D"/>
    <w:rsid w:val="00CA4B1E"/>
    <w:rsid w:val="00CA4D24"/>
    <w:rsid w:val="00CA50B1"/>
    <w:rsid w:val="00CA55E7"/>
    <w:rsid w:val="00CA6E89"/>
    <w:rsid w:val="00CA77C4"/>
    <w:rsid w:val="00CA7FC0"/>
    <w:rsid w:val="00CB09E3"/>
    <w:rsid w:val="00CB0A3C"/>
    <w:rsid w:val="00CB0E66"/>
    <w:rsid w:val="00CB0FD8"/>
    <w:rsid w:val="00CB13A4"/>
    <w:rsid w:val="00CB1BCB"/>
    <w:rsid w:val="00CB2365"/>
    <w:rsid w:val="00CB27F1"/>
    <w:rsid w:val="00CB3181"/>
    <w:rsid w:val="00CB340B"/>
    <w:rsid w:val="00CB3808"/>
    <w:rsid w:val="00CB4316"/>
    <w:rsid w:val="00CB579A"/>
    <w:rsid w:val="00CB5813"/>
    <w:rsid w:val="00CB589A"/>
    <w:rsid w:val="00CB58BE"/>
    <w:rsid w:val="00CB5AF4"/>
    <w:rsid w:val="00CB5F95"/>
    <w:rsid w:val="00CB6045"/>
    <w:rsid w:val="00CB62BC"/>
    <w:rsid w:val="00CB62D7"/>
    <w:rsid w:val="00CB662F"/>
    <w:rsid w:val="00CB68ED"/>
    <w:rsid w:val="00CB6C19"/>
    <w:rsid w:val="00CB7796"/>
    <w:rsid w:val="00CB7908"/>
    <w:rsid w:val="00CB7966"/>
    <w:rsid w:val="00CB7BCE"/>
    <w:rsid w:val="00CB7DEC"/>
    <w:rsid w:val="00CC084C"/>
    <w:rsid w:val="00CC08EE"/>
    <w:rsid w:val="00CC11B6"/>
    <w:rsid w:val="00CC1ED8"/>
    <w:rsid w:val="00CC2330"/>
    <w:rsid w:val="00CC2356"/>
    <w:rsid w:val="00CC23A4"/>
    <w:rsid w:val="00CC2A29"/>
    <w:rsid w:val="00CC2D46"/>
    <w:rsid w:val="00CC4195"/>
    <w:rsid w:val="00CC43C6"/>
    <w:rsid w:val="00CC4BEA"/>
    <w:rsid w:val="00CC4E0E"/>
    <w:rsid w:val="00CC4F04"/>
    <w:rsid w:val="00CC56CA"/>
    <w:rsid w:val="00CC59B0"/>
    <w:rsid w:val="00CC5FAF"/>
    <w:rsid w:val="00CC645F"/>
    <w:rsid w:val="00CC6CE2"/>
    <w:rsid w:val="00CD05C2"/>
    <w:rsid w:val="00CD0DA5"/>
    <w:rsid w:val="00CD0E6A"/>
    <w:rsid w:val="00CD0F9A"/>
    <w:rsid w:val="00CD1D2F"/>
    <w:rsid w:val="00CD2562"/>
    <w:rsid w:val="00CD35E6"/>
    <w:rsid w:val="00CD3ADF"/>
    <w:rsid w:val="00CD53E6"/>
    <w:rsid w:val="00CD5474"/>
    <w:rsid w:val="00CD568A"/>
    <w:rsid w:val="00CD63C9"/>
    <w:rsid w:val="00CD645A"/>
    <w:rsid w:val="00CD64AB"/>
    <w:rsid w:val="00CD66A5"/>
    <w:rsid w:val="00CD6715"/>
    <w:rsid w:val="00CD6734"/>
    <w:rsid w:val="00CD6C91"/>
    <w:rsid w:val="00CD6F54"/>
    <w:rsid w:val="00CD756D"/>
    <w:rsid w:val="00CE08FE"/>
    <w:rsid w:val="00CE099A"/>
    <w:rsid w:val="00CE0A9D"/>
    <w:rsid w:val="00CE0C3D"/>
    <w:rsid w:val="00CE0E97"/>
    <w:rsid w:val="00CE0EDC"/>
    <w:rsid w:val="00CE1347"/>
    <w:rsid w:val="00CE22CF"/>
    <w:rsid w:val="00CE2542"/>
    <w:rsid w:val="00CE26F5"/>
    <w:rsid w:val="00CE2806"/>
    <w:rsid w:val="00CE2983"/>
    <w:rsid w:val="00CE329B"/>
    <w:rsid w:val="00CE3551"/>
    <w:rsid w:val="00CE37CE"/>
    <w:rsid w:val="00CE3FD4"/>
    <w:rsid w:val="00CE401A"/>
    <w:rsid w:val="00CE47CA"/>
    <w:rsid w:val="00CE4DB8"/>
    <w:rsid w:val="00CE4FE2"/>
    <w:rsid w:val="00CE5359"/>
    <w:rsid w:val="00CE5D77"/>
    <w:rsid w:val="00CE5D8C"/>
    <w:rsid w:val="00CE639E"/>
    <w:rsid w:val="00CE683C"/>
    <w:rsid w:val="00CE6E48"/>
    <w:rsid w:val="00CE72E7"/>
    <w:rsid w:val="00CE75C1"/>
    <w:rsid w:val="00CE773A"/>
    <w:rsid w:val="00CF0179"/>
    <w:rsid w:val="00CF08C7"/>
    <w:rsid w:val="00CF0E41"/>
    <w:rsid w:val="00CF1278"/>
    <w:rsid w:val="00CF1448"/>
    <w:rsid w:val="00CF1AAE"/>
    <w:rsid w:val="00CF2E14"/>
    <w:rsid w:val="00CF2F78"/>
    <w:rsid w:val="00CF34D7"/>
    <w:rsid w:val="00CF363D"/>
    <w:rsid w:val="00CF3796"/>
    <w:rsid w:val="00CF4315"/>
    <w:rsid w:val="00CF4E2A"/>
    <w:rsid w:val="00CF5615"/>
    <w:rsid w:val="00CF6915"/>
    <w:rsid w:val="00CF6C90"/>
    <w:rsid w:val="00CF6E88"/>
    <w:rsid w:val="00CF7A6A"/>
    <w:rsid w:val="00D00ABE"/>
    <w:rsid w:val="00D00D55"/>
    <w:rsid w:val="00D010D6"/>
    <w:rsid w:val="00D01226"/>
    <w:rsid w:val="00D01C96"/>
    <w:rsid w:val="00D01D78"/>
    <w:rsid w:val="00D01D96"/>
    <w:rsid w:val="00D022DE"/>
    <w:rsid w:val="00D024B7"/>
    <w:rsid w:val="00D02559"/>
    <w:rsid w:val="00D0272C"/>
    <w:rsid w:val="00D02899"/>
    <w:rsid w:val="00D02BC0"/>
    <w:rsid w:val="00D0341B"/>
    <w:rsid w:val="00D037E3"/>
    <w:rsid w:val="00D0482E"/>
    <w:rsid w:val="00D0497A"/>
    <w:rsid w:val="00D05055"/>
    <w:rsid w:val="00D0571A"/>
    <w:rsid w:val="00D05BAF"/>
    <w:rsid w:val="00D0629E"/>
    <w:rsid w:val="00D070C3"/>
    <w:rsid w:val="00D0726F"/>
    <w:rsid w:val="00D075B3"/>
    <w:rsid w:val="00D07AD7"/>
    <w:rsid w:val="00D104C1"/>
    <w:rsid w:val="00D10B86"/>
    <w:rsid w:val="00D11257"/>
    <w:rsid w:val="00D1131E"/>
    <w:rsid w:val="00D12256"/>
    <w:rsid w:val="00D123DD"/>
    <w:rsid w:val="00D12A92"/>
    <w:rsid w:val="00D134E4"/>
    <w:rsid w:val="00D13E4E"/>
    <w:rsid w:val="00D147C8"/>
    <w:rsid w:val="00D14A06"/>
    <w:rsid w:val="00D14AAC"/>
    <w:rsid w:val="00D14BE0"/>
    <w:rsid w:val="00D15343"/>
    <w:rsid w:val="00D153CE"/>
    <w:rsid w:val="00D15728"/>
    <w:rsid w:val="00D159DD"/>
    <w:rsid w:val="00D15E8A"/>
    <w:rsid w:val="00D165E4"/>
    <w:rsid w:val="00D16C59"/>
    <w:rsid w:val="00D205DF"/>
    <w:rsid w:val="00D21B0D"/>
    <w:rsid w:val="00D21BBD"/>
    <w:rsid w:val="00D222AC"/>
    <w:rsid w:val="00D2244E"/>
    <w:rsid w:val="00D229C3"/>
    <w:rsid w:val="00D22DC0"/>
    <w:rsid w:val="00D22E15"/>
    <w:rsid w:val="00D22F1B"/>
    <w:rsid w:val="00D23BE4"/>
    <w:rsid w:val="00D23C01"/>
    <w:rsid w:val="00D23C06"/>
    <w:rsid w:val="00D24340"/>
    <w:rsid w:val="00D244D0"/>
    <w:rsid w:val="00D25726"/>
    <w:rsid w:val="00D25F5E"/>
    <w:rsid w:val="00D269FE"/>
    <w:rsid w:val="00D26C2E"/>
    <w:rsid w:val="00D2742B"/>
    <w:rsid w:val="00D27AC9"/>
    <w:rsid w:val="00D30251"/>
    <w:rsid w:val="00D30FC9"/>
    <w:rsid w:val="00D312F6"/>
    <w:rsid w:val="00D31BC4"/>
    <w:rsid w:val="00D31F96"/>
    <w:rsid w:val="00D32034"/>
    <w:rsid w:val="00D32268"/>
    <w:rsid w:val="00D32372"/>
    <w:rsid w:val="00D32585"/>
    <w:rsid w:val="00D32E7F"/>
    <w:rsid w:val="00D3313E"/>
    <w:rsid w:val="00D33626"/>
    <w:rsid w:val="00D33AB3"/>
    <w:rsid w:val="00D3402F"/>
    <w:rsid w:val="00D34885"/>
    <w:rsid w:val="00D35496"/>
    <w:rsid w:val="00D35928"/>
    <w:rsid w:val="00D3600B"/>
    <w:rsid w:val="00D37081"/>
    <w:rsid w:val="00D371FE"/>
    <w:rsid w:val="00D3779D"/>
    <w:rsid w:val="00D40106"/>
    <w:rsid w:val="00D401A1"/>
    <w:rsid w:val="00D401A3"/>
    <w:rsid w:val="00D41E48"/>
    <w:rsid w:val="00D41F78"/>
    <w:rsid w:val="00D420EF"/>
    <w:rsid w:val="00D4282C"/>
    <w:rsid w:val="00D42E75"/>
    <w:rsid w:val="00D42F8A"/>
    <w:rsid w:val="00D43621"/>
    <w:rsid w:val="00D441EA"/>
    <w:rsid w:val="00D4464C"/>
    <w:rsid w:val="00D45A45"/>
    <w:rsid w:val="00D474AD"/>
    <w:rsid w:val="00D4755C"/>
    <w:rsid w:val="00D5094C"/>
    <w:rsid w:val="00D50AA3"/>
    <w:rsid w:val="00D50ABE"/>
    <w:rsid w:val="00D50C74"/>
    <w:rsid w:val="00D510E3"/>
    <w:rsid w:val="00D51AB7"/>
    <w:rsid w:val="00D51CD7"/>
    <w:rsid w:val="00D51EF2"/>
    <w:rsid w:val="00D522F8"/>
    <w:rsid w:val="00D52CBC"/>
    <w:rsid w:val="00D537C6"/>
    <w:rsid w:val="00D53C08"/>
    <w:rsid w:val="00D53C3A"/>
    <w:rsid w:val="00D53D61"/>
    <w:rsid w:val="00D53D9B"/>
    <w:rsid w:val="00D5458D"/>
    <w:rsid w:val="00D5497C"/>
    <w:rsid w:val="00D54EA3"/>
    <w:rsid w:val="00D54F86"/>
    <w:rsid w:val="00D54FEB"/>
    <w:rsid w:val="00D55D05"/>
    <w:rsid w:val="00D55D19"/>
    <w:rsid w:val="00D56D62"/>
    <w:rsid w:val="00D56E47"/>
    <w:rsid w:val="00D57591"/>
    <w:rsid w:val="00D57AF4"/>
    <w:rsid w:val="00D6013C"/>
    <w:rsid w:val="00D602A2"/>
    <w:rsid w:val="00D608EA"/>
    <w:rsid w:val="00D60C26"/>
    <w:rsid w:val="00D60CF3"/>
    <w:rsid w:val="00D628AF"/>
    <w:rsid w:val="00D630A2"/>
    <w:rsid w:val="00D632A8"/>
    <w:rsid w:val="00D632D9"/>
    <w:rsid w:val="00D63322"/>
    <w:rsid w:val="00D6427C"/>
    <w:rsid w:val="00D642A4"/>
    <w:rsid w:val="00D64A77"/>
    <w:rsid w:val="00D64B97"/>
    <w:rsid w:val="00D651A2"/>
    <w:rsid w:val="00D65385"/>
    <w:rsid w:val="00D65948"/>
    <w:rsid w:val="00D65D96"/>
    <w:rsid w:val="00D66362"/>
    <w:rsid w:val="00D66958"/>
    <w:rsid w:val="00D669FD"/>
    <w:rsid w:val="00D66E93"/>
    <w:rsid w:val="00D67555"/>
    <w:rsid w:val="00D67583"/>
    <w:rsid w:val="00D67906"/>
    <w:rsid w:val="00D700E5"/>
    <w:rsid w:val="00D70B09"/>
    <w:rsid w:val="00D70DB9"/>
    <w:rsid w:val="00D71113"/>
    <w:rsid w:val="00D71712"/>
    <w:rsid w:val="00D71E5D"/>
    <w:rsid w:val="00D71ED2"/>
    <w:rsid w:val="00D71F24"/>
    <w:rsid w:val="00D71FF4"/>
    <w:rsid w:val="00D7207D"/>
    <w:rsid w:val="00D7255F"/>
    <w:rsid w:val="00D729D0"/>
    <w:rsid w:val="00D73336"/>
    <w:rsid w:val="00D73A8C"/>
    <w:rsid w:val="00D73FD4"/>
    <w:rsid w:val="00D74808"/>
    <w:rsid w:val="00D7486C"/>
    <w:rsid w:val="00D74994"/>
    <w:rsid w:val="00D74EB0"/>
    <w:rsid w:val="00D757D7"/>
    <w:rsid w:val="00D761E1"/>
    <w:rsid w:val="00D763F3"/>
    <w:rsid w:val="00D767AA"/>
    <w:rsid w:val="00D767AC"/>
    <w:rsid w:val="00D767E3"/>
    <w:rsid w:val="00D76EF0"/>
    <w:rsid w:val="00D770A4"/>
    <w:rsid w:val="00D77801"/>
    <w:rsid w:val="00D779E7"/>
    <w:rsid w:val="00D80071"/>
    <w:rsid w:val="00D8007F"/>
    <w:rsid w:val="00D810A7"/>
    <w:rsid w:val="00D8154F"/>
    <w:rsid w:val="00D819F2"/>
    <w:rsid w:val="00D81A9C"/>
    <w:rsid w:val="00D82643"/>
    <w:rsid w:val="00D827D9"/>
    <w:rsid w:val="00D83030"/>
    <w:rsid w:val="00D83D3F"/>
    <w:rsid w:val="00D84C9A"/>
    <w:rsid w:val="00D84CBB"/>
    <w:rsid w:val="00D84CFE"/>
    <w:rsid w:val="00D84F38"/>
    <w:rsid w:val="00D85925"/>
    <w:rsid w:val="00D85CCF"/>
    <w:rsid w:val="00D86BAB"/>
    <w:rsid w:val="00D876D3"/>
    <w:rsid w:val="00D877F2"/>
    <w:rsid w:val="00D90025"/>
    <w:rsid w:val="00D91E96"/>
    <w:rsid w:val="00D91F9B"/>
    <w:rsid w:val="00D92583"/>
    <w:rsid w:val="00D92C6E"/>
    <w:rsid w:val="00D92E60"/>
    <w:rsid w:val="00D93DBE"/>
    <w:rsid w:val="00D949F3"/>
    <w:rsid w:val="00D94DC5"/>
    <w:rsid w:val="00D94EE8"/>
    <w:rsid w:val="00D95166"/>
    <w:rsid w:val="00D95499"/>
    <w:rsid w:val="00D9618C"/>
    <w:rsid w:val="00D96326"/>
    <w:rsid w:val="00D969CF"/>
    <w:rsid w:val="00D96C9E"/>
    <w:rsid w:val="00D96E5E"/>
    <w:rsid w:val="00D978A9"/>
    <w:rsid w:val="00DA0DFD"/>
    <w:rsid w:val="00DA1944"/>
    <w:rsid w:val="00DA1F1C"/>
    <w:rsid w:val="00DA217A"/>
    <w:rsid w:val="00DA2ABD"/>
    <w:rsid w:val="00DA2C11"/>
    <w:rsid w:val="00DA37F5"/>
    <w:rsid w:val="00DA3828"/>
    <w:rsid w:val="00DA3889"/>
    <w:rsid w:val="00DA3D4F"/>
    <w:rsid w:val="00DA42F1"/>
    <w:rsid w:val="00DA5784"/>
    <w:rsid w:val="00DA5AB7"/>
    <w:rsid w:val="00DA5C06"/>
    <w:rsid w:val="00DA67DC"/>
    <w:rsid w:val="00DA6F4B"/>
    <w:rsid w:val="00DA70F3"/>
    <w:rsid w:val="00DA761B"/>
    <w:rsid w:val="00DA7D10"/>
    <w:rsid w:val="00DA7FDF"/>
    <w:rsid w:val="00DB0390"/>
    <w:rsid w:val="00DB0875"/>
    <w:rsid w:val="00DB0BAE"/>
    <w:rsid w:val="00DB0F84"/>
    <w:rsid w:val="00DB0FBE"/>
    <w:rsid w:val="00DB1171"/>
    <w:rsid w:val="00DB140C"/>
    <w:rsid w:val="00DB1B2C"/>
    <w:rsid w:val="00DB1B42"/>
    <w:rsid w:val="00DB2217"/>
    <w:rsid w:val="00DB247D"/>
    <w:rsid w:val="00DB2965"/>
    <w:rsid w:val="00DB3DF9"/>
    <w:rsid w:val="00DB402A"/>
    <w:rsid w:val="00DB43F9"/>
    <w:rsid w:val="00DB4969"/>
    <w:rsid w:val="00DB5419"/>
    <w:rsid w:val="00DB59D4"/>
    <w:rsid w:val="00DB64E0"/>
    <w:rsid w:val="00DB6C59"/>
    <w:rsid w:val="00DB7313"/>
    <w:rsid w:val="00DB7F93"/>
    <w:rsid w:val="00DC1583"/>
    <w:rsid w:val="00DC16CC"/>
    <w:rsid w:val="00DC1B99"/>
    <w:rsid w:val="00DC3172"/>
    <w:rsid w:val="00DC3D2B"/>
    <w:rsid w:val="00DC493C"/>
    <w:rsid w:val="00DC578F"/>
    <w:rsid w:val="00DC5956"/>
    <w:rsid w:val="00DC62B2"/>
    <w:rsid w:val="00DC65C8"/>
    <w:rsid w:val="00DC723D"/>
    <w:rsid w:val="00DD0314"/>
    <w:rsid w:val="00DD035D"/>
    <w:rsid w:val="00DD0381"/>
    <w:rsid w:val="00DD0AC2"/>
    <w:rsid w:val="00DD187E"/>
    <w:rsid w:val="00DD24CC"/>
    <w:rsid w:val="00DD289C"/>
    <w:rsid w:val="00DD2BE0"/>
    <w:rsid w:val="00DD2EEB"/>
    <w:rsid w:val="00DD3099"/>
    <w:rsid w:val="00DD3210"/>
    <w:rsid w:val="00DD4692"/>
    <w:rsid w:val="00DD554F"/>
    <w:rsid w:val="00DD5BF1"/>
    <w:rsid w:val="00DD63E3"/>
    <w:rsid w:val="00DD6716"/>
    <w:rsid w:val="00DD7793"/>
    <w:rsid w:val="00DD7BCF"/>
    <w:rsid w:val="00DE024B"/>
    <w:rsid w:val="00DE0417"/>
    <w:rsid w:val="00DE1172"/>
    <w:rsid w:val="00DE145F"/>
    <w:rsid w:val="00DE1EE4"/>
    <w:rsid w:val="00DE2017"/>
    <w:rsid w:val="00DE22C6"/>
    <w:rsid w:val="00DE2521"/>
    <w:rsid w:val="00DE3143"/>
    <w:rsid w:val="00DE3298"/>
    <w:rsid w:val="00DE3602"/>
    <w:rsid w:val="00DE3F17"/>
    <w:rsid w:val="00DE46AD"/>
    <w:rsid w:val="00DE4D74"/>
    <w:rsid w:val="00DE4F84"/>
    <w:rsid w:val="00DE5417"/>
    <w:rsid w:val="00DE5457"/>
    <w:rsid w:val="00DE5499"/>
    <w:rsid w:val="00DE54AB"/>
    <w:rsid w:val="00DE550D"/>
    <w:rsid w:val="00DE6837"/>
    <w:rsid w:val="00DE6ECE"/>
    <w:rsid w:val="00DE75DC"/>
    <w:rsid w:val="00DE77B7"/>
    <w:rsid w:val="00DE7B1C"/>
    <w:rsid w:val="00DE7B47"/>
    <w:rsid w:val="00DE7C13"/>
    <w:rsid w:val="00DF00DF"/>
    <w:rsid w:val="00DF0675"/>
    <w:rsid w:val="00DF07B8"/>
    <w:rsid w:val="00DF0FC0"/>
    <w:rsid w:val="00DF158D"/>
    <w:rsid w:val="00DF1C59"/>
    <w:rsid w:val="00DF1F0B"/>
    <w:rsid w:val="00DF227D"/>
    <w:rsid w:val="00DF3034"/>
    <w:rsid w:val="00DF3237"/>
    <w:rsid w:val="00DF3532"/>
    <w:rsid w:val="00DF3A78"/>
    <w:rsid w:val="00DF3B24"/>
    <w:rsid w:val="00DF3BE1"/>
    <w:rsid w:val="00DF40F5"/>
    <w:rsid w:val="00DF4B1D"/>
    <w:rsid w:val="00DF5551"/>
    <w:rsid w:val="00DF59EB"/>
    <w:rsid w:val="00DF5FA1"/>
    <w:rsid w:val="00DF63D5"/>
    <w:rsid w:val="00DF669D"/>
    <w:rsid w:val="00DF67DE"/>
    <w:rsid w:val="00DF681F"/>
    <w:rsid w:val="00DF72FD"/>
    <w:rsid w:val="00DF75D8"/>
    <w:rsid w:val="00DF7988"/>
    <w:rsid w:val="00DF7D47"/>
    <w:rsid w:val="00E009FE"/>
    <w:rsid w:val="00E00A01"/>
    <w:rsid w:val="00E00CAF"/>
    <w:rsid w:val="00E0107C"/>
    <w:rsid w:val="00E011D7"/>
    <w:rsid w:val="00E0132B"/>
    <w:rsid w:val="00E019D4"/>
    <w:rsid w:val="00E02D92"/>
    <w:rsid w:val="00E0335C"/>
    <w:rsid w:val="00E03956"/>
    <w:rsid w:val="00E03C8F"/>
    <w:rsid w:val="00E03D83"/>
    <w:rsid w:val="00E04446"/>
    <w:rsid w:val="00E04971"/>
    <w:rsid w:val="00E04A97"/>
    <w:rsid w:val="00E0501B"/>
    <w:rsid w:val="00E0539F"/>
    <w:rsid w:val="00E05890"/>
    <w:rsid w:val="00E05BD7"/>
    <w:rsid w:val="00E05DD3"/>
    <w:rsid w:val="00E06107"/>
    <w:rsid w:val="00E074B6"/>
    <w:rsid w:val="00E078B6"/>
    <w:rsid w:val="00E103DC"/>
    <w:rsid w:val="00E10476"/>
    <w:rsid w:val="00E11780"/>
    <w:rsid w:val="00E1194A"/>
    <w:rsid w:val="00E12464"/>
    <w:rsid w:val="00E12509"/>
    <w:rsid w:val="00E12853"/>
    <w:rsid w:val="00E12E67"/>
    <w:rsid w:val="00E13281"/>
    <w:rsid w:val="00E13727"/>
    <w:rsid w:val="00E13F62"/>
    <w:rsid w:val="00E14800"/>
    <w:rsid w:val="00E14B63"/>
    <w:rsid w:val="00E154CF"/>
    <w:rsid w:val="00E15C41"/>
    <w:rsid w:val="00E15DDD"/>
    <w:rsid w:val="00E15E3A"/>
    <w:rsid w:val="00E15F2F"/>
    <w:rsid w:val="00E16105"/>
    <w:rsid w:val="00E165A3"/>
    <w:rsid w:val="00E178E1"/>
    <w:rsid w:val="00E178EA"/>
    <w:rsid w:val="00E201A9"/>
    <w:rsid w:val="00E201D4"/>
    <w:rsid w:val="00E202AC"/>
    <w:rsid w:val="00E203D6"/>
    <w:rsid w:val="00E20922"/>
    <w:rsid w:val="00E217E9"/>
    <w:rsid w:val="00E2209B"/>
    <w:rsid w:val="00E2221E"/>
    <w:rsid w:val="00E229C4"/>
    <w:rsid w:val="00E23519"/>
    <w:rsid w:val="00E23A99"/>
    <w:rsid w:val="00E24D98"/>
    <w:rsid w:val="00E24DE4"/>
    <w:rsid w:val="00E25B0A"/>
    <w:rsid w:val="00E26069"/>
    <w:rsid w:val="00E2738B"/>
    <w:rsid w:val="00E27CE6"/>
    <w:rsid w:val="00E306F5"/>
    <w:rsid w:val="00E30EA5"/>
    <w:rsid w:val="00E31445"/>
    <w:rsid w:val="00E31AF9"/>
    <w:rsid w:val="00E31C72"/>
    <w:rsid w:val="00E31D49"/>
    <w:rsid w:val="00E31E44"/>
    <w:rsid w:val="00E31F10"/>
    <w:rsid w:val="00E32006"/>
    <w:rsid w:val="00E33335"/>
    <w:rsid w:val="00E33709"/>
    <w:rsid w:val="00E344DC"/>
    <w:rsid w:val="00E35020"/>
    <w:rsid w:val="00E35643"/>
    <w:rsid w:val="00E35BA3"/>
    <w:rsid w:val="00E35C0F"/>
    <w:rsid w:val="00E363E9"/>
    <w:rsid w:val="00E36B63"/>
    <w:rsid w:val="00E36E10"/>
    <w:rsid w:val="00E3749A"/>
    <w:rsid w:val="00E37D70"/>
    <w:rsid w:val="00E37E36"/>
    <w:rsid w:val="00E37E9A"/>
    <w:rsid w:val="00E409DD"/>
    <w:rsid w:val="00E411ED"/>
    <w:rsid w:val="00E41A78"/>
    <w:rsid w:val="00E41BAA"/>
    <w:rsid w:val="00E41F0D"/>
    <w:rsid w:val="00E420FD"/>
    <w:rsid w:val="00E4212D"/>
    <w:rsid w:val="00E4218C"/>
    <w:rsid w:val="00E421DE"/>
    <w:rsid w:val="00E4251B"/>
    <w:rsid w:val="00E427AD"/>
    <w:rsid w:val="00E42D32"/>
    <w:rsid w:val="00E435F8"/>
    <w:rsid w:val="00E437F8"/>
    <w:rsid w:val="00E43995"/>
    <w:rsid w:val="00E43A74"/>
    <w:rsid w:val="00E44438"/>
    <w:rsid w:val="00E45163"/>
    <w:rsid w:val="00E451D6"/>
    <w:rsid w:val="00E453FA"/>
    <w:rsid w:val="00E4551B"/>
    <w:rsid w:val="00E45E8B"/>
    <w:rsid w:val="00E46AD6"/>
    <w:rsid w:val="00E46BFB"/>
    <w:rsid w:val="00E4733C"/>
    <w:rsid w:val="00E4747E"/>
    <w:rsid w:val="00E50E22"/>
    <w:rsid w:val="00E51053"/>
    <w:rsid w:val="00E5127C"/>
    <w:rsid w:val="00E512CD"/>
    <w:rsid w:val="00E5149C"/>
    <w:rsid w:val="00E51937"/>
    <w:rsid w:val="00E520AB"/>
    <w:rsid w:val="00E521D6"/>
    <w:rsid w:val="00E523EA"/>
    <w:rsid w:val="00E524E3"/>
    <w:rsid w:val="00E53600"/>
    <w:rsid w:val="00E53722"/>
    <w:rsid w:val="00E5378A"/>
    <w:rsid w:val="00E5418B"/>
    <w:rsid w:val="00E550CC"/>
    <w:rsid w:val="00E55553"/>
    <w:rsid w:val="00E55E2A"/>
    <w:rsid w:val="00E5647C"/>
    <w:rsid w:val="00E56A3A"/>
    <w:rsid w:val="00E6023E"/>
    <w:rsid w:val="00E60251"/>
    <w:rsid w:val="00E6043D"/>
    <w:rsid w:val="00E6051A"/>
    <w:rsid w:val="00E60C29"/>
    <w:rsid w:val="00E60D1F"/>
    <w:rsid w:val="00E614A0"/>
    <w:rsid w:val="00E61A7E"/>
    <w:rsid w:val="00E62180"/>
    <w:rsid w:val="00E62AD7"/>
    <w:rsid w:val="00E63922"/>
    <w:rsid w:val="00E63B7C"/>
    <w:rsid w:val="00E64C36"/>
    <w:rsid w:val="00E663F7"/>
    <w:rsid w:val="00E6675F"/>
    <w:rsid w:val="00E66C1E"/>
    <w:rsid w:val="00E6739F"/>
    <w:rsid w:val="00E67473"/>
    <w:rsid w:val="00E677F0"/>
    <w:rsid w:val="00E67E99"/>
    <w:rsid w:val="00E709C5"/>
    <w:rsid w:val="00E70E61"/>
    <w:rsid w:val="00E71075"/>
    <w:rsid w:val="00E71099"/>
    <w:rsid w:val="00E71EBA"/>
    <w:rsid w:val="00E73076"/>
    <w:rsid w:val="00E730AD"/>
    <w:rsid w:val="00E7374E"/>
    <w:rsid w:val="00E743E1"/>
    <w:rsid w:val="00E745E5"/>
    <w:rsid w:val="00E74AAB"/>
    <w:rsid w:val="00E74C66"/>
    <w:rsid w:val="00E75407"/>
    <w:rsid w:val="00E754CA"/>
    <w:rsid w:val="00E75CC2"/>
    <w:rsid w:val="00E762E2"/>
    <w:rsid w:val="00E762FA"/>
    <w:rsid w:val="00E763CB"/>
    <w:rsid w:val="00E770FB"/>
    <w:rsid w:val="00E77161"/>
    <w:rsid w:val="00E808B3"/>
    <w:rsid w:val="00E80B9E"/>
    <w:rsid w:val="00E815B5"/>
    <w:rsid w:val="00E8246F"/>
    <w:rsid w:val="00E82C87"/>
    <w:rsid w:val="00E82FBB"/>
    <w:rsid w:val="00E83342"/>
    <w:rsid w:val="00E8366B"/>
    <w:rsid w:val="00E83852"/>
    <w:rsid w:val="00E8393E"/>
    <w:rsid w:val="00E83F79"/>
    <w:rsid w:val="00E85205"/>
    <w:rsid w:val="00E85D39"/>
    <w:rsid w:val="00E8674D"/>
    <w:rsid w:val="00E868FA"/>
    <w:rsid w:val="00E86AF0"/>
    <w:rsid w:val="00E86C07"/>
    <w:rsid w:val="00E872EA"/>
    <w:rsid w:val="00E8739C"/>
    <w:rsid w:val="00E87A1E"/>
    <w:rsid w:val="00E87DC6"/>
    <w:rsid w:val="00E87EF7"/>
    <w:rsid w:val="00E87F34"/>
    <w:rsid w:val="00E90B5A"/>
    <w:rsid w:val="00E90C71"/>
    <w:rsid w:val="00E91621"/>
    <w:rsid w:val="00E91C2E"/>
    <w:rsid w:val="00E92508"/>
    <w:rsid w:val="00E92628"/>
    <w:rsid w:val="00E928FC"/>
    <w:rsid w:val="00E930E6"/>
    <w:rsid w:val="00E934A4"/>
    <w:rsid w:val="00E93620"/>
    <w:rsid w:val="00E93D17"/>
    <w:rsid w:val="00E93FE7"/>
    <w:rsid w:val="00E942DE"/>
    <w:rsid w:val="00E954B2"/>
    <w:rsid w:val="00E95F64"/>
    <w:rsid w:val="00E9607F"/>
    <w:rsid w:val="00E96274"/>
    <w:rsid w:val="00E973DC"/>
    <w:rsid w:val="00E97769"/>
    <w:rsid w:val="00E977B6"/>
    <w:rsid w:val="00E97825"/>
    <w:rsid w:val="00E97AF4"/>
    <w:rsid w:val="00EA02D6"/>
    <w:rsid w:val="00EA1903"/>
    <w:rsid w:val="00EA1D06"/>
    <w:rsid w:val="00EA1F09"/>
    <w:rsid w:val="00EA21D8"/>
    <w:rsid w:val="00EA245C"/>
    <w:rsid w:val="00EA25CB"/>
    <w:rsid w:val="00EA2FE5"/>
    <w:rsid w:val="00EA3886"/>
    <w:rsid w:val="00EA3931"/>
    <w:rsid w:val="00EA399D"/>
    <w:rsid w:val="00EA47F3"/>
    <w:rsid w:val="00EA5F51"/>
    <w:rsid w:val="00EA75FE"/>
    <w:rsid w:val="00EA7627"/>
    <w:rsid w:val="00EA7C4B"/>
    <w:rsid w:val="00EA7E47"/>
    <w:rsid w:val="00EB0DE7"/>
    <w:rsid w:val="00EB106B"/>
    <w:rsid w:val="00EB185F"/>
    <w:rsid w:val="00EB1F46"/>
    <w:rsid w:val="00EB20CF"/>
    <w:rsid w:val="00EB2251"/>
    <w:rsid w:val="00EB41A7"/>
    <w:rsid w:val="00EB433E"/>
    <w:rsid w:val="00EB46E5"/>
    <w:rsid w:val="00EB5345"/>
    <w:rsid w:val="00EB5E12"/>
    <w:rsid w:val="00EB5FFE"/>
    <w:rsid w:val="00EB674E"/>
    <w:rsid w:val="00EB75C0"/>
    <w:rsid w:val="00EB75D1"/>
    <w:rsid w:val="00EB7996"/>
    <w:rsid w:val="00EC0C06"/>
    <w:rsid w:val="00EC116F"/>
    <w:rsid w:val="00EC1174"/>
    <w:rsid w:val="00EC1B6D"/>
    <w:rsid w:val="00EC1E71"/>
    <w:rsid w:val="00EC1F54"/>
    <w:rsid w:val="00EC27B3"/>
    <w:rsid w:val="00EC3116"/>
    <w:rsid w:val="00EC3ABC"/>
    <w:rsid w:val="00EC4169"/>
    <w:rsid w:val="00EC4AD3"/>
    <w:rsid w:val="00EC5A68"/>
    <w:rsid w:val="00EC5B21"/>
    <w:rsid w:val="00EC5BB0"/>
    <w:rsid w:val="00EC7153"/>
    <w:rsid w:val="00EC7435"/>
    <w:rsid w:val="00EC747D"/>
    <w:rsid w:val="00EC7E63"/>
    <w:rsid w:val="00EC7ECC"/>
    <w:rsid w:val="00ED06C0"/>
    <w:rsid w:val="00ED081F"/>
    <w:rsid w:val="00ED0D45"/>
    <w:rsid w:val="00ED0DA2"/>
    <w:rsid w:val="00ED1AC6"/>
    <w:rsid w:val="00ED1E3B"/>
    <w:rsid w:val="00ED252E"/>
    <w:rsid w:val="00ED35DD"/>
    <w:rsid w:val="00ED5238"/>
    <w:rsid w:val="00ED5261"/>
    <w:rsid w:val="00ED5548"/>
    <w:rsid w:val="00ED5A3D"/>
    <w:rsid w:val="00ED6745"/>
    <w:rsid w:val="00ED757E"/>
    <w:rsid w:val="00ED7CC3"/>
    <w:rsid w:val="00ED7EE6"/>
    <w:rsid w:val="00EE0034"/>
    <w:rsid w:val="00EE1DCD"/>
    <w:rsid w:val="00EE2428"/>
    <w:rsid w:val="00EE24EA"/>
    <w:rsid w:val="00EE2D8A"/>
    <w:rsid w:val="00EE30DB"/>
    <w:rsid w:val="00EE3745"/>
    <w:rsid w:val="00EE4007"/>
    <w:rsid w:val="00EE40CD"/>
    <w:rsid w:val="00EE4125"/>
    <w:rsid w:val="00EE445D"/>
    <w:rsid w:val="00EE4797"/>
    <w:rsid w:val="00EE481E"/>
    <w:rsid w:val="00EE4AD3"/>
    <w:rsid w:val="00EE557E"/>
    <w:rsid w:val="00EE6112"/>
    <w:rsid w:val="00EE61F3"/>
    <w:rsid w:val="00EE6B4D"/>
    <w:rsid w:val="00EE6D7B"/>
    <w:rsid w:val="00EE704C"/>
    <w:rsid w:val="00EE731C"/>
    <w:rsid w:val="00EE7424"/>
    <w:rsid w:val="00EF0352"/>
    <w:rsid w:val="00EF1792"/>
    <w:rsid w:val="00EF185B"/>
    <w:rsid w:val="00EF2430"/>
    <w:rsid w:val="00EF26CD"/>
    <w:rsid w:val="00EF29AB"/>
    <w:rsid w:val="00EF33C2"/>
    <w:rsid w:val="00EF35B7"/>
    <w:rsid w:val="00EF4ED7"/>
    <w:rsid w:val="00EF5205"/>
    <w:rsid w:val="00EF5E39"/>
    <w:rsid w:val="00EF6656"/>
    <w:rsid w:val="00EF6F5E"/>
    <w:rsid w:val="00EF6F8C"/>
    <w:rsid w:val="00EF768C"/>
    <w:rsid w:val="00EF7A07"/>
    <w:rsid w:val="00F00225"/>
    <w:rsid w:val="00F0059B"/>
    <w:rsid w:val="00F00648"/>
    <w:rsid w:val="00F0163E"/>
    <w:rsid w:val="00F0299F"/>
    <w:rsid w:val="00F02D4B"/>
    <w:rsid w:val="00F033AC"/>
    <w:rsid w:val="00F038EC"/>
    <w:rsid w:val="00F03D3F"/>
    <w:rsid w:val="00F03F26"/>
    <w:rsid w:val="00F044B1"/>
    <w:rsid w:val="00F04644"/>
    <w:rsid w:val="00F04E59"/>
    <w:rsid w:val="00F055B3"/>
    <w:rsid w:val="00F057BA"/>
    <w:rsid w:val="00F05A74"/>
    <w:rsid w:val="00F05E81"/>
    <w:rsid w:val="00F06454"/>
    <w:rsid w:val="00F0678E"/>
    <w:rsid w:val="00F067F3"/>
    <w:rsid w:val="00F06AEA"/>
    <w:rsid w:val="00F0701A"/>
    <w:rsid w:val="00F0763C"/>
    <w:rsid w:val="00F07EA7"/>
    <w:rsid w:val="00F10C6C"/>
    <w:rsid w:val="00F111C0"/>
    <w:rsid w:val="00F11450"/>
    <w:rsid w:val="00F1177D"/>
    <w:rsid w:val="00F12004"/>
    <w:rsid w:val="00F131FD"/>
    <w:rsid w:val="00F1339B"/>
    <w:rsid w:val="00F139BA"/>
    <w:rsid w:val="00F139DE"/>
    <w:rsid w:val="00F13DB8"/>
    <w:rsid w:val="00F13FD6"/>
    <w:rsid w:val="00F14EBF"/>
    <w:rsid w:val="00F14F35"/>
    <w:rsid w:val="00F1609D"/>
    <w:rsid w:val="00F16C48"/>
    <w:rsid w:val="00F1716B"/>
    <w:rsid w:val="00F20004"/>
    <w:rsid w:val="00F2009C"/>
    <w:rsid w:val="00F200B1"/>
    <w:rsid w:val="00F2015F"/>
    <w:rsid w:val="00F211B7"/>
    <w:rsid w:val="00F214A9"/>
    <w:rsid w:val="00F21A44"/>
    <w:rsid w:val="00F21FCC"/>
    <w:rsid w:val="00F222E0"/>
    <w:rsid w:val="00F2258B"/>
    <w:rsid w:val="00F22ABD"/>
    <w:rsid w:val="00F22BEB"/>
    <w:rsid w:val="00F23B2A"/>
    <w:rsid w:val="00F23CD1"/>
    <w:rsid w:val="00F2411A"/>
    <w:rsid w:val="00F241AD"/>
    <w:rsid w:val="00F249A0"/>
    <w:rsid w:val="00F24ECD"/>
    <w:rsid w:val="00F25128"/>
    <w:rsid w:val="00F25289"/>
    <w:rsid w:val="00F2583D"/>
    <w:rsid w:val="00F25BA1"/>
    <w:rsid w:val="00F25CE5"/>
    <w:rsid w:val="00F25F7E"/>
    <w:rsid w:val="00F264B5"/>
    <w:rsid w:val="00F264C5"/>
    <w:rsid w:val="00F26EF6"/>
    <w:rsid w:val="00F27377"/>
    <w:rsid w:val="00F27FAB"/>
    <w:rsid w:val="00F3094B"/>
    <w:rsid w:val="00F3112E"/>
    <w:rsid w:val="00F3175F"/>
    <w:rsid w:val="00F31920"/>
    <w:rsid w:val="00F31B63"/>
    <w:rsid w:val="00F31BF7"/>
    <w:rsid w:val="00F32970"/>
    <w:rsid w:val="00F329AE"/>
    <w:rsid w:val="00F34A82"/>
    <w:rsid w:val="00F351FF"/>
    <w:rsid w:val="00F3550E"/>
    <w:rsid w:val="00F35A58"/>
    <w:rsid w:val="00F35CF5"/>
    <w:rsid w:val="00F35FFB"/>
    <w:rsid w:val="00F361A2"/>
    <w:rsid w:val="00F3655B"/>
    <w:rsid w:val="00F367F5"/>
    <w:rsid w:val="00F36E0B"/>
    <w:rsid w:val="00F3721A"/>
    <w:rsid w:val="00F379AD"/>
    <w:rsid w:val="00F408C2"/>
    <w:rsid w:val="00F411D3"/>
    <w:rsid w:val="00F4191D"/>
    <w:rsid w:val="00F41A15"/>
    <w:rsid w:val="00F423C4"/>
    <w:rsid w:val="00F42ADB"/>
    <w:rsid w:val="00F43020"/>
    <w:rsid w:val="00F43579"/>
    <w:rsid w:val="00F43ECA"/>
    <w:rsid w:val="00F44775"/>
    <w:rsid w:val="00F44790"/>
    <w:rsid w:val="00F450BC"/>
    <w:rsid w:val="00F4552E"/>
    <w:rsid w:val="00F4558C"/>
    <w:rsid w:val="00F45FF1"/>
    <w:rsid w:val="00F47518"/>
    <w:rsid w:val="00F479BE"/>
    <w:rsid w:val="00F47A4E"/>
    <w:rsid w:val="00F47D05"/>
    <w:rsid w:val="00F500C2"/>
    <w:rsid w:val="00F514F9"/>
    <w:rsid w:val="00F51A87"/>
    <w:rsid w:val="00F51AF8"/>
    <w:rsid w:val="00F51D20"/>
    <w:rsid w:val="00F521F9"/>
    <w:rsid w:val="00F52D7A"/>
    <w:rsid w:val="00F5322F"/>
    <w:rsid w:val="00F53C06"/>
    <w:rsid w:val="00F54043"/>
    <w:rsid w:val="00F54ADB"/>
    <w:rsid w:val="00F54FC2"/>
    <w:rsid w:val="00F5524C"/>
    <w:rsid w:val="00F556FA"/>
    <w:rsid w:val="00F562E7"/>
    <w:rsid w:val="00F56B92"/>
    <w:rsid w:val="00F571A1"/>
    <w:rsid w:val="00F577E4"/>
    <w:rsid w:val="00F5786C"/>
    <w:rsid w:val="00F6036A"/>
    <w:rsid w:val="00F6052D"/>
    <w:rsid w:val="00F60688"/>
    <w:rsid w:val="00F60841"/>
    <w:rsid w:val="00F60C5B"/>
    <w:rsid w:val="00F611CD"/>
    <w:rsid w:val="00F62498"/>
    <w:rsid w:val="00F625BD"/>
    <w:rsid w:val="00F62C3C"/>
    <w:rsid w:val="00F62DCB"/>
    <w:rsid w:val="00F62ED5"/>
    <w:rsid w:val="00F635DD"/>
    <w:rsid w:val="00F6378F"/>
    <w:rsid w:val="00F6398F"/>
    <w:rsid w:val="00F639C7"/>
    <w:rsid w:val="00F63C3B"/>
    <w:rsid w:val="00F65F68"/>
    <w:rsid w:val="00F6632B"/>
    <w:rsid w:val="00F70D7D"/>
    <w:rsid w:val="00F7150C"/>
    <w:rsid w:val="00F71565"/>
    <w:rsid w:val="00F71CF6"/>
    <w:rsid w:val="00F72854"/>
    <w:rsid w:val="00F728D2"/>
    <w:rsid w:val="00F72EE8"/>
    <w:rsid w:val="00F731AB"/>
    <w:rsid w:val="00F732FC"/>
    <w:rsid w:val="00F73F48"/>
    <w:rsid w:val="00F741EF"/>
    <w:rsid w:val="00F742B1"/>
    <w:rsid w:val="00F74C64"/>
    <w:rsid w:val="00F7503C"/>
    <w:rsid w:val="00F756A8"/>
    <w:rsid w:val="00F75823"/>
    <w:rsid w:val="00F76A46"/>
    <w:rsid w:val="00F77471"/>
    <w:rsid w:val="00F774F0"/>
    <w:rsid w:val="00F77A68"/>
    <w:rsid w:val="00F77C41"/>
    <w:rsid w:val="00F77D3F"/>
    <w:rsid w:val="00F77DD0"/>
    <w:rsid w:val="00F77E9F"/>
    <w:rsid w:val="00F800FC"/>
    <w:rsid w:val="00F81C12"/>
    <w:rsid w:val="00F820AA"/>
    <w:rsid w:val="00F821B9"/>
    <w:rsid w:val="00F82C9A"/>
    <w:rsid w:val="00F830DF"/>
    <w:rsid w:val="00F83161"/>
    <w:rsid w:val="00F834E4"/>
    <w:rsid w:val="00F83C81"/>
    <w:rsid w:val="00F8452A"/>
    <w:rsid w:val="00F84C54"/>
    <w:rsid w:val="00F84E88"/>
    <w:rsid w:val="00F85916"/>
    <w:rsid w:val="00F85C76"/>
    <w:rsid w:val="00F85EA6"/>
    <w:rsid w:val="00F85FC0"/>
    <w:rsid w:val="00F86BDB"/>
    <w:rsid w:val="00F86D52"/>
    <w:rsid w:val="00F86FFA"/>
    <w:rsid w:val="00F871DD"/>
    <w:rsid w:val="00F872C2"/>
    <w:rsid w:val="00F87D2C"/>
    <w:rsid w:val="00F9031D"/>
    <w:rsid w:val="00F90A0F"/>
    <w:rsid w:val="00F910F9"/>
    <w:rsid w:val="00F92592"/>
    <w:rsid w:val="00F92666"/>
    <w:rsid w:val="00F933FF"/>
    <w:rsid w:val="00F936EC"/>
    <w:rsid w:val="00F9387E"/>
    <w:rsid w:val="00F9388E"/>
    <w:rsid w:val="00F93F52"/>
    <w:rsid w:val="00F948CA"/>
    <w:rsid w:val="00F95287"/>
    <w:rsid w:val="00F957E0"/>
    <w:rsid w:val="00F95826"/>
    <w:rsid w:val="00F962A0"/>
    <w:rsid w:val="00F96B8D"/>
    <w:rsid w:val="00F96E46"/>
    <w:rsid w:val="00F9719B"/>
    <w:rsid w:val="00F9738B"/>
    <w:rsid w:val="00F97741"/>
    <w:rsid w:val="00F97A1B"/>
    <w:rsid w:val="00F97BDF"/>
    <w:rsid w:val="00FA03BA"/>
    <w:rsid w:val="00FA163C"/>
    <w:rsid w:val="00FA1AD3"/>
    <w:rsid w:val="00FA2D96"/>
    <w:rsid w:val="00FA3EBF"/>
    <w:rsid w:val="00FA404B"/>
    <w:rsid w:val="00FA4EF7"/>
    <w:rsid w:val="00FA5AC3"/>
    <w:rsid w:val="00FA5ACE"/>
    <w:rsid w:val="00FA6073"/>
    <w:rsid w:val="00FA6BC7"/>
    <w:rsid w:val="00FA6F1B"/>
    <w:rsid w:val="00FA7252"/>
    <w:rsid w:val="00FA74B3"/>
    <w:rsid w:val="00FB00FD"/>
    <w:rsid w:val="00FB04A8"/>
    <w:rsid w:val="00FB053C"/>
    <w:rsid w:val="00FB08DD"/>
    <w:rsid w:val="00FB1DD0"/>
    <w:rsid w:val="00FB1F1C"/>
    <w:rsid w:val="00FB260C"/>
    <w:rsid w:val="00FB2851"/>
    <w:rsid w:val="00FB2EAD"/>
    <w:rsid w:val="00FB3060"/>
    <w:rsid w:val="00FB3407"/>
    <w:rsid w:val="00FB39E2"/>
    <w:rsid w:val="00FB3CD0"/>
    <w:rsid w:val="00FB4687"/>
    <w:rsid w:val="00FB4D1E"/>
    <w:rsid w:val="00FB5206"/>
    <w:rsid w:val="00FB55FF"/>
    <w:rsid w:val="00FB5704"/>
    <w:rsid w:val="00FB5A6A"/>
    <w:rsid w:val="00FB5F6B"/>
    <w:rsid w:val="00FB5FFD"/>
    <w:rsid w:val="00FB663D"/>
    <w:rsid w:val="00FB7E5A"/>
    <w:rsid w:val="00FC0192"/>
    <w:rsid w:val="00FC0818"/>
    <w:rsid w:val="00FC083A"/>
    <w:rsid w:val="00FC0981"/>
    <w:rsid w:val="00FC0F67"/>
    <w:rsid w:val="00FC115A"/>
    <w:rsid w:val="00FC1781"/>
    <w:rsid w:val="00FC182F"/>
    <w:rsid w:val="00FC1FB1"/>
    <w:rsid w:val="00FC1FEC"/>
    <w:rsid w:val="00FC20CD"/>
    <w:rsid w:val="00FC3F89"/>
    <w:rsid w:val="00FC4234"/>
    <w:rsid w:val="00FC444B"/>
    <w:rsid w:val="00FC482A"/>
    <w:rsid w:val="00FC4DC8"/>
    <w:rsid w:val="00FC51A6"/>
    <w:rsid w:val="00FC53BE"/>
    <w:rsid w:val="00FC59D5"/>
    <w:rsid w:val="00FC5A11"/>
    <w:rsid w:val="00FC5BD9"/>
    <w:rsid w:val="00FC6694"/>
    <w:rsid w:val="00FC6CEB"/>
    <w:rsid w:val="00FC77E7"/>
    <w:rsid w:val="00FD0AA4"/>
    <w:rsid w:val="00FD0DB4"/>
    <w:rsid w:val="00FD0DF2"/>
    <w:rsid w:val="00FD107E"/>
    <w:rsid w:val="00FD18FC"/>
    <w:rsid w:val="00FD1C90"/>
    <w:rsid w:val="00FD251C"/>
    <w:rsid w:val="00FD2666"/>
    <w:rsid w:val="00FD2E23"/>
    <w:rsid w:val="00FD329B"/>
    <w:rsid w:val="00FD3553"/>
    <w:rsid w:val="00FD38B6"/>
    <w:rsid w:val="00FD5501"/>
    <w:rsid w:val="00FD5615"/>
    <w:rsid w:val="00FD57FE"/>
    <w:rsid w:val="00FD5835"/>
    <w:rsid w:val="00FD6EE2"/>
    <w:rsid w:val="00FD71C0"/>
    <w:rsid w:val="00FD7458"/>
    <w:rsid w:val="00FD74D4"/>
    <w:rsid w:val="00FD79A1"/>
    <w:rsid w:val="00FD7FD6"/>
    <w:rsid w:val="00FE040E"/>
    <w:rsid w:val="00FE0ECB"/>
    <w:rsid w:val="00FE390A"/>
    <w:rsid w:val="00FE3AE0"/>
    <w:rsid w:val="00FE3E8D"/>
    <w:rsid w:val="00FE3E91"/>
    <w:rsid w:val="00FE4171"/>
    <w:rsid w:val="00FE4E33"/>
    <w:rsid w:val="00FE59E6"/>
    <w:rsid w:val="00FE5C00"/>
    <w:rsid w:val="00FE62EC"/>
    <w:rsid w:val="00FE689B"/>
    <w:rsid w:val="00FE71FB"/>
    <w:rsid w:val="00FE74B6"/>
    <w:rsid w:val="00FE7BBE"/>
    <w:rsid w:val="00FF02E4"/>
    <w:rsid w:val="00FF0FDA"/>
    <w:rsid w:val="00FF1124"/>
    <w:rsid w:val="00FF130C"/>
    <w:rsid w:val="00FF132A"/>
    <w:rsid w:val="00FF1582"/>
    <w:rsid w:val="00FF1745"/>
    <w:rsid w:val="00FF187B"/>
    <w:rsid w:val="00FF2411"/>
    <w:rsid w:val="00FF26E8"/>
    <w:rsid w:val="00FF2A3D"/>
    <w:rsid w:val="00FF2D11"/>
    <w:rsid w:val="00FF2D4B"/>
    <w:rsid w:val="00FF39BA"/>
    <w:rsid w:val="00FF412C"/>
    <w:rsid w:val="00FF47B6"/>
    <w:rsid w:val="00FF4850"/>
    <w:rsid w:val="00FF5529"/>
    <w:rsid w:val="00FF5F3A"/>
    <w:rsid w:val="00FF6604"/>
    <w:rsid w:val="00FF6E1F"/>
    <w:rsid w:val="00FF7052"/>
    <w:rsid w:val="00FF75D9"/>
    <w:rsid w:val="00FF7B4D"/>
    <w:rsid w:val="00FF7CA3"/>
    <w:rsid w:val="03C1B5DC"/>
    <w:rsid w:val="03F41953"/>
    <w:rsid w:val="0471A183"/>
    <w:rsid w:val="063311E8"/>
    <w:rsid w:val="08340B88"/>
    <w:rsid w:val="08A2A49B"/>
    <w:rsid w:val="09BC4C4F"/>
    <w:rsid w:val="0B1D6838"/>
    <w:rsid w:val="0D2A9BE8"/>
    <w:rsid w:val="0D8DBFEF"/>
    <w:rsid w:val="0F8964B5"/>
    <w:rsid w:val="11155CBD"/>
    <w:rsid w:val="113C5876"/>
    <w:rsid w:val="12576310"/>
    <w:rsid w:val="12CE0CC6"/>
    <w:rsid w:val="13978ABB"/>
    <w:rsid w:val="14C4E703"/>
    <w:rsid w:val="16686A39"/>
    <w:rsid w:val="1732E14F"/>
    <w:rsid w:val="17BDB802"/>
    <w:rsid w:val="18049E9F"/>
    <w:rsid w:val="1939B43F"/>
    <w:rsid w:val="1ADB9DB6"/>
    <w:rsid w:val="1B6CB3E2"/>
    <w:rsid w:val="1D028610"/>
    <w:rsid w:val="1DF0059E"/>
    <w:rsid w:val="1E43FF03"/>
    <w:rsid w:val="1ED2CD95"/>
    <w:rsid w:val="1F1E85FB"/>
    <w:rsid w:val="20B720BA"/>
    <w:rsid w:val="20B723EA"/>
    <w:rsid w:val="220D0BE2"/>
    <w:rsid w:val="2235274B"/>
    <w:rsid w:val="232F8B4C"/>
    <w:rsid w:val="2539BCEC"/>
    <w:rsid w:val="26A412E1"/>
    <w:rsid w:val="2774ED78"/>
    <w:rsid w:val="28197CBD"/>
    <w:rsid w:val="2A40186D"/>
    <w:rsid w:val="2B1E68A1"/>
    <w:rsid w:val="2BE120A7"/>
    <w:rsid w:val="2C29687A"/>
    <w:rsid w:val="2C79DB7B"/>
    <w:rsid w:val="2E7757E9"/>
    <w:rsid w:val="2EEA71AC"/>
    <w:rsid w:val="2F465358"/>
    <w:rsid w:val="30D18E7C"/>
    <w:rsid w:val="30F54437"/>
    <w:rsid w:val="31896A37"/>
    <w:rsid w:val="31896C7C"/>
    <w:rsid w:val="31941552"/>
    <w:rsid w:val="31DA7468"/>
    <w:rsid w:val="335C9DAC"/>
    <w:rsid w:val="3361FADE"/>
    <w:rsid w:val="33AAA27C"/>
    <w:rsid w:val="33EFEF43"/>
    <w:rsid w:val="35CDF7EC"/>
    <w:rsid w:val="36226E14"/>
    <w:rsid w:val="363B7BA6"/>
    <w:rsid w:val="3763F113"/>
    <w:rsid w:val="38FFB7D2"/>
    <w:rsid w:val="396A2192"/>
    <w:rsid w:val="3B007DB4"/>
    <w:rsid w:val="3E11EEC7"/>
    <w:rsid w:val="4115E759"/>
    <w:rsid w:val="42DEAABC"/>
    <w:rsid w:val="439FD1E6"/>
    <w:rsid w:val="44CDAD0C"/>
    <w:rsid w:val="453E3D7C"/>
    <w:rsid w:val="4588850C"/>
    <w:rsid w:val="45D9FCDB"/>
    <w:rsid w:val="45FE2C0E"/>
    <w:rsid w:val="46573B67"/>
    <w:rsid w:val="48C5907D"/>
    <w:rsid w:val="4985AACA"/>
    <w:rsid w:val="4F22697C"/>
    <w:rsid w:val="528600E0"/>
    <w:rsid w:val="54622E76"/>
    <w:rsid w:val="55587D73"/>
    <w:rsid w:val="568E2FE4"/>
    <w:rsid w:val="56993F21"/>
    <w:rsid w:val="56C23345"/>
    <w:rsid w:val="571A8F9E"/>
    <w:rsid w:val="58D24E39"/>
    <w:rsid w:val="5971D66D"/>
    <w:rsid w:val="5B77A41A"/>
    <w:rsid w:val="5C505961"/>
    <w:rsid w:val="5D1BB11C"/>
    <w:rsid w:val="5DB96A82"/>
    <w:rsid w:val="5FAA8DBD"/>
    <w:rsid w:val="60040AA8"/>
    <w:rsid w:val="61E7494F"/>
    <w:rsid w:val="61F2B67A"/>
    <w:rsid w:val="64065D21"/>
    <w:rsid w:val="65C4376F"/>
    <w:rsid w:val="6681BD62"/>
    <w:rsid w:val="693A1BDA"/>
    <w:rsid w:val="6CD21B00"/>
    <w:rsid w:val="6D50DF6D"/>
    <w:rsid w:val="6D6C9F19"/>
    <w:rsid w:val="6DBD7067"/>
    <w:rsid w:val="70DFD9B0"/>
    <w:rsid w:val="71410289"/>
    <w:rsid w:val="73522FC5"/>
    <w:rsid w:val="7379A144"/>
    <w:rsid w:val="7587E505"/>
    <w:rsid w:val="759CF5C4"/>
    <w:rsid w:val="79137E05"/>
    <w:rsid w:val="79C65592"/>
    <w:rsid w:val="79FE456D"/>
    <w:rsid w:val="7A4AE88F"/>
    <w:rsid w:val="7A517B2A"/>
    <w:rsid w:val="7ACF4952"/>
    <w:rsid w:val="7B59324D"/>
    <w:rsid w:val="7BE8F204"/>
    <w:rsid w:val="7C1995BC"/>
    <w:rsid w:val="7C5BB657"/>
    <w:rsid w:val="7D3075D3"/>
    <w:rsid w:val="7D724E1F"/>
    <w:rsid w:val="7DB189E1"/>
    <w:rsid w:val="7EC2BC0C"/>
    <w:rsid w:val="7F9F48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F4ABFC"/>
  <w15:docId w15:val="{C231DD76-4627-44B4-AAA4-87B4A02F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F4C"/>
    <w:pPr>
      <w:jc w:val="both"/>
    </w:pPr>
    <w:rPr>
      <w:rFonts w:asciiTheme="minorHAnsi" w:hAnsiTheme="minorHAnsi"/>
      <w:sz w:val="18"/>
    </w:rPr>
  </w:style>
  <w:style w:type="paragraph" w:styleId="Heading1">
    <w:name w:val="heading 1"/>
    <w:basedOn w:val="Normal"/>
    <w:next w:val="BodyText"/>
    <w:link w:val="Heading1Char"/>
    <w:qFormat/>
    <w:rsid w:val="007D6284"/>
    <w:pPr>
      <w:keepNext/>
      <w:spacing w:before="120" w:after="120" w:line="288" w:lineRule="auto"/>
      <w:outlineLvl w:val="0"/>
    </w:pPr>
    <w:rPr>
      <w:rFonts w:cs="Arial"/>
      <w:b/>
      <w:caps/>
    </w:rPr>
  </w:style>
  <w:style w:type="paragraph" w:styleId="Heading2">
    <w:name w:val="heading 2"/>
    <w:basedOn w:val="Normal"/>
    <w:next w:val="Normal"/>
    <w:qFormat/>
    <w:rsid w:val="006406E8"/>
    <w:pPr>
      <w:keepNext/>
      <w:outlineLvl w:val="1"/>
    </w:pPr>
    <w:rPr>
      <w:b/>
      <w:sz w:val="36"/>
    </w:rPr>
  </w:style>
  <w:style w:type="paragraph" w:styleId="Heading3">
    <w:name w:val="heading 3"/>
    <w:basedOn w:val="Normal"/>
    <w:next w:val="Normal"/>
    <w:qFormat/>
    <w:rsid w:val="006406E8"/>
    <w:pPr>
      <w:keepNext/>
      <w:outlineLvl w:val="2"/>
    </w:pPr>
    <w:rPr>
      <w:sz w:val="24"/>
    </w:rPr>
  </w:style>
  <w:style w:type="paragraph" w:styleId="Heading4">
    <w:name w:val="heading 4"/>
    <w:basedOn w:val="Normal"/>
    <w:next w:val="Normal"/>
    <w:qFormat/>
    <w:rsid w:val="006406E8"/>
    <w:pPr>
      <w:keepNext/>
      <w:outlineLvl w:val="3"/>
    </w:pPr>
    <w:rPr>
      <w:b/>
      <w:bCs/>
      <w:sz w:val="24"/>
      <w:u w:val="single"/>
    </w:rPr>
  </w:style>
  <w:style w:type="paragraph" w:styleId="Heading5">
    <w:name w:val="heading 5"/>
    <w:basedOn w:val="Normal"/>
    <w:next w:val="Normal"/>
    <w:qFormat/>
    <w:rsid w:val="006406E8"/>
    <w:pPr>
      <w:keepNext/>
      <w:tabs>
        <w:tab w:val="left" w:pos="6379"/>
        <w:tab w:val="left" w:pos="6804"/>
      </w:tabs>
      <w:outlineLvl w:val="4"/>
    </w:pPr>
    <w:rPr>
      <w:i/>
    </w:rPr>
  </w:style>
  <w:style w:type="paragraph" w:styleId="Heading6">
    <w:name w:val="heading 6"/>
    <w:basedOn w:val="Normal"/>
    <w:next w:val="Normal"/>
    <w:qFormat/>
    <w:rsid w:val="006406E8"/>
    <w:pPr>
      <w:keepNext/>
      <w:outlineLvl w:val="5"/>
    </w:pPr>
    <w:rPr>
      <w:sz w:val="24"/>
      <w:u w:val="single"/>
    </w:rPr>
  </w:style>
  <w:style w:type="paragraph" w:styleId="Heading7">
    <w:name w:val="heading 7"/>
    <w:basedOn w:val="Normal"/>
    <w:next w:val="Normal"/>
    <w:qFormat/>
    <w:rsid w:val="006406E8"/>
    <w:pPr>
      <w:keepNext/>
      <w:outlineLvl w:val="6"/>
    </w:pPr>
    <w:rPr>
      <w:sz w:val="24"/>
    </w:rPr>
  </w:style>
  <w:style w:type="paragraph" w:styleId="Heading8">
    <w:name w:val="heading 8"/>
    <w:basedOn w:val="Normal"/>
    <w:next w:val="Normal"/>
    <w:qFormat/>
    <w:rsid w:val="006406E8"/>
    <w:pPr>
      <w:keepNext/>
      <w:outlineLvl w:val="7"/>
    </w:pPr>
    <w:rPr>
      <w:i/>
      <w:iCs/>
      <w:sz w:val="24"/>
    </w:rPr>
  </w:style>
  <w:style w:type="paragraph" w:styleId="Heading9">
    <w:name w:val="heading 9"/>
    <w:basedOn w:val="Normal"/>
    <w:next w:val="Normal"/>
    <w:qFormat/>
    <w:rsid w:val="006406E8"/>
    <w:pPr>
      <w:keepNext/>
      <w:spacing w:before="60"/>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1F4C"/>
    <w:pPr>
      <w:spacing w:before="120" w:after="120" w:line="288" w:lineRule="auto"/>
    </w:pPr>
    <w:rPr>
      <w:rFonts w:cs="Arial"/>
    </w:rPr>
  </w:style>
  <w:style w:type="paragraph" w:styleId="Title">
    <w:name w:val="Title"/>
    <w:basedOn w:val="Normal"/>
    <w:qFormat/>
    <w:rsid w:val="006406E8"/>
    <w:pPr>
      <w:jc w:val="center"/>
    </w:pPr>
    <w:rPr>
      <w:b/>
      <w:sz w:val="24"/>
      <w:u w:val="single"/>
    </w:rPr>
  </w:style>
  <w:style w:type="paragraph" w:customStyle="1" w:styleId="Corpsdetexte21">
    <w:name w:val="Corps de texte 21"/>
    <w:basedOn w:val="Normal"/>
    <w:rsid w:val="006406E8"/>
    <w:pPr>
      <w:ind w:left="360"/>
    </w:pPr>
    <w:rPr>
      <w:sz w:val="24"/>
    </w:rPr>
  </w:style>
  <w:style w:type="paragraph" w:customStyle="1" w:styleId="Retraitcorpsdetexte21">
    <w:name w:val="Retrait corps de texte 21"/>
    <w:basedOn w:val="Normal"/>
    <w:rsid w:val="006406E8"/>
    <w:pPr>
      <w:spacing w:before="120"/>
      <w:ind w:left="357"/>
    </w:pPr>
    <w:rPr>
      <w:sz w:val="24"/>
    </w:rPr>
  </w:style>
  <w:style w:type="paragraph" w:styleId="DocumentMap">
    <w:name w:val="Document Map"/>
    <w:basedOn w:val="Normal"/>
    <w:semiHidden/>
    <w:rsid w:val="006406E8"/>
    <w:pPr>
      <w:shd w:val="clear" w:color="auto" w:fill="000080"/>
    </w:pPr>
    <w:rPr>
      <w:rFonts w:ascii="Tahoma" w:hAnsi="Tahoma"/>
    </w:rPr>
  </w:style>
  <w:style w:type="paragraph" w:styleId="BodyText2">
    <w:name w:val="Body Text 2"/>
    <w:basedOn w:val="Normal"/>
    <w:link w:val="BodyText2Char"/>
    <w:rsid w:val="006406E8"/>
    <w:rPr>
      <w:sz w:val="24"/>
    </w:rPr>
  </w:style>
  <w:style w:type="character" w:customStyle="1" w:styleId="BodyText2Char">
    <w:name w:val="Body Text 2 Char"/>
    <w:link w:val="BodyText2"/>
    <w:rsid w:val="00667DA3"/>
    <w:rPr>
      <w:sz w:val="24"/>
    </w:rPr>
  </w:style>
  <w:style w:type="paragraph" w:styleId="BodyText3">
    <w:name w:val="Body Text 3"/>
    <w:basedOn w:val="Normal"/>
    <w:rsid w:val="006406E8"/>
    <w:pPr>
      <w:ind w:right="-567"/>
    </w:pPr>
    <w:rPr>
      <w:sz w:val="24"/>
    </w:rPr>
  </w:style>
  <w:style w:type="paragraph" w:styleId="BodyTextIndent">
    <w:name w:val="Body Text Indent"/>
    <w:basedOn w:val="Normal"/>
    <w:rsid w:val="006406E8"/>
    <w:pPr>
      <w:ind w:left="1416"/>
    </w:pPr>
    <w:rPr>
      <w:sz w:val="24"/>
    </w:rPr>
  </w:style>
  <w:style w:type="paragraph" w:styleId="BodyTextIndent2">
    <w:name w:val="Body Text Indent 2"/>
    <w:basedOn w:val="Normal"/>
    <w:rsid w:val="006406E8"/>
    <w:pPr>
      <w:ind w:left="360"/>
    </w:pPr>
    <w:rPr>
      <w:sz w:val="24"/>
    </w:rPr>
  </w:style>
  <w:style w:type="paragraph" w:styleId="BlockText">
    <w:name w:val="Block Text"/>
    <w:basedOn w:val="Normal"/>
    <w:rsid w:val="006406E8"/>
    <w:pPr>
      <w:ind w:left="1140" w:right="142"/>
    </w:pPr>
    <w:rPr>
      <w:sz w:val="24"/>
    </w:rPr>
  </w:style>
  <w:style w:type="paragraph" w:styleId="Footer">
    <w:name w:val="footer"/>
    <w:basedOn w:val="Normal"/>
    <w:link w:val="FooterChar"/>
    <w:uiPriority w:val="99"/>
    <w:rsid w:val="006406E8"/>
    <w:pPr>
      <w:tabs>
        <w:tab w:val="center" w:pos="4536"/>
        <w:tab w:val="right" w:pos="9072"/>
      </w:tabs>
    </w:pPr>
  </w:style>
  <w:style w:type="character" w:customStyle="1" w:styleId="FooterChar">
    <w:name w:val="Footer Char"/>
    <w:basedOn w:val="DefaultParagraphFont"/>
    <w:link w:val="Footer"/>
    <w:uiPriority w:val="99"/>
    <w:rsid w:val="00914476"/>
  </w:style>
  <w:style w:type="character" w:styleId="PageNumber">
    <w:name w:val="page number"/>
    <w:basedOn w:val="DefaultParagraphFont"/>
    <w:rsid w:val="006406E8"/>
  </w:style>
  <w:style w:type="paragraph" w:styleId="BodyTextIndent3">
    <w:name w:val="Body Text Indent 3"/>
    <w:basedOn w:val="Normal"/>
    <w:rsid w:val="006406E8"/>
    <w:pPr>
      <w:ind w:left="567"/>
    </w:pPr>
    <w:rPr>
      <w:sz w:val="24"/>
    </w:rPr>
  </w:style>
  <w:style w:type="paragraph" w:styleId="FootnoteText">
    <w:name w:val="footnote text"/>
    <w:basedOn w:val="Normal"/>
    <w:link w:val="FootnoteTextChar"/>
    <w:uiPriority w:val="99"/>
    <w:rsid w:val="009B78EA"/>
    <w:rPr>
      <w:sz w:val="14"/>
      <w:szCs w:val="14"/>
    </w:rPr>
  </w:style>
  <w:style w:type="character" w:customStyle="1" w:styleId="FootnoteTextChar">
    <w:name w:val="Footnote Text Char"/>
    <w:basedOn w:val="DefaultParagraphFont"/>
    <w:link w:val="FootnoteText"/>
    <w:uiPriority w:val="99"/>
    <w:rsid w:val="009B78EA"/>
    <w:rPr>
      <w:rFonts w:asciiTheme="minorHAnsi" w:hAnsiTheme="minorHAnsi"/>
      <w:sz w:val="14"/>
      <w:szCs w:val="14"/>
    </w:rPr>
  </w:style>
  <w:style w:type="character" w:styleId="FootnoteReference">
    <w:name w:val="footnote reference"/>
    <w:uiPriority w:val="99"/>
    <w:semiHidden/>
    <w:rsid w:val="006406E8"/>
    <w:rPr>
      <w:vertAlign w:val="superscript"/>
    </w:rPr>
  </w:style>
  <w:style w:type="paragraph" w:styleId="Header">
    <w:name w:val="header"/>
    <w:basedOn w:val="Normal"/>
    <w:rsid w:val="006406E8"/>
    <w:pPr>
      <w:tabs>
        <w:tab w:val="center" w:pos="4536"/>
        <w:tab w:val="right" w:pos="9072"/>
      </w:tabs>
    </w:pPr>
  </w:style>
  <w:style w:type="paragraph" w:styleId="BalloonText">
    <w:name w:val="Balloon Text"/>
    <w:basedOn w:val="Normal"/>
    <w:semiHidden/>
    <w:rsid w:val="006406E8"/>
    <w:rPr>
      <w:rFonts w:ascii="Tahoma" w:hAnsi="Tahoma" w:cs="Tahoma"/>
      <w:sz w:val="16"/>
      <w:szCs w:val="16"/>
    </w:rPr>
  </w:style>
  <w:style w:type="paragraph" w:styleId="ListParagraph">
    <w:name w:val="List Paragraph"/>
    <w:basedOn w:val="Normal"/>
    <w:uiPriority w:val="34"/>
    <w:qFormat/>
    <w:rsid w:val="00A631C3"/>
    <w:pPr>
      <w:ind w:left="567"/>
    </w:pPr>
  </w:style>
  <w:style w:type="character" w:styleId="Hyperlink">
    <w:name w:val="Hyperlink"/>
    <w:rsid w:val="000266E7"/>
    <w:rPr>
      <w:color w:val="0000FF"/>
      <w:u w:val="single"/>
    </w:rPr>
  </w:style>
  <w:style w:type="character" w:styleId="FollowedHyperlink">
    <w:name w:val="FollowedHyperlink"/>
    <w:rsid w:val="000266E7"/>
    <w:rPr>
      <w:color w:val="800080"/>
      <w:u w:val="single"/>
    </w:rPr>
  </w:style>
  <w:style w:type="character" w:styleId="CommentReference">
    <w:name w:val="annotation reference"/>
    <w:rsid w:val="003869B3"/>
    <w:rPr>
      <w:sz w:val="16"/>
      <w:szCs w:val="16"/>
    </w:rPr>
  </w:style>
  <w:style w:type="paragraph" w:styleId="CommentText">
    <w:name w:val="annotation text"/>
    <w:basedOn w:val="Normal"/>
    <w:link w:val="CommentTextChar"/>
    <w:rsid w:val="003869B3"/>
  </w:style>
  <w:style w:type="character" w:customStyle="1" w:styleId="CommentTextChar">
    <w:name w:val="Comment Text Char"/>
    <w:basedOn w:val="DefaultParagraphFont"/>
    <w:link w:val="CommentText"/>
    <w:rsid w:val="003869B3"/>
  </w:style>
  <w:style w:type="paragraph" w:styleId="CommentSubject">
    <w:name w:val="annotation subject"/>
    <w:basedOn w:val="CommentText"/>
    <w:next w:val="CommentText"/>
    <w:link w:val="CommentSubjectChar"/>
    <w:rsid w:val="003869B3"/>
    <w:rPr>
      <w:b/>
      <w:bCs/>
    </w:rPr>
  </w:style>
  <w:style w:type="character" w:customStyle="1" w:styleId="CommentSubjectChar">
    <w:name w:val="Comment Subject Char"/>
    <w:link w:val="CommentSubject"/>
    <w:rsid w:val="003869B3"/>
    <w:rPr>
      <w:b/>
      <w:bCs/>
    </w:rPr>
  </w:style>
  <w:style w:type="table" w:styleId="TableGrid">
    <w:name w:val="Table Grid"/>
    <w:basedOn w:val="TableNormal"/>
    <w:rsid w:val="00CD63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914476"/>
  </w:style>
  <w:style w:type="character" w:customStyle="1" w:styleId="EndnoteTextChar">
    <w:name w:val="Endnote Text Char"/>
    <w:basedOn w:val="DefaultParagraphFont"/>
    <w:link w:val="EndnoteText"/>
    <w:rsid w:val="00914476"/>
  </w:style>
  <w:style w:type="character" w:styleId="EndnoteReference">
    <w:name w:val="endnote reference"/>
    <w:rsid w:val="00914476"/>
    <w:rPr>
      <w:vertAlign w:val="superscript"/>
    </w:rPr>
  </w:style>
  <w:style w:type="character" w:customStyle="1" w:styleId="apple-converted-space">
    <w:name w:val="apple-converted-space"/>
    <w:basedOn w:val="DefaultParagraphFont"/>
    <w:rsid w:val="00264F0A"/>
  </w:style>
  <w:style w:type="paragraph" w:customStyle="1" w:styleId="Default">
    <w:name w:val="Default"/>
    <w:rsid w:val="009D245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4A0720"/>
    <w:pPr>
      <w:widowControl w:val="0"/>
    </w:pPr>
    <w:rPr>
      <w:rFonts w:eastAsiaTheme="minorHAnsi" w:cstheme="minorBidi"/>
      <w:sz w:val="22"/>
      <w:szCs w:val="22"/>
      <w:lang w:eastAsia="en-US"/>
    </w:rPr>
  </w:style>
  <w:style w:type="table" w:styleId="LightShading-Accent1">
    <w:name w:val="Light Shading Accent 1"/>
    <w:basedOn w:val="TableNormal"/>
    <w:uiPriority w:val="60"/>
    <w:rsid w:val="00365AA1"/>
    <w:rPr>
      <w:color w:val="005381" w:themeColor="accent1" w:themeShade="BF"/>
    </w:rPr>
    <w:tblPr>
      <w:tblStyleRowBandSize w:val="1"/>
      <w:tblStyleColBandSize w:val="1"/>
      <w:tblBorders>
        <w:top w:val="single" w:sz="8" w:space="0" w:color="0070AD" w:themeColor="accent1"/>
        <w:bottom w:val="single" w:sz="8" w:space="0" w:color="0070AD" w:themeColor="accent1"/>
      </w:tblBorders>
    </w:tblPr>
    <w:tblStylePr w:type="firstRow">
      <w:pPr>
        <w:spacing w:before="0" w:after="0" w:line="240" w:lineRule="auto"/>
      </w:pPr>
      <w:rPr>
        <w:b/>
        <w:bCs/>
      </w:rPr>
      <w:tblPr/>
      <w:tcPr>
        <w:tcBorders>
          <w:top w:val="single" w:sz="8" w:space="0" w:color="0070AD" w:themeColor="accent1"/>
          <w:left w:val="nil"/>
          <w:bottom w:val="single" w:sz="8" w:space="0" w:color="0070AD" w:themeColor="accent1"/>
          <w:right w:val="nil"/>
          <w:insideH w:val="nil"/>
          <w:insideV w:val="nil"/>
        </w:tcBorders>
      </w:tcPr>
    </w:tblStylePr>
    <w:tblStylePr w:type="lastRow">
      <w:pPr>
        <w:spacing w:before="0" w:after="0" w:line="240" w:lineRule="auto"/>
      </w:pPr>
      <w:rPr>
        <w:b/>
        <w:bCs/>
      </w:rPr>
      <w:tblPr/>
      <w:tcPr>
        <w:tcBorders>
          <w:top w:val="single" w:sz="8" w:space="0" w:color="0070AD" w:themeColor="accent1"/>
          <w:left w:val="nil"/>
          <w:bottom w:val="single" w:sz="8" w:space="0" w:color="0070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1FF" w:themeFill="accent1" w:themeFillTint="3F"/>
      </w:tcPr>
    </w:tblStylePr>
    <w:tblStylePr w:type="band1Horz">
      <w:tblPr/>
      <w:tcPr>
        <w:tcBorders>
          <w:left w:val="nil"/>
          <w:right w:val="nil"/>
          <w:insideH w:val="nil"/>
          <w:insideV w:val="nil"/>
        </w:tcBorders>
        <w:shd w:val="clear" w:color="auto" w:fill="ABE1FF" w:themeFill="accent1" w:themeFillTint="3F"/>
      </w:tcPr>
    </w:tblStylePr>
  </w:style>
  <w:style w:type="paragraph" w:styleId="Revision">
    <w:name w:val="Revision"/>
    <w:hidden/>
    <w:uiPriority w:val="99"/>
    <w:semiHidden/>
    <w:rsid w:val="009614E1"/>
  </w:style>
  <w:style w:type="paragraph" w:customStyle="1" w:styleId="section">
    <w:name w:val="section"/>
    <w:basedOn w:val="Normal"/>
    <w:link w:val="sectionChar"/>
    <w:qFormat/>
    <w:rsid w:val="00CD0E6A"/>
    <w:pPr>
      <w:keepNext/>
      <w:spacing w:before="360" w:after="120" w:line="288" w:lineRule="auto"/>
    </w:pPr>
    <w:rPr>
      <w:rFonts w:ascii="Arial" w:hAnsi="Arial" w:cs="Arial"/>
      <w:b/>
    </w:rPr>
  </w:style>
  <w:style w:type="character" w:customStyle="1" w:styleId="sectionChar">
    <w:name w:val="section Char"/>
    <w:basedOn w:val="DefaultParagraphFont"/>
    <w:link w:val="section"/>
    <w:rsid w:val="00CD0E6A"/>
    <w:rPr>
      <w:rFonts w:ascii="Arial" w:hAnsi="Arial" w:cs="Arial"/>
      <w:b/>
    </w:rPr>
  </w:style>
  <w:style w:type="character" w:customStyle="1" w:styleId="Style">
    <w:name w:val="Style"/>
    <w:basedOn w:val="FootnoteReference"/>
    <w:rsid w:val="009B78EA"/>
    <w:rPr>
      <w:rFonts w:asciiTheme="minorHAnsi" w:hAnsiTheme="minorHAnsi"/>
      <w:b w:val="0"/>
      <w:bCs/>
      <w:sz w:val="18"/>
      <w:vertAlign w:val="superscript"/>
    </w:rPr>
  </w:style>
  <w:style w:type="paragraph" w:customStyle="1" w:styleId="ChapitrePR">
    <w:name w:val="Chapitre PR"/>
    <w:basedOn w:val="Normal"/>
    <w:link w:val="ChapitrePRChar"/>
    <w:qFormat/>
    <w:rsid w:val="00C91770"/>
    <w:pPr>
      <w:keepNext/>
      <w:spacing w:before="120" w:after="120"/>
    </w:pPr>
    <w:rPr>
      <w:rFonts w:ascii="Arial" w:hAnsi="Arial" w:cs="Arial"/>
      <w:b/>
      <w:sz w:val="20"/>
    </w:rPr>
  </w:style>
  <w:style w:type="character" w:customStyle="1" w:styleId="ChapitrePRChar">
    <w:name w:val="Chapitre PR Char"/>
    <w:basedOn w:val="DefaultParagraphFont"/>
    <w:link w:val="ChapitrePR"/>
    <w:rsid w:val="00C91770"/>
    <w:rPr>
      <w:rFonts w:ascii="Arial" w:hAnsi="Arial" w:cs="Arial"/>
      <w:b/>
    </w:rPr>
  </w:style>
  <w:style w:type="character" w:customStyle="1" w:styleId="UnresolvedMention1">
    <w:name w:val="Unresolved Mention1"/>
    <w:basedOn w:val="DefaultParagraphFont"/>
    <w:uiPriority w:val="99"/>
    <w:semiHidden/>
    <w:unhideWhenUsed/>
    <w:rsid w:val="009B4DE9"/>
    <w:rPr>
      <w:color w:val="808080"/>
      <w:shd w:val="clear" w:color="auto" w:fill="E6E6E6"/>
    </w:rPr>
  </w:style>
  <w:style w:type="paragraph" w:customStyle="1" w:styleId="AnnexePR">
    <w:name w:val="Annexe PR"/>
    <w:basedOn w:val="Normal"/>
    <w:link w:val="AnnexePRChar"/>
    <w:qFormat/>
    <w:rsid w:val="003E11DB"/>
    <w:pPr>
      <w:spacing w:before="120" w:after="120"/>
    </w:pPr>
    <w:rPr>
      <w:rFonts w:ascii="Arial" w:hAnsi="Arial" w:cs="Arial"/>
      <w:b/>
    </w:rPr>
  </w:style>
  <w:style w:type="character" w:customStyle="1" w:styleId="AnnexePRChar">
    <w:name w:val="Annexe PR Char"/>
    <w:basedOn w:val="DefaultParagraphFont"/>
    <w:link w:val="AnnexePR"/>
    <w:rsid w:val="003E11DB"/>
    <w:rPr>
      <w:rFonts w:ascii="Arial" w:hAnsi="Arial" w:cs="Arial"/>
      <w:b/>
      <w:sz w:val="18"/>
    </w:rPr>
  </w:style>
  <w:style w:type="character" w:customStyle="1" w:styleId="Heading1Char">
    <w:name w:val="Heading 1 Char"/>
    <w:basedOn w:val="DefaultParagraphFont"/>
    <w:link w:val="Heading1"/>
    <w:rsid w:val="00770F9D"/>
    <w:rPr>
      <w:rFonts w:asciiTheme="minorHAnsi" w:hAnsiTheme="minorHAnsi" w:cs="Arial"/>
      <w:b/>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5383">
      <w:bodyDiv w:val="1"/>
      <w:marLeft w:val="0"/>
      <w:marRight w:val="0"/>
      <w:marTop w:val="0"/>
      <w:marBottom w:val="0"/>
      <w:divBdr>
        <w:top w:val="none" w:sz="0" w:space="0" w:color="auto"/>
        <w:left w:val="none" w:sz="0" w:space="0" w:color="auto"/>
        <w:bottom w:val="none" w:sz="0" w:space="0" w:color="auto"/>
        <w:right w:val="none" w:sz="0" w:space="0" w:color="auto"/>
      </w:divBdr>
    </w:div>
    <w:div w:id="116607035">
      <w:bodyDiv w:val="1"/>
      <w:marLeft w:val="0"/>
      <w:marRight w:val="0"/>
      <w:marTop w:val="0"/>
      <w:marBottom w:val="0"/>
      <w:divBdr>
        <w:top w:val="none" w:sz="0" w:space="0" w:color="auto"/>
        <w:left w:val="none" w:sz="0" w:space="0" w:color="auto"/>
        <w:bottom w:val="none" w:sz="0" w:space="0" w:color="auto"/>
        <w:right w:val="none" w:sz="0" w:space="0" w:color="auto"/>
      </w:divBdr>
    </w:div>
    <w:div w:id="127431030">
      <w:bodyDiv w:val="1"/>
      <w:marLeft w:val="0"/>
      <w:marRight w:val="0"/>
      <w:marTop w:val="0"/>
      <w:marBottom w:val="0"/>
      <w:divBdr>
        <w:top w:val="none" w:sz="0" w:space="0" w:color="auto"/>
        <w:left w:val="none" w:sz="0" w:space="0" w:color="auto"/>
        <w:bottom w:val="none" w:sz="0" w:space="0" w:color="auto"/>
        <w:right w:val="none" w:sz="0" w:space="0" w:color="auto"/>
      </w:divBdr>
    </w:div>
    <w:div w:id="145586774">
      <w:bodyDiv w:val="1"/>
      <w:marLeft w:val="0"/>
      <w:marRight w:val="0"/>
      <w:marTop w:val="0"/>
      <w:marBottom w:val="0"/>
      <w:divBdr>
        <w:top w:val="none" w:sz="0" w:space="0" w:color="auto"/>
        <w:left w:val="none" w:sz="0" w:space="0" w:color="auto"/>
        <w:bottom w:val="none" w:sz="0" w:space="0" w:color="auto"/>
        <w:right w:val="none" w:sz="0" w:space="0" w:color="auto"/>
      </w:divBdr>
    </w:div>
    <w:div w:id="225144753">
      <w:bodyDiv w:val="1"/>
      <w:marLeft w:val="0"/>
      <w:marRight w:val="0"/>
      <w:marTop w:val="0"/>
      <w:marBottom w:val="0"/>
      <w:divBdr>
        <w:top w:val="none" w:sz="0" w:space="0" w:color="auto"/>
        <w:left w:val="none" w:sz="0" w:space="0" w:color="auto"/>
        <w:bottom w:val="none" w:sz="0" w:space="0" w:color="auto"/>
        <w:right w:val="none" w:sz="0" w:space="0" w:color="auto"/>
      </w:divBdr>
    </w:div>
    <w:div w:id="239952436">
      <w:bodyDiv w:val="1"/>
      <w:marLeft w:val="0"/>
      <w:marRight w:val="0"/>
      <w:marTop w:val="0"/>
      <w:marBottom w:val="0"/>
      <w:divBdr>
        <w:top w:val="none" w:sz="0" w:space="0" w:color="auto"/>
        <w:left w:val="none" w:sz="0" w:space="0" w:color="auto"/>
        <w:bottom w:val="none" w:sz="0" w:space="0" w:color="auto"/>
        <w:right w:val="none" w:sz="0" w:space="0" w:color="auto"/>
      </w:divBdr>
    </w:div>
    <w:div w:id="264580570">
      <w:bodyDiv w:val="1"/>
      <w:marLeft w:val="0"/>
      <w:marRight w:val="0"/>
      <w:marTop w:val="0"/>
      <w:marBottom w:val="0"/>
      <w:divBdr>
        <w:top w:val="none" w:sz="0" w:space="0" w:color="auto"/>
        <w:left w:val="none" w:sz="0" w:space="0" w:color="auto"/>
        <w:bottom w:val="none" w:sz="0" w:space="0" w:color="auto"/>
        <w:right w:val="none" w:sz="0" w:space="0" w:color="auto"/>
      </w:divBdr>
    </w:div>
    <w:div w:id="443498099">
      <w:bodyDiv w:val="1"/>
      <w:marLeft w:val="0"/>
      <w:marRight w:val="0"/>
      <w:marTop w:val="0"/>
      <w:marBottom w:val="0"/>
      <w:divBdr>
        <w:top w:val="none" w:sz="0" w:space="0" w:color="auto"/>
        <w:left w:val="none" w:sz="0" w:space="0" w:color="auto"/>
        <w:bottom w:val="none" w:sz="0" w:space="0" w:color="auto"/>
        <w:right w:val="none" w:sz="0" w:space="0" w:color="auto"/>
      </w:divBdr>
    </w:div>
    <w:div w:id="460617359">
      <w:bodyDiv w:val="1"/>
      <w:marLeft w:val="0"/>
      <w:marRight w:val="0"/>
      <w:marTop w:val="0"/>
      <w:marBottom w:val="0"/>
      <w:divBdr>
        <w:top w:val="none" w:sz="0" w:space="0" w:color="auto"/>
        <w:left w:val="none" w:sz="0" w:space="0" w:color="auto"/>
        <w:bottom w:val="none" w:sz="0" w:space="0" w:color="auto"/>
        <w:right w:val="none" w:sz="0" w:space="0" w:color="auto"/>
      </w:divBdr>
    </w:div>
    <w:div w:id="542644184">
      <w:bodyDiv w:val="1"/>
      <w:marLeft w:val="0"/>
      <w:marRight w:val="0"/>
      <w:marTop w:val="0"/>
      <w:marBottom w:val="0"/>
      <w:divBdr>
        <w:top w:val="none" w:sz="0" w:space="0" w:color="auto"/>
        <w:left w:val="none" w:sz="0" w:space="0" w:color="auto"/>
        <w:bottom w:val="none" w:sz="0" w:space="0" w:color="auto"/>
        <w:right w:val="none" w:sz="0" w:space="0" w:color="auto"/>
      </w:divBdr>
    </w:div>
    <w:div w:id="560487218">
      <w:bodyDiv w:val="1"/>
      <w:marLeft w:val="0"/>
      <w:marRight w:val="0"/>
      <w:marTop w:val="0"/>
      <w:marBottom w:val="0"/>
      <w:divBdr>
        <w:top w:val="none" w:sz="0" w:space="0" w:color="auto"/>
        <w:left w:val="none" w:sz="0" w:space="0" w:color="auto"/>
        <w:bottom w:val="none" w:sz="0" w:space="0" w:color="auto"/>
        <w:right w:val="none" w:sz="0" w:space="0" w:color="auto"/>
      </w:divBdr>
    </w:div>
    <w:div w:id="666903068">
      <w:bodyDiv w:val="1"/>
      <w:marLeft w:val="0"/>
      <w:marRight w:val="0"/>
      <w:marTop w:val="0"/>
      <w:marBottom w:val="0"/>
      <w:divBdr>
        <w:top w:val="none" w:sz="0" w:space="0" w:color="auto"/>
        <w:left w:val="none" w:sz="0" w:space="0" w:color="auto"/>
        <w:bottom w:val="none" w:sz="0" w:space="0" w:color="auto"/>
        <w:right w:val="none" w:sz="0" w:space="0" w:color="auto"/>
      </w:divBdr>
    </w:div>
    <w:div w:id="725448705">
      <w:bodyDiv w:val="1"/>
      <w:marLeft w:val="0"/>
      <w:marRight w:val="0"/>
      <w:marTop w:val="0"/>
      <w:marBottom w:val="0"/>
      <w:divBdr>
        <w:top w:val="none" w:sz="0" w:space="0" w:color="auto"/>
        <w:left w:val="none" w:sz="0" w:space="0" w:color="auto"/>
        <w:bottom w:val="none" w:sz="0" w:space="0" w:color="auto"/>
        <w:right w:val="none" w:sz="0" w:space="0" w:color="auto"/>
      </w:divBdr>
    </w:div>
    <w:div w:id="757100603">
      <w:bodyDiv w:val="1"/>
      <w:marLeft w:val="0"/>
      <w:marRight w:val="0"/>
      <w:marTop w:val="0"/>
      <w:marBottom w:val="0"/>
      <w:divBdr>
        <w:top w:val="none" w:sz="0" w:space="0" w:color="auto"/>
        <w:left w:val="none" w:sz="0" w:space="0" w:color="auto"/>
        <w:bottom w:val="none" w:sz="0" w:space="0" w:color="auto"/>
        <w:right w:val="none" w:sz="0" w:space="0" w:color="auto"/>
      </w:divBdr>
    </w:div>
    <w:div w:id="808330190">
      <w:bodyDiv w:val="1"/>
      <w:marLeft w:val="0"/>
      <w:marRight w:val="0"/>
      <w:marTop w:val="0"/>
      <w:marBottom w:val="0"/>
      <w:divBdr>
        <w:top w:val="none" w:sz="0" w:space="0" w:color="auto"/>
        <w:left w:val="none" w:sz="0" w:space="0" w:color="auto"/>
        <w:bottom w:val="none" w:sz="0" w:space="0" w:color="auto"/>
        <w:right w:val="none" w:sz="0" w:space="0" w:color="auto"/>
      </w:divBdr>
    </w:div>
    <w:div w:id="927157205">
      <w:bodyDiv w:val="1"/>
      <w:marLeft w:val="0"/>
      <w:marRight w:val="0"/>
      <w:marTop w:val="0"/>
      <w:marBottom w:val="0"/>
      <w:divBdr>
        <w:top w:val="none" w:sz="0" w:space="0" w:color="auto"/>
        <w:left w:val="none" w:sz="0" w:space="0" w:color="auto"/>
        <w:bottom w:val="none" w:sz="0" w:space="0" w:color="auto"/>
        <w:right w:val="none" w:sz="0" w:space="0" w:color="auto"/>
      </w:divBdr>
    </w:div>
    <w:div w:id="970792990">
      <w:bodyDiv w:val="1"/>
      <w:marLeft w:val="0"/>
      <w:marRight w:val="0"/>
      <w:marTop w:val="0"/>
      <w:marBottom w:val="0"/>
      <w:divBdr>
        <w:top w:val="none" w:sz="0" w:space="0" w:color="auto"/>
        <w:left w:val="none" w:sz="0" w:space="0" w:color="auto"/>
        <w:bottom w:val="none" w:sz="0" w:space="0" w:color="auto"/>
        <w:right w:val="none" w:sz="0" w:space="0" w:color="auto"/>
      </w:divBdr>
    </w:div>
    <w:div w:id="972324830">
      <w:bodyDiv w:val="1"/>
      <w:marLeft w:val="0"/>
      <w:marRight w:val="0"/>
      <w:marTop w:val="0"/>
      <w:marBottom w:val="0"/>
      <w:divBdr>
        <w:top w:val="none" w:sz="0" w:space="0" w:color="auto"/>
        <w:left w:val="none" w:sz="0" w:space="0" w:color="auto"/>
        <w:bottom w:val="none" w:sz="0" w:space="0" w:color="auto"/>
        <w:right w:val="none" w:sz="0" w:space="0" w:color="auto"/>
      </w:divBdr>
    </w:div>
    <w:div w:id="986275660">
      <w:bodyDiv w:val="1"/>
      <w:marLeft w:val="0"/>
      <w:marRight w:val="0"/>
      <w:marTop w:val="0"/>
      <w:marBottom w:val="0"/>
      <w:divBdr>
        <w:top w:val="none" w:sz="0" w:space="0" w:color="auto"/>
        <w:left w:val="none" w:sz="0" w:space="0" w:color="auto"/>
        <w:bottom w:val="none" w:sz="0" w:space="0" w:color="auto"/>
        <w:right w:val="none" w:sz="0" w:space="0" w:color="auto"/>
      </w:divBdr>
    </w:div>
    <w:div w:id="1025787417">
      <w:bodyDiv w:val="1"/>
      <w:marLeft w:val="0"/>
      <w:marRight w:val="0"/>
      <w:marTop w:val="0"/>
      <w:marBottom w:val="0"/>
      <w:divBdr>
        <w:top w:val="none" w:sz="0" w:space="0" w:color="auto"/>
        <w:left w:val="none" w:sz="0" w:space="0" w:color="auto"/>
        <w:bottom w:val="none" w:sz="0" w:space="0" w:color="auto"/>
        <w:right w:val="none" w:sz="0" w:space="0" w:color="auto"/>
      </w:divBdr>
    </w:div>
    <w:div w:id="1065445724">
      <w:bodyDiv w:val="1"/>
      <w:marLeft w:val="0"/>
      <w:marRight w:val="0"/>
      <w:marTop w:val="0"/>
      <w:marBottom w:val="0"/>
      <w:divBdr>
        <w:top w:val="none" w:sz="0" w:space="0" w:color="auto"/>
        <w:left w:val="none" w:sz="0" w:space="0" w:color="auto"/>
        <w:bottom w:val="none" w:sz="0" w:space="0" w:color="auto"/>
        <w:right w:val="none" w:sz="0" w:space="0" w:color="auto"/>
      </w:divBdr>
    </w:div>
    <w:div w:id="1175803170">
      <w:bodyDiv w:val="1"/>
      <w:marLeft w:val="0"/>
      <w:marRight w:val="0"/>
      <w:marTop w:val="0"/>
      <w:marBottom w:val="0"/>
      <w:divBdr>
        <w:top w:val="none" w:sz="0" w:space="0" w:color="auto"/>
        <w:left w:val="none" w:sz="0" w:space="0" w:color="auto"/>
        <w:bottom w:val="none" w:sz="0" w:space="0" w:color="auto"/>
        <w:right w:val="none" w:sz="0" w:space="0" w:color="auto"/>
      </w:divBdr>
    </w:div>
    <w:div w:id="1192458702">
      <w:bodyDiv w:val="1"/>
      <w:marLeft w:val="0"/>
      <w:marRight w:val="0"/>
      <w:marTop w:val="0"/>
      <w:marBottom w:val="0"/>
      <w:divBdr>
        <w:top w:val="none" w:sz="0" w:space="0" w:color="auto"/>
        <w:left w:val="none" w:sz="0" w:space="0" w:color="auto"/>
        <w:bottom w:val="none" w:sz="0" w:space="0" w:color="auto"/>
        <w:right w:val="none" w:sz="0" w:space="0" w:color="auto"/>
      </w:divBdr>
    </w:div>
    <w:div w:id="1218204297">
      <w:bodyDiv w:val="1"/>
      <w:marLeft w:val="0"/>
      <w:marRight w:val="0"/>
      <w:marTop w:val="0"/>
      <w:marBottom w:val="0"/>
      <w:divBdr>
        <w:top w:val="none" w:sz="0" w:space="0" w:color="auto"/>
        <w:left w:val="none" w:sz="0" w:space="0" w:color="auto"/>
        <w:bottom w:val="none" w:sz="0" w:space="0" w:color="auto"/>
        <w:right w:val="none" w:sz="0" w:space="0" w:color="auto"/>
      </w:divBdr>
    </w:div>
    <w:div w:id="1392120437">
      <w:bodyDiv w:val="1"/>
      <w:marLeft w:val="0"/>
      <w:marRight w:val="0"/>
      <w:marTop w:val="0"/>
      <w:marBottom w:val="0"/>
      <w:divBdr>
        <w:top w:val="none" w:sz="0" w:space="0" w:color="auto"/>
        <w:left w:val="none" w:sz="0" w:space="0" w:color="auto"/>
        <w:bottom w:val="none" w:sz="0" w:space="0" w:color="auto"/>
        <w:right w:val="none" w:sz="0" w:space="0" w:color="auto"/>
      </w:divBdr>
    </w:div>
    <w:div w:id="1623878280">
      <w:bodyDiv w:val="1"/>
      <w:marLeft w:val="0"/>
      <w:marRight w:val="0"/>
      <w:marTop w:val="0"/>
      <w:marBottom w:val="0"/>
      <w:divBdr>
        <w:top w:val="none" w:sz="0" w:space="0" w:color="auto"/>
        <w:left w:val="none" w:sz="0" w:space="0" w:color="auto"/>
        <w:bottom w:val="none" w:sz="0" w:space="0" w:color="auto"/>
        <w:right w:val="none" w:sz="0" w:space="0" w:color="auto"/>
      </w:divBdr>
    </w:div>
    <w:div w:id="1725987332">
      <w:bodyDiv w:val="1"/>
      <w:marLeft w:val="0"/>
      <w:marRight w:val="0"/>
      <w:marTop w:val="0"/>
      <w:marBottom w:val="0"/>
      <w:divBdr>
        <w:top w:val="none" w:sz="0" w:space="0" w:color="auto"/>
        <w:left w:val="none" w:sz="0" w:space="0" w:color="auto"/>
        <w:bottom w:val="none" w:sz="0" w:space="0" w:color="auto"/>
        <w:right w:val="none" w:sz="0" w:space="0" w:color="auto"/>
      </w:divBdr>
    </w:div>
    <w:div w:id="1755012846">
      <w:bodyDiv w:val="1"/>
      <w:marLeft w:val="0"/>
      <w:marRight w:val="0"/>
      <w:marTop w:val="0"/>
      <w:marBottom w:val="0"/>
      <w:divBdr>
        <w:top w:val="none" w:sz="0" w:space="0" w:color="auto"/>
        <w:left w:val="none" w:sz="0" w:space="0" w:color="auto"/>
        <w:bottom w:val="none" w:sz="0" w:space="0" w:color="auto"/>
        <w:right w:val="none" w:sz="0" w:space="0" w:color="auto"/>
      </w:divBdr>
    </w:div>
    <w:div w:id="1768236276">
      <w:bodyDiv w:val="1"/>
      <w:marLeft w:val="0"/>
      <w:marRight w:val="0"/>
      <w:marTop w:val="0"/>
      <w:marBottom w:val="0"/>
      <w:divBdr>
        <w:top w:val="none" w:sz="0" w:space="0" w:color="auto"/>
        <w:left w:val="none" w:sz="0" w:space="0" w:color="auto"/>
        <w:bottom w:val="none" w:sz="0" w:space="0" w:color="auto"/>
        <w:right w:val="none" w:sz="0" w:space="0" w:color="auto"/>
      </w:divBdr>
    </w:div>
    <w:div w:id="1773743039">
      <w:bodyDiv w:val="1"/>
      <w:marLeft w:val="0"/>
      <w:marRight w:val="0"/>
      <w:marTop w:val="0"/>
      <w:marBottom w:val="0"/>
      <w:divBdr>
        <w:top w:val="none" w:sz="0" w:space="0" w:color="auto"/>
        <w:left w:val="none" w:sz="0" w:space="0" w:color="auto"/>
        <w:bottom w:val="none" w:sz="0" w:space="0" w:color="auto"/>
        <w:right w:val="none" w:sz="0" w:space="0" w:color="auto"/>
      </w:divBdr>
    </w:div>
    <w:div w:id="1796213095">
      <w:bodyDiv w:val="1"/>
      <w:marLeft w:val="0"/>
      <w:marRight w:val="0"/>
      <w:marTop w:val="0"/>
      <w:marBottom w:val="0"/>
      <w:divBdr>
        <w:top w:val="none" w:sz="0" w:space="0" w:color="auto"/>
        <w:left w:val="none" w:sz="0" w:space="0" w:color="auto"/>
        <w:bottom w:val="none" w:sz="0" w:space="0" w:color="auto"/>
        <w:right w:val="none" w:sz="0" w:space="0" w:color="auto"/>
      </w:divBdr>
    </w:div>
    <w:div w:id="1855073647">
      <w:bodyDiv w:val="1"/>
      <w:marLeft w:val="0"/>
      <w:marRight w:val="0"/>
      <w:marTop w:val="0"/>
      <w:marBottom w:val="0"/>
      <w:divBdr>
        <w:top w:val="none" w:sz="0" w:space="0" w:color="auto"/>
        <w:left w:val="none" w:sz="0" w:space="0" w:color="auto"/>
        <w:bottom w:val="none" w:sz="0" w:space="0" w:color="auto"/>
        <w:right w:val="none" w:sz="0" w:space="0" w:color="auto"/>
      </w:divBdr>
    </w:div>
    <w:div w:id="20404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gemini.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vestors.capgemini.com/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ge.media-server.com/mmc/p/9bfqu7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apgemini 2017_Cover slides">
  <a:themeElements>
    <a:clrScheme name="Custom 1">
      <a:dk1>
        <a:srgbClr val="000000"/>
      </a:dk1>
      <a:lt1>
        <a:sysClr val="window" lastClr="FFFFFF"/>
      </a:lt1>
      <a:dk2>
        <a:srgbClr val="12ABDB"/>
      </a:dk2>
      <a:lt2>
        <a:srgbClr val="EDEDED"/>
      </a:lt2>
      <a:accent1>
        <a:srgbClr val="0070AD"/>
      </a:accent1>
      <a:accent2>
        <a:srgbClr val="12ABDB"/>
      </a:accent2>
      <a:accent3>
        <a:srgbClr val="2B0A3D"/>
      </a:accent3>
      <a:accent4>
        <a:srgbClr val="FF304C"/>
      </a:accent4>
      <a:accent5>
        <a:srgbClr val="95E616"/>
      </a:accent5>
      <a:accent6>
        <a:srgbClr val="C2CF00"/>
      </a:accent6>
      <a:hlink>
        <a:srgbClr val="005481"/>
      </a:hlink>
      <a:folHlink>
        <a:srgbClr val="861763"/>
      </a:folHlink>
    </a:clrScheme>
    <a:fontScheme name="Capgemini">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ésentation1" id="{F4EDDD86-B8A8-46E1-81BA-C40220CF151C}" vid="{D76BB8BF-901C-4709-A70B-B9D859909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78506D05380408DCF6E5ECADE9CF4" ma:contentTypeVersion="13" ma:contentTypeDescription="Create a new document." ma:contentTypeScope="" ma:versionID="669fa81580d232680df79f38e98b8e5d">
  <xsd:schema xmlns:xsd="http://www.w3.org/2001/XMLSchema" xmlns:xs="http://www.w3.org/2001/XMLSchema" xmlns:p="http://schemas.microsoft.com/office/2006/metadata/properties" xmlns:ns3="56d0daf6-2fb0-4c45-911c-39c33d8f9876" xmlns:ns4="aa20403a-df27-4f63-88e2-74a92fd86c6b" targetNamespace="http://schemas.microsoft.com/office/2006/metadata/properties" ma:root="true" ma:fieldsID="0144def9d03147aa7802314fcc5d9672" ns3:_="" ns4:_="">
    <xsd:import namespace="56d0daf6-2fb0-4c45-911c-39c33d8f9876"/>
    <xsd:import namespace="aa20403a-df27-4f63-88e2-74a92fd86c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0daf6-2fb0-4c45-911c-39c33d8f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20403a-df27-4f63-88e2-74a92fd86c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087C-2D39-4C65-8E5F-97414933F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38B34-2B0C-459D-A54D-3A42D5BB5A27}">
  <ds:schemaRefs>
    <ds:schemaRef ds:uri="http://schemas.microsoft.com/sharepoint/v3/contenttype/forms"/>
  </ds:schemaRefs>
</ds:datastoreItem>
</file>

<file path=customXml/itemProps3.xml><?xml version="1.0" encoding="utf-8"?>
<ds:datastoreItem xmlns:ds="http://schemas.openxmlformats.org/officeDocument/2006/customXml" ds:itemID="{88CC9738-1E2F-4798-B641-269BDFD9E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0daf6-2fb0-4c45-911c-39c33d8f9876"/>
    <ds:schemaRef ds:uri="aa20403a-df27-4f63-88e2-74a92fd86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88E94-7209-4407-A81A-A91AD32A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4507</Words>
  <Characters>24792</Characters>
  <Application>Microsoft Office Word</Application>
  <DocSecurity>4</DocSecurity>
  <Lines>783</Lines>
  <Paragraphs>474</Paragraphs>
  <ScaleCrop>false</ScaleCrop>
  <HeadingPairs>
    <vt:vector size="2" baseType="variant">
      <vt:variant>
        <vt:lpstr>Title</vt:lpstr>
      </vt:variant>
      <vt:variant>
        <vt:i4>1</vt:i4>
      </vt:variant>
    </vt:vector>
  </HeadingPairs>
  <TitlesOfParts>
    <vt:vector size="1" baseType="lpstr">
      <vt:lpstr>FY08</vt:lpstr>
    </vt:vector>
  </TitlesOfParts>
  <Company>CAPGEMINI</Company>
  <LinksUpToDate>false</LinksUpToDate>
  <CharactersWithSpaces>29249</CharactersWithSpaces>
  <SharedDoc>false</SharedDoc>
  <HLinks>
    <vt:vector size="18" baseType="variant">
      <vt:variant>
        <vt:i4>5439508</vt:i4>
      </vt:variant>
      <vt:variant>
        <vt:i4>36</vt:i4>
      </vt:variant>
      <vt:variant>
        <vt:i4>0</vt:i4>
      </vt:variant>
      <vt:variant>
        <vt:i4>5</vt:i4>
      </vt:variant>
      <vt:variant>
        <vt:lpwstr>http://www.capgemini.com/</vt:lpwstr>
      </vt:variant>
      <vt:variant>
        <vt:lpwstr/>
      </vt:variant>
      <vt:variant>
        <vt:i4>3604525</vt:i4>
      </vt:variant>
      <vt:variant>
        <vt:i4>33</vt:i4>
      </vt:variant>
      <vt:variant>
        <vt:i4>0</vt:i4>
      </vt:variant>
      <vt:variant>
        <vt:i4>5</vt:i4>
      </vt:variant>
      <vt:variant>
        <vt:lpwstr>https://investors.capgemini.com/en/</vt:lpwstr>
      </vt:variant>
      <vt:variant>
        <vt:lpwstr/>
      </vt:variant>
      <vt:variant>
        <vt:i4>5177348</vt:i4>
      </vt:variant>
      <vt:variant>
        <vt:i4>30</vt:i4>
      </vt:variant>
      <vt:variant>
        <vt:i4>0</vt:i4>
      </vt:variant>
      <vt:variant>
        <vt:i4>5</vt:i4>
      </vt:variant>
      <vt:variant>
        <vt:lpwstr>https://edge.media-server.com/mmc/p/9bfqu7rt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FY08</dc:title>
  <dc:subject/>
  <dc:creator>CAPGEMINI</dc:creator>
  <cp:keywords/>
  <dc:description/>
  <cp:lastModifiedBy>BIRAUD, Vincent</cp:lastModifiedBy>
  <cp:revision>15</cp:revision>
  <cp:lastPrinted>2020-08-28T17:23:00Z</cp:lastPrinted>
  <dcterms:created xsi:type="dcterms:W3CDTF">2020-09-03T00:20:00Z</dcterms:created>
  <dcterms:modified xsi:type="dcterms:W3CDTF">2020-09-02T17:08:00Z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0x01010079078506D05380408DCF6E5ECADE9CF4</vt:lpwstr>
  </property>
</Properties>
</file>