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00" w:type="dxa"/>
        <w:tblCellSpacing w:w="0" w:type="dxa"/>
        <w:tblCellMar>
          <w:left w:w="0" w:type="dxa"/>
          <w:right w:w="0" w:type="dxa"/>
        </w:tblCellMar>
        <w:tblLook w:val="04A0" w:firstRow="1" w:lastRow="0" w:firstColumn="1" w:lastColumn="0" w:noHBand="0" w:noVBand="1"/>
      </w:tblPr>
      <w:tblGrid>
        <w:gridCol w:w="8700"/>
      </w:tblGrid>
      <w:tr w:rsidR="006637C4" w:rsidRPr="006637C4" w:rsidTr="006637C4">
        <w:trPr>
          <w:tblCellSpacing w:w="0" w:type="dxa"/>
        </w:trPr>
        <w:tc>
          <w:tcPr>
            <w:tcW w:w="8700" w:type="dxa"/>
            <w:shd w:val="clear" w:color="auto" w:fill="FFFFFF"/>
            <w:vAlign w:val="center"/>
            <w:hideMark/>
          </w:tcPr>
          <w:p w:rsidR="006637C4" w:rsidRPr="006637C4" w:rsidRDefault="006637C4" w:rsidP="006637C4">
            <w:pPr>
              <w:spacing w:after="240" w:line="360" w:lineRule="atLeast"/>
              <w:rPr>
                <w:rFonts w:ascii="Arial" w:eastAsia="Calibri" w:hAnsi="Arial" w:cs="Arial"/>
                <w:color w:val="000000"/>
                <w:sz w:val="24"/>
                <w:szCs w:val="24"/>
                <w:lang w:eastAsia="nl-BE"/>
              </w:rPr>
            </w:pPr>
            <w:r w:rsidRPr="006637C4">
              <w:rPr>
                <w:rFonts w:ascii="Arial" w:eastAsia="Calibri" w:hAnsi="Arial" w:cs="Arial"/>
                <w:noProof/>
                <w:color w:val="0000FF"/>
                <w:sz w:val="24"/>
                <w:szCs w:val="24"/>
                <w:lang w:eastAsia="nl-BE"/>
              </w:rPr>
              <w:drawing>
                <wp:inline distT="0" distB="0" distL="0" distR="0" wp14:anchorId="7A35AA58" wp14:editId="6FB90966">
                  <wp:extent cx="1430020" cy="598805"/>
                  <wp:effectExtent l="0" t="0" r="0" b="0"/>
                  <wp:docPr id="2" name="Afbeelding 2" descr="Provincie Vlaams Brabant Logo">
                    <a:hlinkClick xmlns:a="http://schemas.openxmlformats.org/drawingml/2006/main" r:id="rId9" tooltip="Hoe veilig is Vlaams-Brabant? Daling van criminaliteits- en verkeersongevallencijfers over de laatste vijf jaa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vincie Vlaams Brabant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0020" cy="598805"/>
                          </a:xfrm>
                          <a:prstGeom prst="rect">
                            <a:avLst/>
                          </a:prstGeom>
                          <a:noFill/>
                          <a:ln>
                            <a:noFill/>
                          </a:ln>
                        </pic:spPr>
                      </pic:pic>
                    </a:graphicData>
                  </a:graphic>
                </wp:inline>
              </w:drawing>
            </w:r>
          </w:p>
        </w:tc>
      </w:tr>
      <w:tr w:rsidR="006637C4" w:rsidRPr="006637C4" w:rsidTr="006637C4">
        <w:trPr>
          <w:trHeight w:val="450"/>
          <w:tblCellSpacing w:w="0" w:type="dxa"/>
        </w:trPr>
        <w:tc>
          <w:tcPr>
            <w:tcW w:w="8700" w:type="dxa"/>
            <w:shd w:val="clear" w:color="auto" w:fill="FFFFFF"/>
            <w:vAlign w:val="center"/>
            <w:hideMark/>
          </w:tcPr>
          <w:p w:rsidR="006637C4" w:rsidRPr="006637C4" w:rsidRDefault="006637C4" w:rsidP="006637C4">
            <w:pPr>
              <w:rPr>
                <w:rFonts w:eastAsia="Times New Roman"/>
                <w:lang w:eastAsia="nl-BE"/>
              </w:rPr>
            </w:pPr>
          </w:p>
        </w:tc>
      </w:tr>
      <w:tr w:rsidR="006637C4" w:rsidRPr="006637C4" w:rsidTr="006637C4">
        <w:trPr>
          <w:tblCellSpacing w:w="0" w:type="dxa"/>
        </w:trPr>
        <w:tc>
          <w:tcPr>
            <w:tcW w:w="8700" w:type="dxa"/>
            <w:shd w:val="clear" w:color="auto" w:fill="FFFFFF"/>
            <w:vAlign w:val="center"/>
            <w:hideMark/>
          </w:tcPr>
          <w:p w:rsidR="006637C4" w:rsidRPr="006637C4" w:rsidRDefault="00B6231D" w:rsidP="006637C4">
            <w:pPr>
              <w:spacing w:before="100" w:beforeAutospacing="1" w:line="360" w:lineRule="atLeast"/>
              <w:rPr>
                <w:rFonts w:ascii="Arial" w:eastAsia="Calibri" w:hAnsi="Arial" w:cs="Arial"/>
                <w:color w:val="000000"/>
                <w:sz w:val="24"/>
                <w:szCs w:val="24"/>
                <w:lang w:eastAsia="nl-BE"/>
              </w:rPr>
            </w:pPr>
            <w:hyperlink r:id="rId11" w:tooltip="Hoe veilig is Vlaams-Brabant? Daling van criminaliteits- en verkeersongevallencijfers over de laatste vijf jaar" w:history="1">
              <w:r w:rsidR="006637C4" w:rsidRPr="006637C4">
                <w:rPr>
                  <w:rFonts w:ascii="Arial" w:eastAsia="Calibri" w:hAnsi="Arial" w:cs="Arial"/>
                  <w:b/>
                  <w:bCs/>
                  <w:color w:val="000000"/>
                  <w:sz w:val="42"/>
                  <w:szCs w:val="42"/>
                  <w:lang w:eastAsia="nl-BE"/>
                </w:rPr>
                <w:t xml:space="preserve">Hoe veilig is Vlaams-Brabant? Daling van criminaliteits- en verkeersongevallencijfers over de laatste vijf jaar </w:t>
              </w:r>
            </w:hyperlink>
          </w:p>
        </w:tc>
      </w:tr>
    </w:tbl>
    <w:p w:rsidR="006637C4" w:rsidRPr="002C5814" w:rsidRDefault="006637C4">
      <w:pPr>
        <w:rPr>
          <w:b/>
          <w:noProof/>
          <w:sz w:val="24"/>
          <w:szCs w:val="24"/>
          <w:lang w:eastAsia="nl-BE"/>
        </w:rPr>
      </w:pPr>
    </w:p>
    <w:p w:rsidR="006762FB" w:rsidRDefault="006762FB">
      <w:pPr>
        <w:rPr>
          <w:b/>
          <w:noProof/>
          <w:sz w:val="24"/>
          <w:szCs w:val="24"/>
          <w:lang w:eastAsia="nl-BE"/>
        </w:rPr>
      </w:pPr>
      <w:r w:rsidRPr="002C5814">
        <w:rPr>
          <w:b/>
          <w:noProof/>
          <w:sz w:val="24"/>
          <w:szCs w:val="24"/>
          <w:lang w:eastAsia="nl-BE"/>
        </w:rPr>
        <w:t>PROVINCIE VLAAMS-BRABANT – 3</w:t>
      </w:r>
      <w:r w:rsidR="006637C4">
        <w:rPr>
          <w:b/>
          <w:noProof/>
          <w:sz w:val="24"/>
          <w:szCs w:val="24"/>
          <w:lang w:eastAsia="nl-BE"/>
        </w:rPr>
        <w:t>0</w:t>
      </w:r>
      <w:r w:rsidRPr="002C5814">
        <w:rPr>
          <w:b/>
          <w:noProof/>
          <w:sz w:val="24"/>
          <w:szCs w:val="24"/>
          <w:lang w:eastAsia="nl-BE"/>
        </w:rPr>
        <w:t xml:space="preserve"> mei 2018</w:t>
      </w:r>
    </w:p>
    <w:p w:rsidR="00DE2A6D" w:rsidRPr="002C5814" w:rsidRDefault="00DE2A6D">
      <w:pPr>
        <w:rPr>
          <w:b/>
          <w:noProof/>
          <w:sz w:val="24"/>
          <w:szCs w:val="24"/>
          <w:lang w:eastAsia="nl-BE"/>
        </w:rPr>
      </w:pPr>
    </w:p>
    <w:p w:rsidR="009137E5" w:rsidRDefault="00DE2A6D">
      <w:pPr>
        <w:rPr>
          <w:noProof/>
          <w:lang w:eastAsia="nl-BE"/>
        </w:rPr>
      </w:pPr>
      <w:r>
        <w:rPr>
          <w:noProof/>
          <w:lang w:eastAsia="nl-BE"/>
        </w:rPr>
        <w:drawing>
          <wp:inline distT="0" distB="0" distL="0" distR="0" wp14:anchorId="3F793460">
            <wp:extent cx="5835534" cy="3237094"/>
            <wp:effectExtent l="0" t="0" r="0" b="190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38714" cy="3238858"/>
                    </a:xfrm>
                    <a:prstGeom prst="rect">
                      <a:avLst/>
                    </a:prstGeom>
                    <a:noFill/>
                  </pic:spPr>
                </pic:pic>
              </a:graphicData>
            </a:graphic>
          </wp:inline>
        </w:drawing>
      </w:r>
    </w:p>
    <w:p w:rsidR="009137E5" w:rsidRDefault="009137E5">
      <w:pPr>
        <w:rPr>
          <w:noProof/>
          <w:lang w:eastAsia="nl-BE"/>
        </w:rPr>
      </w:pPr>
    </w:p>
    <w:p w:rsidR="006762FB" w:rsidRDefault="006762FB">
      <w:pPr>
        <w:rPr>
          <w:noProof/>
          <w:lang w:eastAsia="nl-BE"/>
        </w:rPr>
      </w:pPr>
    </w:p>
    <w:p w:rsidR="002C5814" w:rsidRDefault="002C5814">
      <w:pPr>
        <w:rPr>
          <w:noProof/>
          <w:lang w:eastAsia="nl-BE"/>
        </w:rPr>
      </w:pPr>
    </w:p>
    <w:p w:rsidR="002C5814" w:rsidRDefault="002C5814">
      <w:pPr>
        <w:rPr>
          <w:rFonts w:ascii="Calibri" w:eastAsia="Times New Roman" w:hAnsi="Calibri"/>
          <w:sz w:val="22"/>
          <w:szCs w:val="22"/>
        </w:rPr>
      </w:pPr>
      <w:r>
        <w:rPr>
          <w:rFonts w:ascii="Calibri" w:eastAsia="Times New Roman" w:hAnsi="Calibri"/>
          <w:sz w:val="22"/>
          <w:szCs w:val="22"/>
        </w:rPr>
        <w:t>H</w:t>
      </w:r>
      <w:r w:rsidRPr="002C5814">
        <w:rPr>
          <w:rFonts w:ascii="Calibri" w:eastAsia="Times New Roman" w:hAnsi="Calibri"/>
          <w:sz w:val="22"/>
          <w:szCs w:val="22"/>
        </w:rPr>
        <w:t>et aantal geregistreerde feiten</w:t>
      </w:r>
      <w:r w:rsidR="00877803">
        <w:rPr>
          <w:rFonts w:ascii="Calibri" w:eastAsia="Times New Roman" w:hAnsi="Calibri"/>
          <w:sz w:val="22"/>
          <w:szCs w:val="22"/>
        </w:rPr>
        <w:t>, vastgesteld</w:t>
      </w:r>
      <w:r w:rsidRPr="002C5814">
        <w:rPr>
          <w:rFonts w:ascii="Calibri" w:eastAsia="Times New Roman" w:hAnsi="Calibri"/>
          <w:sz w:val="22"/>
          <w:szCs w:val="22"/>
        </w:rPr>
        <w:t xml:space="preserve"> </w:t>
      </w:r>
      <w:r>
        <w:rPr>
          <w:rFonts w:ascii="Calibri" w:eastAsia="Times New Roman" w:hAnsi="Calibri"/>
          <w:sz w:val="22"/>
          <w:szCs w:val="22"/>
        </w:rPr>
        <w:t xml:space="preserve">door de politiediensten op het grondgebied van Vlaams-Brabant </w:t>
      </w:r>
      <w:r w:rsidRPr="002C5814">
        <w:rPr>
          <w:rFonts w:ascii="Calibri" w:eastAsia="Times New Roman" w:hAnsi="Calibri"/>
          <w:sz w:val="22"/>
          <w:szCs w:val="22"/>
        </w:rPr>
        <w:t xml:space="preserve">kent een positieve evolutie. Het aantal geregistreerde feiten voor </w:t>
      </w:r>
      <w:r w:rsidR="003A7F4B">
        <w:rPr>
          <w:rFonts w:ascii="Calibri" w:eastAsia="Times New Roman" w:hAnsi="Calibri"/>
          <w:sz w:val="22"/>
          <w:szCs w:val="22"/>
        </w:rPr>
        <w:t xml:space="preserve">het jaar </w:t>
      </w:r>
      <w:r w:rsidRPr="002C5814">
        <w:rPr>
          <w:rFonts w:ascii="Calibri" w:eastAsia="Times New Roman" w:hAnsi="Calibri"/>
          <w:sz w:val="22"/>
          <w:szCs w:val="22"/>
        </w:rPr>
        <w:t>2017 zit op het laagst</w:t>
      </w:r>
      <w:r>
        <w:rPr>
          <w:rFonts w:ascii="Calibri" w:eastAsia="Times New Roman" w:hAnsi="Calibri"/>
          <w:sz w:val="22"/>
          <w:szCs w:val="22"/>
        </w:rPr>
        <w:t xml:space="preserve">e niveau van de afgelopen </w:t>
      </w:r>
      <w:r w:rsidR="00B6231D">
        <w:rPr>
          <w:rFonts w:ascii="Calibri" w:eastAsia="Times New Roman" w:hAnsi="Calibri"/>
          <w:sz w:val="22"/>
          <w:szCs w:val="22"/>
        </w:rPr>
        <w:t xml:space="preserve">vijf </w:t>
      </w:r>
      <w:r>
        <w:rPr>
          <w:rFonts w:ascii="Calibri" w:eastAsia="Times New Roman" w:hAnsi="Calibri"/>
          <w:sz w:val="22"/>
          <w:szCs w:val="22"/>
        </w:rPr>
        <w:t>jaren, namelijk een daling van 18,35% of 19.359 feiten.</w:t>
      </w:r>
    </w:p>
    <w:p w:rsidR="00B31029" w:rsidRDefault="00B31029">
      <w:pPr>
        <w:rPr>
          <w:rFonts w:ascii="Calibri" w:eastAsia="Times New Roman" w:hAnsi="Calibri"/>
          <w:sz w:val="22"/>
          <w:szCs w:val="22"/>
        </w:rPr>
      </w:pPr>
    </w:p>
    <w:p w:rsidR="002E155D" w:rsidRDefault="002E155D">
      <w:pPr>
        <w:rPr>
          <w:rFonts w:ascii="Calibri" w:eastAsia="Times New Roman" w:hAnsi="Calibri"/>
          <w:sz w:val="22"/>
          <w:szCs w:val="22"/>
        </w:rPr>
      </w:pPr>
      <w:r>
        <w:rPr>
          <w:rFonts w:ascii="Calibri" w:eastAsia="Times New Roman" w:hAnsi="Calibri"/>
          <w:sz w:val="22"/>
          <w:szCs w:val="22"/>
        </w:rPr>
        <w:t xml:space="preserve">We danken dit aan de </w:t>
      </w:r>
      <w:r w:rsidR="00C80998">
        <w:rPr>
          <w:rFonts w:ascii="Calibri" w:eastAsia="Times New Roman" w:hAnsi="Calibri"/>
          <w:sz w:val="22"/>
          <w:szCs w:val="22"/>
        </w:rPr>
        <w:t xml:space="preserve">volgehouden inspanningen van de politiediensten en andere partners. De aanpak via een </w:t>
      </w:r>
      <w:r w:rsidR="00B31029">
        <w:rPr>
          <w:rFonts w:ascii="Calibri" w:eastAsia="Times New Roman" w:hAnsi="Calibri"/>
          <w:sz w:val="22"/>
          <w:szCs w:val="22"/>
        </w:rPr>
        <w:t>gemeenschapsgerichte politiezorg</w:t>
      </w:r>
      <w:r w:rsidR="00C80998">
        <w:rPr>
          <w:rFonts w:ascii="Calibri" w:eastAsia="Times New Roman" w:hAnsi="Calibri"/>
          <w:sz w:val="22"/>
          <w:szCs w:val="22"/>
        </w:rPr>
        <w:t xml:space="preserve"> werpt vruchten af, naast</w:t>
      </w:r>
      <w:r w:rsidR="00B31029">
        <w:rPr>
          <w:rFonts w:ascii="Calibri" w:eastAsia="Times New Roman" w:hAnsi="Calibri"/>
          <w:sz w:val="22"/>
          <w:szCs w:val="22"/>
        </w:rPr>
        <w:t xml:space="preserve"> de </w:t>
      </w:r>
      <w:r>
        <w:rPr>
          <w:rFonts w:ascii="Calibri" w:eastAsia="Times New Roman" w:hAnsi="Calibri"/>
          <w:sz w:val="22"/>
          <w:szCs w:val="22"/>
        </w:rPr>
        <w:t>volgehouden in</w:t>
      </w:r>
      <w:r w:rsidR="00B31029">
        <w:rPr>
          <w:rFonts w:ascii="Calibri" w:eastAsia="Times New Roman" w:hAnsi="Calibri"/>
          <w:sz w:val="22"/>
          <w:szCs w:val="22"/>
        </w:rPr>
        <w:t xml:space="preserve">spanningen op vlak van criminaliteitspreventie en de adequate strafvervolging van </w:t>
      </w:r>
      <w:r w:rsidR="00C80998">
        <w:rPr>
          <w:rFonts w:ascii="Calibri" w:eastAsia="Times New Roman" w:hAnsi="Calibri"/>
          <w:sz w:val="22"/>
          <w:szCs w:val="22"/>
        </w:rPr>
        <w:t>het bevoegde openbaar ministerie</w:t>
      </w:r>
      <w:r w:rsidR="00B31029">
        <w:rPr>
          <w:rFonts w:ascii="Calibri" w:eastAsia="Times New Roman" w:hAnsi="Calibri"/>
          <w:sz w:val="22"/>
          <w:szCs w:val="22"/>
        </w:rPr>
        <w:t xml:space="preserve"> (</w:t>
      </w:r>
      <w:r w:rsidR="00C80998">
        <w:rPr>
          <w:rFonts w:ascii="Calibri" w:eastAsia="Times New Roman" w:hAnsi="Calibri"/>
          <w:sz w:val="22"/>
          <w:szCs w:val="22"/>
        </w:rPr>
        <w:t xml:space="preserve">parket </w:t>
      </w:r>
      <w:r w:rsidR="00B31029">
        <w:rPr>
          <w:rFonts w:ascii="Calibri" w:eastAsia="Times New Roman" w:hAnsi="Calibri"/>
          <w:sz w:val="22"/>
          <w:szCs w:val="22"/>
        </w:rPr>
        <w:t>Leuven en Halle-Vilvoorde).</w:t>
      </w:r>
    </w:p>
    <w:p w:rsidR="00B31029" w:rsidRDefault="00B31029">
      <w:pPr>
        <w:rPr>
          <w:rFonts w:ascii="Calibri" w:eastAsia="Times New Roman" w:hAnsi="Calibri"/>
          <w:sz w:val="22"/>
          <w:szCs w:val="22"/>
        </w:rPr>
      </w:pPr>
    </w:p>
    <w:p w:rsidR="00B31029" w:rsidRDefault="00B31029">
      <w:pPr>
        <w:rPr>
          <w:rFonts w:ascii="Calibri" w:eastAsia="Times New Roman" w:hAnsi="Calibri"/>
          <w:sz w:val="22"/>
          <w:szCs w:val="22"/>
        </w:rPr>
      </w:pPr>
      <w:r>
        <w:rPr>
          <w:rFonts w:ascii="Calibri" w:eastAsia="Times New Roman" w:hAnsi="Calibri"/>
          <w:sz w:val="22"/>
          <w:szCs w:val="22"/>
        </w:rPr>
        <w:t>We zoomen in op enkele fenomenen die in de meeste politiezones opgenomen zijn in het zonaal poli</w:t>
      </w:r>
      <w:r w:rsidR="00877803">
        <w:rPr>
          <w:rFonts w:ascii="Calibri" w:eastAsia="Times New Roman" w:hAnsi="Calibri"/>
          <w:sz w:val="22"/>
          <w:szCs w:val="22"/>
        </w:rPr>
        <w:t>tieplan.</w:t>
      </w:r>
    </w:p>
    <w:p w:rsidR="002C5814" w:rsidRDefault="002C5814">
      <w:pPr>
        <w:rPr>
          <w:rFonts w:ascii="Calibri" w:eastAsia="Times New Roman" w:hAnsi="Calibri"/>
          <w:sz w:val="22"/>
          <w:szCs w:val="22"/>
        </w:rPr>
      </w:pPr>
    </w:p>
    <w:p w:rsidR="002C5814" w:rsidRDefault="00FB0CC4">
      <w:pPr>
        <w:rPr>
          <w:rFonts w:ascii="Calibri" w:eastAsia="Times New Roman" w:hAnsi="Calibri"/>
          <w:sz w:val="22"/>
          <w:szCs w:val="22"/>
        </w:rPr>
      </w:pPr>
      <w:r>
        <w:rPr>
          <w:rFonts w:ascii="Calibri" w:eastAsia="Times New Roman" w:hAnsi="Calibri"/>
          <w:sz w:val="22"/>
          <w:szCs w:val="22"/>
        </w:rPr>
        <w:t xml:space="preserve">De cijfers zijn gebaseerd op de processen-verbaal opgesteld door de politiediensten (lokaal en federaal) </w:t>
      </w:r>
      <w:r w:rsidR="008A4C7E">
        <w:rPr>
          <w:rFonts w:ascii="Calibri" w:eastAsia="Times New Roman" w:hAnsi="Calibri"/>
          <w:sz w:val="22"/>
          <w:szCs w:val="22"/>
        </w:rPr>
        <w:t>naar aanleiding van feiten</w:t>
      </w:r>
      <w:r>
        <w:rPr>
          <w:rFonts w:ascii="Calibri" w:eastAsia="Times New Roman" w:hAnsi="Calibri"/>
          <w:sz w:val="22"/>
          <w:szCs w:val="22"/>
        </w:rPr>
        <w:t xml:space="preserve"> vastgesteld in de provincie Vlaams-Brabant. Dank aan de </w:t>
      </w:r>
      <w:r w:rsidR="008A4C7E">
        <w:rPr>
          <w:rFonts w:ascii="Calibri" w:eastAsia="Times New Roman" w:hAnsi="Calibri"/>
          <w:sz w:val="22"/>
          <w:szCs w:val="22"/>
        </w:rPr>
        <w:t xml:space="preserve">federale politie, meer bepaald de </w:t>
      </w:r>
      <w:r>
        <w:rPr>
          <w:rFonts w:ascii="Calibri" w:eastAsia="Times New Roman" w:hAnsi="Calibri"/>
          <w:sz w:val="22"/>
          <w:szCs w:val="22"/>
        </w:rPr>
        <w:t xml:space="preserve">strategische analisten bij de Coördinatie en </w:t>
      </w:r>
      <w:proofErr w:type="spellStart"/>
      <w:r>
        <w:rPr>
          <w:rFonts w:ascii="Calibri" w:eastAsia="Times New Roman" w:hAnsi="Calibri"/>
          <w:sz w:val="22"/>
          <w:szCs w:val="22"/>
        </w:rPr>
        <w:t>SteunDienst</w:t>
      </w:r>
      <w:proofErr w:type="spellEnd"/>
      <w:r>
        <w:rPr>
          <w:rFonts w:ascii="Calibri" w:eastAsia="Times New Roman" w:hAnsi="Calibri"/>
          <w:sz w:val="22"/>
          <w:szCs w:val="22"/>
        </w:rPr>
        <w:t xml:space="preserve"> (CSD) van Leuven en Halle-Vilvoorde</w:t>
      </w:r>
      <w:r w:rsidR="008A4C7E">
        <w:rPr>
          <w:rFonts w:ascii="Calibri" w:eastAsia="Times New Roman" w:hAnsi="Calibri"/>
          <w:sz w:val="22"/>
          <w:szCs w:val="22"/>
        </w:rPr>
        <w:t>,</w:t>
      </w:r>
      <w:r>
        <w:rPr>
          <w:rFonts w:ascii="Calibri" w:eastAsia="Times New Roman" w:hAnsi="Calibri"/>
          <w:sz w:val="22"/>
          <w:szCs w:val="22"/>
        </w:rPr>
        <w:t xml:space="preserve"> voor de analyse en verwerking ervan uit de Algemene Nationale Gegevensbank (ANG)</w:t>
      </w:r>
      <w:r w:rsidR="008A4C7E">
        <w:rPr>
          <w:rFonts w:ascii="Calibri" w:eastAsia="Times New Roman" w:hAnsi="Calibri"/>
          <w:sz w:val="22"/>
          <w:szCs w:val="22"/>
        </w:rPr>
        <w:t>.</w:t>
      </w:r>
    </w:p>
    <w:p w:rsidR="00FB0CC4" w:rsidRDefault="00FB0CC4">
      <w:pPr>
        <w:rPr>
          <w:rFonts w:ascii="Calibri" w:eastAsia="Times New Roman" w:hAnsi="Calibri"/>
          <w:sz w:val="22"/>
          <w:szCs w:val="22"/>
        </w:rPr>
      </w:pPr>
    </w:p>
    <w:p w:rsidR="002E155D" w:rsidRDefault="00DE2A6D">
      <w:pPr>
        <w:rPr>
          <w:rFonts w:ascii="Calibri" w:eastAsia="Times New Roman" w:hAnsi="Calibri"/>
          <w:sz w:val="22"/>
          <w:szCs w:val="22"/>
        </w:rPr>
      </w:pPr>
      <w:r>
        <w:rPr>
          <w:rFonts w:ascii="Calibri" w:eastAsia="Times New Roman" w:hAnsi="Calibri"/>
          <w:noProof/>
          <w:sz w:val="22"/>
          <w:szCs w:val="22"/>
          <w:lang w:eastAsia="nl-BE"/>
        </w:rPr>
        <w:lastRenderedPageBreak/>
        <w:drawing>
          <wp:inline distT="0" distB="0" distL="0" distR="0" wp14:anchorId="0F5E84C7">
            <wp:extent cx="5577840" cy="3002345"/>
            <wp:effectExtent l="0" t="0" r="3810" b="76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8852" cy="3002890"/>
                    </a:xfrm>
                    <a:prstGeom prst="rect">
                      <a:avLst/>
                    </a:prstGeom>
                    <a:noFill/>
                  </pic:spPr>
                </pic:pic>
              </a:graphicData>
            </a:graphic>
          </wp:inline>
        </w:drawing>
      </w:r>
    </w:p>
    <w:p w:rsidR="002C5814" w:rsidRDefault="002C5814">
      <w:pPr>
        <w:rPr>
          <w:rFonts w:ascii="Calibri" w:eastAsia="Times New Roman" w:hAnsi="Calibri"/>
          <w:sz w:val="22"/>
          <w:szCs w:val="22"/>
        </w:rPr>
      </w:pPr>
    </w:p>
    <w:p w:rsidR="002C5814" w:rsidRDefault="002C5814">
      <w:pPr>
        <w:rPr>
          <w:rFonts w:ascii="Calibri" w:eastAsia="Times New Roman" w:hAnsi="Calibri"/>
          <w:sz w:val="22"/>
          <w:szCs w:val="22"/>
        </w:rPr>
      </w:pPr>
    </w:p>
    <w:p w:rsidR="00DE2A6D" w:rsidRDefault="00DE2A6D">
      <w:pPr>
        <w:rPr>
          <w:rFonts w:ascii="Calibri" w:eastAsia="Times New Roman" w:hAnsi="Calibri"/>
          <w:sz w:val="22"/>
          <w:szCs w:val="22"/>
        </w:rPr>
      </w:pPr>
    </w:p>
    <w:p w:rsidR="00DE2A6D" w:rsidRDefault="00DE2A6D">
      <w:pPr>
        <w:rPr>
          <w:rFonts w:ascii="Calibri" w:eastAsia="Times New Roman" w:hAnsi="Calibri"/>
          <w:sz w:val="22"/>
          <w:szCs w:val="22"/>
        </w:rPr>
      </w:pPr>
      <w:r>
        <w:rPr>
          <w:rFonts w:ascii="Calibri" w:eastAsia="Times New Roman" w:hAnsi="Calibri"/>
          <w:noProof/>
          <w:sz w:val="22"/>
          <w:szCs w:val="22"/>
          <w:lang w:eastAsia="nl-BE"/>
        </w:rPr>
        <w:drawing>
          <wp:inline distT="0" distB="0" distL="0" distR="0" wp14:anchorId="76D9BE88">
            <wp:extent cx="5666678" cy="3133898"/>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85012" cy="3144037"/>
                    </a:xfrm>
                    <a:prstGeom prst="rect">
                      <a:avLst/>
                    </a:prstGeom>
                    <a:noFill/>
                  </pic:spPr>
                </pic:pic>
              </a:graphicData>
            </a:graphic>
          </wp:inline>
        </w:drawing>
      </w:r>
    </w:p>
    <w:p w:rsidR="00877803" w:rsidRDefault="00877803">
      <w:pPr>
        <w:rPr>
          <w:noProof/>
          <w:lang w:eastAsia="nl-BE"/>
        </w:rPr>
      </w:pPr>
    </w:p>
    <w:p w:rsidR="002C5814" w:rsidRDefault="002C5814">
      <w:pPr>
        <w:rPr>
          <w:rFonts w:ascii="Calibri" w:eastAsia="Times New Roman" w:hAnsi="Calibri"/>
          <w:sz w:val="22"/>
          <w:szCs w:val="22"/>
        </w:rPr>
      </w:pPr>
    </w:p>
    <w:p w:rsidR="00F15ABD" w:rsidRDefault="00877803" w:rsidP="00F15ABD">
      <w:pPr>
        <w:rPr>
          <w:rFonts w:ascii="Calibri" w:eastAsia="Times New Roman" w:hAnsi="Calibri"/>
          <w:sz w:val="22"/>
          <w:szCs w:val="22"/>
        </w:rPr>
      </w:pPr>
      <w:r>
        <w:rPr>
          <w:rFonts w:ascii="Calibri" w:eastAsia="Times New Roman" w:hAnsi="Calibri"/>
          <w:sz w:val="22"/>
          <w:szCs w:val="22"/>
        </w:rPr>
        <w:t xml:space="preserve">In de voorbije jaren schommelde het aantal woningbraken sterk met een hoogtepunt in 2013. Sinds 2013 is gelukkig de dalende trend ingezet en zien we in 2017 het aantal woningbraken verminderd met meer dan 40%! </w:t>
      </w:r>
    </w:p>
    <w:p w:rsidR="002C5814" w:rsidRDefault="002C5814">
      <w:pPr>
        <w:rPr>
          <w:rFonts w:ascii="Calibri" w:eastAsia="Times New Roman" w:hAnsi="Calibri"/>
          <w:sz w:val="22"/>
          <w:szCs w:val="22"/>
        </w:rPr>
      </w:pPr>
    </w:p>
    <w:p w:rsidR="002C5814" w:rsidRDefault="002C5814">
      <w:pPr>
        <w:rPr>
          <w:rFonts w:ascii="Calibri" w:eastAsia="Times New Roman" w:hAnsi="Calibri"/>
          <w:sz w:val="22"/>
          <w:szCs w:val="22"/>
        </w:rPr>
      </w:pPr>
    </w:p>
    <w:p w:rsidR="009137E5" w:rsidRDefault="002C5814">
      <w:pPr>
        <w:rPr>
          <w:noProof/>
          <w:lang w:eastAsia="nl-BE"/>
        </w:rPr>
      </w:pPr>
      <w:r>
        <w:rPr>
          <w:rFonts w:ascii="Calibri" w:eastAsia="Times New Roman" w:hAnsi="Calibri"/>
          <w:sz w:val="22"/>
          <w:szCs w:val="22"/>
        </w:rPr>
        <w:t xml:space="preserve"> </w:t>
      </w:r>
    </w:p>
    <w:p w:rsidR="009137E5" w:rsidRDefault="009137E5"/>
    <w:p w:rsidR="002C5814" w:rsidRDefault="002C5814"/>
    <w:p w:rsidR="00392584" w:rsidRDefault="00392584"/>
    <w:p w:rsidR="00392584" w:rsidRDefault="00DE2A6D">
      <w:r>
        <w:rPr>
          <w:noProof/>
          <w:lang w:eastAsia="nl-BE"/>
        </w:rPr>
        <w:lastRenderedPageBreak/>
        <w:drawing>
          <wp:inline distT="0" distB="0" distL="0" distR="0" wp14:anchorId="70E0818E">
            <wp:extent cx="5577840" cy="3045404"/>
            <wp:effectExtent l="0" t="0" r="3810" b="31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000" cy="3047129"/>
                    </a:xfrm>
                    <a:prstGeom prst="rect">
                      <a:avLst/>
                    </a:prstGeom>
                    <a:noFill/>
                  </pic:spPr>
                </pic:pic>
              </a:graphicData>
            </a:graphic>
          </wp:inline>
        </w:drawing>
      </w:r>
    </w:p>
    <w:p w:rsidR="00392584" w:rsidRDefault="00392584"/>
    <w:p w:rsidR="00F83B35" w:rsidRDefault="00F83B35">
      <w:pPr>
        <w:rPr>
          <w:noProof/>
          <w:lang w:eastAsia="nl-BE"/>
        </w:rPr>
      </w:pPr>
    </w:p>
    <w:p w:rsidR="001D24F4" w:rsidRDefault="001E79D1">
      <w:pPr>
        <w:rPr>
          <w:rFonts w:ascii="Calibri" w:eastAsia="Times New Roman" w:hAnsi="Calibri"/>
          <w:sz w:val="22"/>
          <w:szCs w:val="22"/>
        </w:rPr>
      </w:pPr>
      <w:r w:rsidRPr="001E79D1">
        <w:rPr>
          <w:rFonts w:ascii="Calibri" w:eastAsia="Times New Roman" w:hAnsi="Calibri"/>
          <w:sz w:val="22"/>
          <w:szCs w:val="22"/>
        </w:rPr>
        <w:t xml:space="preserve">Het aantal </w:t>
      </w:r>
      <w:r w:rsidR="0028320B">
        <w:rPr>
          <w:rFonts w:ascii="Calibri" w:eastAsia="Times New Roman" w:hAnsi="Calibri"/>
          <w:sz w:val="22"/>
          <w:szCs w:val="22"/>
        </w:rPr>
        <w:t>on</w:t>
      </w:r>
      <w:r w:rsidRPr="001E79D1">
        <w:rPr>
          <w:rFonts w:ascii="Calibri" w:eastAsia="Times New Roman" w:hAnsi="Calibri"/>
          <w:sz w:val="22"/>
          <w:szCs w:val="22"/>
        </w:rPr>
        <w:t xml:space="preserve">voltooide woninginbraken </w:t>
      </w:r>
      <w:r w:rsidR="0028320B">
        <w:rPr>
          <w:rFonts w:ascii="Calibri" w:eastAsia="Times New Roman" w:hAnsi="Calibri"/>
          <w:sz w:val="22"/>
          <w:szCs w:val="22"/>
        </w:rPr>
        <w:t xml:space="preserve">of pogingen </w:t>
      </w:r>
      <w:r w:rsidRPr="001E79D1">
        <w:rPr>
          <w:rFonts w:ascii="Calibri" w:eastAsia="Times New Roman" w:hAnsi="Calibri"/>
          <w:sz w:val="22"/>
          <w:szCs w:val="22"/>
        </w:rPr>
        <w:t>schommelt rond de 37%. (</w:t>
      </w:r>
      <w:r w:rsidR="0028320B">
        <w:rPr>
          <w:rFonts w:ascii="Calibri" w:eastAsia="Times New Roman" w:hAnsi="Calibri"/>
          <w:sz w:val="22"/>
          <w:szCs w:val="22"/>
        </w:rPr>
        <w:t>Onv</w:t>
      </w:r>
      <w:r w:rsidRPr="001E79D1">
        <w:rPr>
          <w:rFonts w:ascii="Calibri" w:eastAsia="Times New Roman" w:hAnsi="Calibri"/>
          <w:sz w:val="22"/>
          <w:szCs w:val="22"/>
        </w:rPr>
        <w:t xml:space="preserve">oltooide inbraken </w:t>
      </w:r>
      <w:r w:rsidR="008F2465">
        <w:rPr>
          <w:rFonts w:ascii="Calibri" w:eastAsia="Times New Roman" w:hAnsi="Calibri"/>
          <w:sz w:val="22"/>
          <w:szCs w:val="22"/>
        </w:rPr>
        <w:t>betekent juridisch gezien</w:t>
      </w:r>
      <w:r w:rsidRPr="001E79D1">
        <w:rPr>
          <w:rFonts w:ascii="Calibri" w:eastAsia="Times New Roman" w:hAnsi="Calibri"/>
          <w:sz w:val="22"/>
          <w:szCs w:val="22"/>
        </w:rPr>
        <w:t xml:space="preserve"> dat er </w:t>
      </w:r>
      <w:r w:rsidR="0028320B">
        <w:rPr>
          <w:rFonts w:ascii="Calibri" w:eastAsia="Times New Roman" w:hAnsi="Calibri"/>
          <w:sz w:val="22"/>
          <w:szCs w:val="22"/>
        </w:rPr>
        <w:t xml:space="preserve">geen </w:t>
      </w:r>
      <w:r w:rsidRPr="001E79D1">
        <w:rPr>
          <w:rFonts w:ascii="Calibri" w:eastAsia="Times New Roman" w:hAnsi="Calibri"/>
          <w:sz w:val="22"/>
          <w:szCs w:val="22"/>
        </w:rPr>
        <w:t>buit is gemaakt.)</w:t>
      </w:r>
      <w:r>
        <w:rPr>
          <w:rFonts w:ascii="Calibri" w:eastAsia="Times New Roman" w:hAnsi="Calibri"/>
          <w:sz w:val="22"/>
          <w:szCs w:val="22"/>
        </w:rPr>
        <w:t xml:space="preserve"> </w:t>
      </w:r>
    </w:p>
    <w:p w:rsidR="00F83B35" w:rsidRDefault="001E79D1">
      <w:pPr>
        <w:rPr>
          <w:rFonts w:ascii="Calibri" w:eastAsia="Times New Roman" w:hAnsi="Calibri"/>
          <w:sz w:val="22"/>
          <w:szCs w:val="22"/>
        </w:rPr>
      </w:pPr>
      <w:r>
        <w:rPr>
          <w:rFonts w:ascii="Calibri" w:eastAsia="Times New Roman" w:hAnsi="Calibri"/>
          <w:sz w:val="22"/>
          <w:szCs w:val="22"/>
        </w:rPr>
        <w:t>Hoe beter de woning is beveiligd, hoe minder kans dat de dader binnengeraakt en zijn poging tot inbreken staakt. Goed beveiligen</w:t>
      </w:r>
      <w:r w:rsidR="008F2465">
        <w:rPr>
          <w:rFonts w:ascii="Calibri" w:eastAsia="Times New Roman" w:hAnsi="Calibri"/>
          <w:sz w:val="22"/>
          <w:szCs w:val="22"/>
        </w:rPr>
        <w:t xml:space="preserve"> van ramen en deuren met stevig gekeurd materiaal</w:t>
      </w:r>
      <w:r>
        <w:rPr>
          <w:rFonts w:ascii="Calibri" w:eastAsia="Times New Roman" w:hAnsi="Calibri"/>
          <w:sz w:val="22"/>
          <w:szCs w:val="22"/>
        </w:rPr>
        <w:t xml:space="preserve"> is de boodschap. </w:t>
      </w:r>
      <w:r w:rsidR="008F2465">
        <w:rPr>
          <w:rFonts w:ascii="Calibri" w:eastAsia="Times New Roman" w:hAnsi="Calibri"/>
          <w:sz w:val="22"/>
          <w:szCs w:val="22"/>
        </w:rPr>
        <w:t>Z</w:t>
      </w:r>
      <w:r>
        <w:rPr>
          <w:rFonts w:ascii="Calibri" w:eastAsia="Times New Roman" w:hAnsi="Calibri"/>
          <w:sz w:val="22"/>
          <w:szCs w:val="22"/>
        </w:rPr>
        <w:t xml:space="preserve">ie: </w:t>
      </w:r>
      <w:hyperlink r:id="rId16" w:history="1">
        <w:r w:rsidRPr="004C3208">
          <w:rPr>
            <w:rStyle w:val="Hyperlink"/>
            <w:rFonts w:ascii="Calibri" w:eastAsia="Times New Roman" w:hAnsi="Calibri"/>
            <w:sz w:val="22"/>
            <w:szCs w:val="22"/>
          </w:rPr>
          <w:t>www.certificaatinbraakveilig.be</w:t>
        </w:r>
      </w:hyperlink>
    </w:p>
    <w:p w:rsidR="001E79D1" w:rsidRDefault="001E79D1">
      <w:pPr>
        <w:rPr>
          <w:rFonts w:ascii="Calibri" w:eastAsia="Times New Roman" w:hAnsi="Calibri"/>
          <w:sz w:val="22"/>
          <w:szCs w:val="22"/>
        </w:rPr>
      </w:pPr>
    </w:p>
    <w:p w:rsidR="0072057D" w:rsidRDefault="0072057D"/>
    <w:p w:rsidR="0072057D" w:rsidRDefault="00282601">
      <w:r>
        <w:rPr>
          <w:noProof/>
          <w:lang w:eastAsia="nl-BE"/>
        </w:rPr>
        <w:drawing>
          <wp:inline distT="0" distB="0" distL="0" distR="0" wp14:anchorId="7487DE80" wp14:editId="643C3936">
            <wp:extent cx="5759450" cy="3329778"/>
            <wp:effectExtent l="0" t="0" r="12700" b="23495"/>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057D" w:rsidRDefault="0072057D"/>
    <w:p w:rsidR="00594541" w:rsidRDefault="00594541"/>
    <w:p w:rsidR="00594541" w:rsidRPr="00F819B8" w:rsidRDefault="00C72C32">
      <w:pPr>
        <w:rPr>
          <w:rFonts w:ascii="Calibri" w:eastAsia="Times New Roman" w:hAnsi="Calibri"/>
          <w:sz w:val="22"/>
          <w:szCs w:val="22"/>
        </w:rPr>
      </w:pPr>
      <w:r w:rsidRPr="00F819B8">
        <w:rPr>
          <w:rFonts w:ascii="Calibri" w:eastAsia="Times New Roman" w:hAnsi="Calibri"/>
          <w:sz w:val="22"/>
          <w:szCs w:val="22"/>
        </w:rPr>
        <w:t xml:space="preserve">Ook het aantal inbraken in handelszaken daalt gevoelig de laatste vijf jaren, met een kleine toename </w:t>
      </w:r>
      <w:r w:rsidR="00A60A67">
        <w:rPr>
          <w:rFonts w:ascii="Calibri" w:eastAsia="Times New Roman" w:hAnsi="Calibri"/>
          <w:sz w:val="22"/>
          <w:szCs w:val="22"/>
        </w:rPr>
        <w:t>in 2017</w:t>
      </w:r>
      <w:r w:rsidRPr="00F819B8">
        <w:rPr>
          <w:rFonts w:ascii="Calibri" w:eastAsia="Times New Roman" w:hAnsi="Calibri"/>
          <w:sz w:val="22"/>
          <w:szCs w:val="22"/>
        </w:rPr>
        <w:t xml:space="preserve">. Ten opzichte van 2013 is </w:t>
      </w:r>
      <w:r w:rsidR="00F819B8">
        <w:rPr>
          <w:rFonts w:ascii="Calibri" w:eastAsia="Times New Roman" w:hAnsi="Calibri"/>
          <w:sz w:val="22"/>
          <w:szCs w:val="22"/>
        </w:rPr>
        <w:t>de</w:t>
      </w:r>
      <w:r w:rsidRPr="00F819B8">
        <w:rPr>
          <w:rFonts w:ascii="Calibri" w:eastAsia="Times New Roman" w:hAnsi="Calibri"/>
          <w:sz w:val="22"/>
          <w:szCs w:val="22"/>
        </w:rPr>
        <w:t xml:space="preserve"> daling 34,7%.</w:t>
      </w:r>
    </w:p>
    <w:p w:rsidR="00E42902" w:rsidRPr="00F819B8" w:rsidRDefault="00E42902">
      <w:pPr>
        <w:rPr>
          <w:rFonts w:ascii="Calibri" w:eastAsia="Times New Roman" w:hAnsi="Calibri"/>
          <w:sz w:val="22"/>
          <w:szCs w:val="22"/>
        </w:rPr>
      </w:pPr>
    </w:p>
    <w:p w:rsidR="0072057D" w:rsidRDefault="0072057D"/>
    <w:p w:rsidR="0072057D" w:rsidRDefault="0072057D"/>
    <w:p w:rsidR="00D94478" w:rsidRDefault="0060501B">
      <w:pPr>
        <w:rPr>
          <w:noProof/>
          <w:lang w:eastAsia="nl-BE"/>
        </w:rPr>
      </w:pPr>
      <w:r>
        <w:rPr>
          <w:noProof/>
          <w:lang w:eastAsia="nl-BE"/>
        </w:rPr>
        <w:lastRenderedPageBreak/>
        <w:drawing>
          <wp:inline distT="0" distB="0" distL="0" distR="0" wp14:anchorId="002F33BC">
            <wp:extent cx="5985163" cy="3138243"/>
            <wp:effectExtent l="0" t="0" r="0" b="508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86240" cy="3138808"/>
                    </a:xfrm>
                    <a:prstGeom prst="rect">
                      <a:avLst/>
                    </a:prstGeom>
                    <a:noFill/>
                  </pic:spPr>
                </pic:pic>
              </a:graphicData>
            </a:graphic>
          </wp:inline>
        </w:drawing>
      </w:r>
    </w:p>
    <w:p w:rsidR="0060501B" w:rsidRDefault="0060501B">
      <w:pPr>
        <w:rPr>
          <w:rFonts w:ascii="Calibri" w:eastAsia="Times New Roman" w:hAnsi="Calibri"/>
          <w:sz w:val="22"/>
          <w:szCs w:val="22"/>
        </w:rPr>
      </w:pPr>
    </w:p>
    <w:p w:rsidR="00D94478" w:rsidRDefault="00DA5466">
      <w:pPr>
        <w:rPr>
          <w:rFonts w:ascii="Calibri" w:eastAsia="Times New Roman" w:hAnsi="Calibri"/>
          <w:sz w:val="22"/>
          <w:szCs w:val="22"/>
        </w:rPr>
      </w:pPr>
      <w:r w:rsidRPr="006D5985">
        <w:rPr>
          <w:rFonts w:ascii="Calibri" w:eastAsia="Times New Roman" w:hAnsi="Calibri"/>
          <w:sz w:val="22"/>
          <w:szCs w:val="22"/>
        </w:rPr>
        <w:t>Diefstal van voertuigen was ooit een grote zorg. Momenteel is het dat niet meer.</w:t>
      </w:r>
      <w:r w:rsidR="006D5985" w:rsidRPr="006D5985">
        <w:rPr>
          <w:rFonts w:ascii="Calibri" w:eastAsia="Times New Roman" w:hAnsi="Calibri"/>
          <w:sz w:val="22"/>
          <w:szCs w:val="22"/>
        </w:rPr>
        <w:t xml:space="preserve"> Sinds 2003 is het gedaald met 55,5%. </w:t>
      </w:r>
      <w:r w:rsidR="006D5985">
        <w:rPr>
          <w:rFonts w:ascii="Calibri" w:eastAsia="Times New Roman" w:hAnsi="Calibri"/>
          <w:sz w:val="22"/>
          <w:szCs w:val="22"/>
        </w:rPr>
        <w:t xml:space="preserve"> De laatste vijf jaar blijft het vrij stabiel.</w:t>
      </w:r>
    </w:p>
    <w:p w:rsidR="00990486" w:rsidRDefault="00990486">
      <w:pPr>
        <w:rPr>
          <w:rFonts w:ascii="Calibri" w:eastAsia="Times New Roman" w:hAnsi="Calibri"/>
          <w:sz w:val="22"/>
          <w:szCs w:val="22"/>
        </w:rPr>
      </w:pPr>
    </w:p>
    <w:p w:rsidR="00D94478" w:rsidRDefault="00D94478">
      <w:pPr>
        <w:rPr>
          <w:noProof/>
          <w:lang w:eastAsia="nl-BE"/>
        </w:rPr>
      </w:pPr>
    </w:p>
    <w:p w:rsidR="00D94478" w:rsidRDefault="0060501B">
      <w:pPr>
        <w:rPr>
          <w:noProof/>
          <w:lang w:eastAsia="nl-BE"/>
        </w:rPr>
      </w:pPr>
      <w:r>
        <w:rPr>
          <w:noProof/>
          <w:lang w:eastAsia="nl-BE"/>
        </w:rPr>
        <w:drawing>
          <wp:inline distT="0" distB="0" distL="0" distR="0" wp14:anchorId="051FF14D">
            <wp:extent cx="6011539" cy="3083683"/>
            <wp:effectExtent l="0" t="0" r="8890" b="254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5934" cy="3085937"/>
                    </a:xfrm>
                    <a:prstGeom prst="rect">
                      <a:avLst/>
                    </a:prstGeom>
                    <a:noFill/>
                  </pic:spPr>
                </pic:pic>
              </a:graphicData>
            </a:graphic>
          </wp:inline>
        </w:drawing>
      </w:r>
    </w:p>
    <w:p w:rsidR="00D94478" w:rsidRDefault="00D94478">
      <w:pPr>
        <w:rPr>
          <w:noProof/>
          <w:lang w:eastAsia="nl-BE"/>
        </w:rPr>
      </w:pPr>
    </w:p>
    <w:p w:rsidR="00D94478" w:rsidRDefault="00D94478">
      <w:pPr>
        <w:rPr>
          <w:noProof/>
          <w:lang w:eastAsia="nl-BE"/>
        </w:rPr>
      </w:pPr>
    </w:p>
    <w:p w:rsidR="0060501B" w:rsidRDefault="0060501B">
      <w:pPr>
        <w:rPr>
          <w:noProof/>
          <w:lang w:eastAsia="nl-BE"/>
        </w:rPr>
      </w:pPr>
    </w:p>
    <w:p w:rsidR="00D94478" w:rsidRDefault="00D94478">
      <w:pPr>
        <w:rPr>
          <w:noProof/>
          <w:lang w:eastAsia="nl-BE"/>
        </w:rPr>
      </w:pPr>
    </w:p>
    <w:p w:rsidR="006762FB" w:rsidRDefault="0060501B">
      <w:pPr>
        <w:rPr>
          <w:noProof/>
          <w:lang w:eastAsia="nl-BE"/>
        </w:rPr>
      </w:pPr>
      <w:r>
        <w:rPr>
          <w:noProof/>
          <w:lang w:eastAsia="nl-BE"/>
        </w:rPr>
        <w:lastRenderedPageBreak/>
        <w:drawing>
          <wp:inline distT="0" distB="0" distL="0" distR="0" wp14:anchorId="1C15C77F">
            <wp:extent cx="5948990" cy="3092335"/>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50190" cy="3092959"/>
                    </a:xfrm>
                    <a:prstGeom prst="rect">
                      <a:avLst/>
                    </a:prstGeom>
                    <a:noFill/>
                  </pic:spPr>
                </pic:pic>
              </a:graphicData>
            </a:graphic>
          </wp:inline>
        </w:drawing>
      </w:r>
    </w:p>
    <w:p w:rsidR="0060501B" w:rsidRDefault="0060501B">
      <w:pPr>
        <w:rPr>
          <w:noProof/>
          <w:lang w:eastAsia="nl-BE"/>
        </w:rPr>
      </w:pPr>
    </w:p>
    <w:p w:rsidR="006762FB" w:rsidRPr="00A227A8" w:rsidRDefault="00921A74">
      <w:pPr>
        <w:rPr>
          <w:rFonts w:ascii="Calibri" w:eastAsia="Times New Roman" w:hAnsi="Calibri"/>
          <w:sz w:val="22"/>
          <w:szCs w:val="22"/>
        </w:rPr>
      </w:pPr>
      <w:r>
        <w:rPr>
          <w:rFonts w:ascii="Calibri" w:eastAsia="Times New Roman" w:hAnsi="Calibri"/>
          <w:sz w:val="22"/>
          <w:szCs w:val="22"/>
        </w:rPr>
        <w:t>Het aantal gereg</w:t>
      </w:r>
      <w:r w:rsidR="002A04EE" w:rsidRPr="00A227A8">
        <w:rPr>
          <w:rFonts w:ascii="Calibri" w:eastAsia="Times New Roman" w:hAnsi="Calibri"/>
          <w:sz w:val="22"/>
          <w:szCs w:val="22"/>
        </w:rPr>
        <w:t xml:space="preserve">istreerde feiten voor diefstallen aan of uit voertuigen is teruggedrongen </w:t>
      </w:r>
      <w:r w:rsidR="00420B71" w:rsidRPr="00A227A8">
        <w:rPr>
          <w:rFonts w:ascii="Calibri" w:eastAsia="Times New Roman" w:hAnsi="Calibri"/>
          <w:sz w:val="22"/>
          <w:szCs w:val="22"/>
        </w:rPr>
        <w:t xml:space="preserve">met 43,5% in </w:t>
      </w:r>
      <w:r w:rsidR="002A04EE" w:rsidRPr="00A227A8">
        <w:rPr>
          <w:rFonts w:ascii="Calibri" w:eastAsia="Times New Roman" w:hAnsi="Calibri"/>
          <w:sz w:val="22"/>
          <w:szCs w:val="22"/>
        </w:rPr>
        <w:t xml:space="preserve">de laatste vijf jaar. </w:t>
      </w:r>
      <w:r w:rsidR="00A60A67">
        <w:rPr>
          <w:rFonts w:ascii="Calibri" w:eastAsia="Times New Roman" w:hAnsi="Calibri"/>
          <w:sz w:val="22"/>
          <w:szCs w:val="22"/>
        </w:rPr>
        <w:t xml:space="preserve"> </w:t>
      </w:r>
      <w:r w:rsidR="002A04EE" w:rsidRPr="00A227A8">
        <w:rPr>
          <w:rFonts w:ascii="Calibri" w:eastAsia="Times New Roman" w:hAnsi="Calibri"/>
          <w:sz w:val="22"/>
          <w:szCs w:val="22"/>
        </w:rPr>
        <w:t>Het piekjaar lag in</w:t>
      </w:r>
      <w:r w:rsidR="00420B71" w:rsidRPr="00A227A8">
        <w:rPr>
          <w:rFonts w:ascii="Calibri" w:eastAsia="Times New Roman" w:hAnsi="Calibri"/>
          <w:sz w:val="22"/>
          <w:szCs w:val="22"/>
        </w:rPr>
        <w:t xml:space="preserve"> 2004 met meer dan 7000 feiten of een daling van 58,4%!</w:t>
      </w:r>
    </w:p>
    <w:p w:rsidR="006762FB" w:rsidRPr="00A227A8" w:rsidRDefault="006762FB">
      <w:pPr>
        <w:rPr>
          <w:rFonts w:ascii="Calibri" w:eastAsia="Times New Roman" w:hAnsi="Calibri"/>
          <w:sz w:val="22"/>
          <w:szCs w:val="22"/>
        </w:rPr>
      </w:pPr>
    </w:p>
    <w:p w:rsidR="006762FB" w:rsidRPr="00A227A8" w:rsidRDefault="0060501B">
      <w:pPr>
        <w:rPr>
          <w:rFonts w:ascii="Calibri" w:eastAsia="Times New Roman" w:hAnsi="Calibri"/>
          <w:sz w:val="22"/>
          <w:szCs w:val="22"/>
        </w:rPr>
      </w:pPr>
      <w:r>
        <w:rPr>
          <w:rFonts w:ascii="Calibri" w:eastAsia="Times New Roman" w:hAnsi="Calibri"/>
          <w:noProof/>
          <w:sz w:val="22"/>
          <w:szCs w:val="22"/>
          <w:lang w:eastAsia="nl-BE"/>
        </w:rPr>
        <w:drawing>
          <wp:inline distT="0" distB="0" distL="0" distR="0" wp14:anchorId="4C5B0AFF">
            <wp:extent cx="5899163" cy="3208712"/>
            <wp:effectExtent l="0" t="0" r="635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05053" cy="3211916"/>
                    </a:xfrm>
                    <a:prstGeom prst="rect">
                      <a:avLst/>
                    </a:prstGeom>
                    <a:noFill/>
                  </pic:spPr>
                </pic:pic>
              </a:graphicData>
            </a:graphic>
          </wp:inline>
        </w:drawing>
      </w:r>
    </w:p>
    <w:p w:rsidR="00D94478" w:rsidRDefault="00D94478">
      <w:pPr>
        <w:rPr>
          <w:noProof/>
          <w:lang w:eastAsia="nl-BE"/>
        </w:rPr>
      </w:pPr>
    </w:p>
    <w:p w:rsidR="0060501B" w:rsidRDefault="002B3072">
      <w:pPr>
        <w:rPr>
          <w:rFonts w:ascii="Calibri" w:eastAsia="Times New Roman" w:hAnsi="Calibri"/>
          <w:sz w:val="22"/>
          <w:szCs w:val="22"/>
        </w:rPr>
      </w:pPr>
      <w:r w:rsidRPr="00A227A8">
        <w:rPr>
          <w:rFonts w:ascii="Calibri" w:eastAsia="Times New Roman" w:hAnsi="Calibri"/>
          <w:sz w:val="22"/>
          <w:szCs w:val="22"/>
        </w:rPr>
        <w:t>Gauwdiefstal (</w:t>
      </w:r>
      <w:proofErr w:type="spellStart"/>
      <w:r w:rsidRPr="00A227A8">
        <w:rPr>
          <w:rFonts w:ascii="Calibri" w:eastAsia="Times New Roman" w:hAnsi="Calibri"/>
          <w:sz w:val="22"/>
          <w:szCs w:val="22"/>
        </w:rPr>
        <w:t>pickpocketing</w:t>
      </w:r>
      <w:proofErr w:type="spellEnd"/>
      <w:r w:rsidRPr="00A227A8">
        <w:rPr>
          <w:rFonts w:ascii="Calibri" w:eastAsia="Times New Roman" w:hAnsi="Calibri"/>
          <w:sz w:val="22"/>
          <w:szCs w:val="22"/>
        </w:rPr>
        <w:t xml:space="preserve"> of zakkenrollerij =  heimelijk diefstal zonder geweld, op een publieke of </w:t>
      </w:r>
      <w:proofErr w:type="spellStart"/>
      <w:r w:rsidRPr="00A227A8">
        <w:rPr>
          <w:rFonts w:ascii="Calibri" w:eastAsia="Times New Roman" w:hAnsi="Calibri"/>
          <w:sz w:val="22"/>
          <w:szCs w:val="22"/>
        </w:rPr>
        <w:t>semi-publieke</w:t>
      </w:r>
      <w:proofErr w:type="spellEnd"/>
      <w:r w:rsidRPr="00A227A8">
        <w:rPr>
          <w:rFonts w:ascii="Calibri" w:eastAsia="Times New Roman" w:hAnsi="Calibri"/>
          <w:sz w:val="22"/>
          <w:szCs w:val="22"/>
        </w:rPr>
        <w:t xml:space="preserve"> plaats, van een voorwerp dat het slachtoffer op zich draagt of bij zich heeft) kent eveneens een sterke daling sinds het piekjaar in 2013. </w:t>
      </w:r>
    </w:p>
    <w:p w:rsidR="002B3072" w:rsidRPr="00A227A8" w:rsidRDefault="002B3072">
      <w:pPr>
        <w:rPr>
          <w:rFonts w:ascii="Calibri" w:eastAsia="Times New Roman" w:hAnsi="Calibri"/>
          <w:sz w:val="22"/>
          <w:szCs w:val="22"/>
        </w:rPr>
      </w:pPr>
      <w:r w:rsidRPr="00A227A8">
        <w:rPr>
          <w:rFonts w:ascii="Calibri" w:eastAsia="Times New Roman" w:hAnsi="Calibri"/>
          <w:sz w:val="22"/>
          <w:szCs w:val="22"/>
        </w:rPr>
        <w:t xml:space="preserve">In 2017 is het laagste aantal </w:t>
      </w:r>
      <w:r w:rsidR="00A60A67">
        <w:rPr>
          <w:rFonts w:ascii="Calibri" w:eastAsia="Times New Roman" w:hAnsi="Calibri"/>
          <w:sz w:val="22"/>
          <w:szCs w:val="22"/>
        </w:rPr>
        <w:t xml:space="preserve">gauwdiefstallen geregistreerd </w:t>
      </w:r>
      <w:r w:rsidRPr="00A227A8">
        <w:rPr>
          <w:rFonts w:ascii="Calibri" w:eastAsia="Times New Roman" w:hAnsi="Calibri"/>
          <w:sz w:val="22"/>
          <w:szCs w:val="22"/>
        </w:rPr>
        <w:t xml:space="preserve">sinds 2009. </w:t>
      </w:r>
      <w:r w:rsidR="00A60A67">
        <w:rPr>
          <w:rFonts w:ascii="Calibri" w:eastAsia="Times New Roman" w:hAnsi="Calibri"/>
          <w:sz w:val="22"/>
          <w:szCs w:val="22"/>
        </w:rPr>
        <w:t>We stellen e</w:t>
      </w:r>
      <w:r w:rsidRPr="00A227A8">
        <w:rPr>
          <w:rFonts w:ascii="Calibri" w:eastAsia="Times New Roman" w:hAnsi="Calibri"/>
          <w:sz w:val="22"/>
          <w:szCs w:val="22"/>
        </w:rPr>
        <w:t xml:space="preserve">en daling </w:t>
      </w:r>
      <w:r w:rsidR="00A60A67">
        <w:rPr>
          <w:rFonts w:ascii="Calibri" w:eastAsia="Times New Roman" w:hAnsi="Calibri"/>
          <w:sz w:val="22"/>
          <w:szCs w:val="22"/>
        </w:rPr>
        <w:t xml:space="preserve">vast </w:t>
      </w:r>
      <w:r w:rsidRPr="00A227A8">
        <w:rPr>
          <w:rFonts w:ascii="Calibri" w:eastAsia="Times New Roman" w:hAnsi="Calibri"/>
          <w:sz w:val="22"/>
          <w:szCs w:val="22"/>
        </w:rPr>
        <w:t xml:space="preserve">over de vijf </w:t>
      </w:r>
      <w:r w:rsidR="00A60A67">
        <w:rPr>
          <w:rFonts w:ascii="Calibri" w:eastAsia="Times New Roman" w:hAnsi="Calibri"/>
          <w:sz w:val="22"/>
          <w:szCs w:val="22"/>
        </w:rPr>
        <w:t xml:space="preserve">laatste </w:t>
      </w:r>
      <w:r w:rsidRPr="00A227A8">
        <w:rPr>
          <w:rFonts w:ascii="Calibri" w:eastAsia="Times New Roman" w:hAnsi="Calibri"/>
          <w:sz w:val="22"/>
          <w:szCs w:val="22"/>
        </w:rPr>
        <w:t>ja</w:t>
      </w:r>
      <w:r w:rsidR="00A60A67">
        <w:rPr>
          <w:rFonts w:ascii="Calibri" w:eastAsia="Times New Roman" w:hAnsi="Calibri"/>
          <w:sz w:val="22"/>
          <w:szCs w:val="22"/>
        </w:rPr>
        <w:t>ren</w:t>
      </w:r>
      <w:r w:rsidRPr="00A227A8">
        <w:rPr>
          <w:rFonts w:ascii="Calibri" w:eastAsia="Times New Roman" w:hAnsi="Calibri"/>
          <w:sz w:val="22"/>
          <w:szCs w:val="22"/>
        </w:rPr>
        <w:t xml:space="preserve"> met 62%. Preventie, goede opsporing en vervolging hebben duidelijk resultaat behaald bij dit fenomeen.</w:t>
      </w:r>
    </w:p>
    <w:p w:rsidR="00D94478" w:rsidRPr="00A227A8" w:rsidRDefault="00D94478">
      <w:pPr>
        <w:rPr>
          <w:rFonts w:ascii="Calibri" w:eastAsia="Times New Roman" w:hAnsi="Calibri"/>
          <w:sz w:val="22"/>
          <w:szCs w:val="22"/>
        </w:rPr>
      </w:pPr>
    </w:p>
    <w:p w:rsidR="00D94478" w:rsidRPr="00A227A8" w:rsidRDefault="00D94478">
      <w:pPr>
        <w:rPr>
          <w:rFonts w:ascii="Calibri" w:eastAsia="Times New Roman" w:hAnsi="Calibri"/>
          <w:sz w:val="22"/>
          <w:szCs w:val="22"/>
        </w:rPr>
      </w:pPr>
    </w:p>
    <w:p w:rsidR="00D94478" w:rsidRDefault="00D94478">
      <w:pPr>
        <w:rPr>
          <w:noProof/>
          <w:lang w:eastAsia="nl-BE"/>
        </w:rPr>
      </w:pPr>
    </w:p>
    <w:p w:rsidR="00D94478" w:rsidRDefault="00D94478">
      <w:pPr>
        <w:rPr>
          <w:noProof/>
          <w:lang w:eastAsia="nl-BE"/>
        </w:rPr>
      </w:pPr>
    </w:p>
    <w:p w:rsidR="00D94478" w:rsidRDefault="00D94478">
      <w:pPr>
        <w:rPr>
          <w:noProof/>
          <w:lang w:eastAsia="nl-BE"/>
        </w:rPr>
      </w:pPr>
    </w:p>
    <w:p w:rsidR="00D94478" w:rsidRDefault="00D94478">
      <w:pPr>
        <w:rPr>
          <w:noProof/>
          <w:lang w:eastAsia="nl-BE"/>
        </w:rPr>
      </w:pPr>
    </w:p>
    <w:p w:rsidR="00D94478" w:rsidRDefault="00D94478">
      <w:pPr>
        <w:rPr>
          <w:noProof/>
          <w:lang w:eastAsia="nl-BE"/>
        </w:rPr>
      </w:pPr>
    </w:p>
    <w:p w:rsidR="00B622C8" w:rsidRDefault="0060501B">
      <w:pPr>
        <w:rPr>
          <w:noProof/>
          <w:lang w:eastAsia="nl-BE"/>
        </w:rPr>
      </w:pPr>
      <w:r>
        <w:rPr>
          <w:noProof/>
          <w:lang w:eastAsia="nl-BE"/>
        </w:rPr>
        <w:lastRenderedPageBreak/>
        <w:drawing>
          <wp:inline distT="0" distB="0" distL="0" distR="0" wp14:anchorId="1CDAC5DC">
            <wp:extent cx="5960225" cy="3202589"/>
            <wp:effectExtent l="0" t="0" r="254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62674" cy="3203905"/>
                    </a:xfrm>
                    <a:prstGeom prst="rect">
                      <a:avLst/>
                    </a:prstGeom>
                    <a:noFill/>
                  </pic:spPr>
                </pic:pic>
              </a:graphicData>
            </a:graphic>
          </wp:inline>
        </w:drawing>
      </w:r>
    </w:p>
    <w:p w:rsidR="0060501B" w:rsidRDefault="0060501B">
      <w:pPr>
        <w:rPr>
          <w:rFonts w:ascii="Calibri" w:eastAsia="Times New Roman" w:hAnsi="Calibri"/>
          <w:sz w:val="22"/>
          <w:szCs w:val="22"/>
        </w:rPr>
      </w:pPr>
    </w:p>
    <w:p w:rsidR="00B622C8" w:rsidRPr="00E50C1E" w:rsidRDefault="00B622C8">
      <w:pPr>
        <w:rPr>
          <w:rFonts w:ascii="Calibri" w:eastAsia="Times New Roman" w:hAnsi="Calibri"/>
          <w:sz w:val="22"/>
          <w:szCs w:val="22"/>
        </w:rPr>
      </w:pPr>
      <w:r w:rsidRPr="00E50C1E">
        <w:rPr>
          <w:rFonts w:ascii="Calibri" w:eastAsia="Times New Roman" w:hAnsi="Calibri"/>
          <w:sz w:val="22"/>
          <w:szCs w:val="22"/>
        </w:rPr>
        <w:t>Het aantal geregistreerde feiten van diefstal met geweld daalt eveneens de laatste vijf jaar. Sinds 2013 is d</w:t>
      </w:r>
      <w:r w:rsidR="00AC1141">
        <w:rPr>
          <w:rFonts w:ascii="Calibri" w:eastAsia="Times New Roman" w:hAnsi="Calibri"/>
          <w:sz w:val="22"/>
          <w:szCs w:val="22"/>
        </w:rPr>
        <w:t>ie</w:t>
      </w:r>
      <w:r w:rsidR="003A7F4B">
        <w:rPr>
          <w:rFonts w:ascii="Calibri" w:eastAsia="Times New Roman" w:hAnsi="Calibri"/>
          <w:sz w:val="22"/>
          <w:szCs w:val="22"/>
        </w:rPr>
        <w:t xml:space="preserve"> daling </w:t>
      </w:r>
      <w:r w:rsidR="00E50C1E" w:rsidRPr="00E50C1E">
        <w:rPr>
          <w:rFonts w:ascii="Calibri" w:eastAsia="Times New Roman" w:hAnsi="Calibri"/>
          <w:sz w:val="22"/>
          <w:szCs w:val="22"/>
        </w:rPr>
        <w:t>bijna 30%.</w:t>
      </w:r>
      <w:r w:rsidR="00AC1141">
        <w:rPr>
          <w:rFonts w:ascii="Calibri" w:eastAsia="Times New Roman" w:hAnsi="Calibri"/>
          <w:sz w:val="22"/>
          <w:szCs w:val="22"/>
        </w:rPr>
        <w:t xml:space="preserve"> Van deze </w:t>
      </w:r>
      <w:r w:rsidR="00A60A67">
        <w:rPr>
          <w:rFonts w:ascii="Calibri" w:eastAsia="Times New Roman" w:hAnsi="Calibri"/>
          <w:sz w:val="22"/>
          <w:szCs w:val="22"/>
        </w:rPr>
        <w:t>‘</w:t>
      </w:r>
      <w:r w:rsidR="00AC1141">
        <w:rPr>
          <w:rFonts w:ascii="Calibri" w:eastAsia="Times New Roman" w:hAnsi="Calibri"/>
          <w:sz w:val="22"/>
          <w:szCs w:val="22"/>
        </w:rPr>
        <w:t>diefstallen met geweld</w:t>
      </w:r>
      <w:r w:rsidR="00A60A67">
        <w:rPr>
          <w:rFonts w:ascii="Calibri" w:eastAsia="Times New Roman" w:hAnsi="Calibri"/>
          <w:sz w:val="22"/>
          <w:szCs w:val="22"/>
        </w:rPr>
        <w:t>’</w:t>
      </w:r>
      <w:r w:rsidR="00AC1141">
        <w:rPr>
          <w:rFonts w:ascii="Calibri" w:eastAsia="Times New Roman" w:hAnsi="Calibri"/>
          <w:sz w:val="22"/>
          <w:szCs w:val="22"/>
        </w:rPr>
        <w:t xml:space="preserve"> gebeurt meer dan 3 op 4 (77,6%) zonder wapens. </w:t>
      </w:r>
    </w:p>
    <w:p w:rsidR="00E50C1E" w:rsidRDefault="00E50C1E" w:rsidP="00E50C1E">
      <w:pPr>
        <w:rPr>
          <w:noProof/>
          <w:lang w:eastAsia="nl-BE"/>
        </w:rPr>
      </w:pPr>
    </w:p>
    <w:p w:rsidR="00E50C1E" w:rsidRDefault="00AC1141" w:rsidP="00E50C1E">
      <w:pPr>
        <w:rPr>
          <w:noProof/>
          <w:lang w:eastAsia="nl-BE"/>
        </w:rPr>
      </w:pPr>
      <w:r>
        <w:rPr>
          <w:noProof/>
          <w:lang w:eastAsia="nl-BE"/>
        </w:rPr>
        <w:t xml:space="preserve">Definitie: </w:t>
      </w:r>
      <w:r w:rsidR="00E50C1E">
        <w:rPr>
          <w:noProof/>
          <w:lang w:eastAsia="nl-BE"/>
        </w:rPr>
        <w:t xml:space="preserve">«de diefstallen door middel van geweld of bedreiging (art. 468 SWB), de met diefstallen dmv geweld </w:t>
      </w:r>
    </w:p>
    <w:p w:rsidR="00E50C1E" w:rsidRDefault="00E50C1E" w:rsidP="00E50C1E">
      <w:pPr>
        <w:rPr>
          <w:noProof/>
          <w:lang w:eastAsia="nl-BE"/>
        </w:rPr>
      </w:pPr>
      <w:r>
        <w:rPr>
          <w:noProof/>
          <w:lang w:eastAsia="nl-BE"/>
        </w:rPr>
        <w:t>of bedreiging gelijkgestelde diefstallen (art. 469 SWB) en de afpersingen (art.470 SWB), voor zover wapens of op wapens gelijkende voorwerpen worden gebruikt of getoond of indien de dader doet geloven dat hij gewapend is of weerloos makende of giftige stoffen gebruikt worden.»</w:t>
      </w:r>
    </w:p>
    <w:p w:rsidR="00D94478" w:rsidRDefault="00D94478">
      <w:pPr>
        <w:rPr>
          <w:noProof/>
          <w:lang w:eastAsia="nl-BE"/>
        </w:rPr>
      </w:pPr>
    </w:p>
    <w:p w:rsidR="00A60A67" w:rsidRDefault="00A60A67">
      <w:pPr>
        <w:rPr>
          <w:noProof/>
          <w:lang w:eastAsia="nl-BE"/>
        </w:rPr>
      </w:pPr>
    </w:p>
    <w:p w:rsidR="00A60A67" w:rsidRDefault="00A60A67">
      <w:pPr>
        <w:rPr>
          <w:noProof/>
          <w:lang w:eastAsia="nl-BE"/>
        </w:rPr>
      </w:pPr>
    </w:p>
    <w:p w:rsidR="00D94478" w:rsidRDefault="00AC1141">
      <w:pPr>
        <w:rPr>
          <w:noProof/>
          <w:lang w:eastAsia="nl-BE"/>
        </w:rPr>
      </w:pPr>
      <w:r>
        <w:rPr>
          <w:noProof/>
          <w:lang w:eastAsia="nl-BE"/>
        </w:rPr>
        <w:drawing>
          <wp:inline distT="0" distB="0" distL="0" distR="0" wp14:anchorId="15AB3E33">
            <wp:extent cx="5902036" cy="3073721"/>
            <wp:effectExtent l="0" t="0" r="3810" b="0"/>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7365" cy="3076496"/>
                    </a:xfrm>
                    <a:prstGeom prst="rect">
                      <a:avLst/>
                    </a:prstGeom>
                    <a:noFill/>
                  </pic:spPr>
                </pic:pic>
              </a:graphicData>
            </a:graphic>
          </wp:inline>
        </w:drawing>
      </w:r>
    </w:p>
    <w:p w:rsidR="00250FB7" w:rsidRDefault="00250FB7">
      <w:pPr>
        <w:rPr>
          <w:noProof/>
          <w:lang w:eastAsia="nl-BE"/>
        </w:rPr>
      </w:pPr>
    </w:p>
    <w:p w:rsidR="009137E5" w:rsidRPr="00FC5EA5" w:rsidRDefault="00FC5EA5">
      <w:pPr>
        <w:rPr>
          <w:rFonts w:ascii="Calibri" w:eastAsia="Times New Roman" w:hAnsi="Calibri"/>
          <w:sz w:val="22"/>
          <w:szCs w:val="22"/>
        </w:rPr>
      </w:pPr>
      <w:r w:rsidRPr="00FC5EA5">
        <w:rPr>
          <w:rFonts w:ascii="Calibri" w:eastAsia="Times New Roman" w:hAnsi="Calibri"/>
          <w:sz w:val="22"/>
          <w:szCs w:val="22"/>
        </w:rPr>
        <w:t>Dit fenomeen is eerder een inspanningsstatistiek: hoe meer de politie hierop kan werken, hoe meer feiten ze kan vaststellen. De evolutie sinds 2013 is in stijgende lijn of een toename met 35%.</w:t>
      </w:r>
    </w:p>
    <w:p w:rsidR="009137E5" w:rsidRDefault="009137E5">
      <w:pPr>
        <w:rPr>
          <w:noProof/>
          <w:lang w:eastAsia="nl-BE"/>
        </w:rPr>
      </w:pPr>
    </w:p>
    <w:p w:rsidR="009137E5" w:rsidRDefault="009137E5" w:rsidP="009137E5">
      <w:pPr>
        <w:rPr>
          <w:noProof/>
          <w:lang w:eastAsia="nl-BE"/>
        </w:rPr>
      </w:pPr>
    </w:p>
    <w:p w:rsidR="00DE28B5" w:rsidRDefault="00DE28B5" w:rsidP="009137E5">
      <w:pPr>
        <w:rPr>
          <w:noProof/>
          <w:lang w:eastAsia="nl-BE"/>
        </w:rPr>
      </w:pPr>
    </w:p>
    <w:p w:rsidR="00DE28B5" w:rsidRDefault="00AC1141" w:rsidP="009137E5">
      <w:pPr>
        <w:rPr>
          <w:noProof/>
          <w:lang w:eastAsia="nl-BE"/>
        </w:rPr>
      </w:pPr>
      <w:r>
        <w:rPr>
          <w:noProof/>
          <w:lang w:eastAsia="nl-BE"/>
        </w:rPr>
        <w:lastRenderedPageBreak/>
        <w:drawing>
          <wp:inline distT="0" distB="0" distL="0" distR="0" wp14:anchorId="592CB3D7" wp14:editId="22FC2888">
            <wp:extent cx="5898893" cy="3150523"/>
            <wp:effectExtent l="0" t="0" r="6985"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02625" cy="3152516"/>
                    </a:xfrm>
                    <a:prstGeom prst="rect">
                      <a:avLst/>
                    </a:prstGeom>
                    <a:noFill/>
                  </pic:spPr>
                </pic:pic>
              </a:graphicData>
            </a:graphic>
          </wp:inline>
        </w:drawing>
      </w:r>
    </w:p>
    <w:p w:rsidR="00DE28B5" w:rsidRDefault="00DE28B5" w:rsidP="009137E5">
      <w:pPr>
        <w:rPr>
          <w:noProof/>
          <w:lang w:eastAsia="nl-BE"/>
        </w:rPr>
      </w:pPr>
    </w:p>
    <w:p w:rsidR="00DE28B5" w:rsidRDefault="00DE28B5" w:rsidP="009137E5">
      <w:pPr>
        <w:rPr>
          <w:rFonts w:ascii="Calibri" w:eastAsia="Times New Roman" w:hAnsi="Calibri"/>
          <w:sz w:val="22"/>
          <w:szCs w:val="22"/>
        </w:rPr>
      </w:pPr>
      <w:r w:rsidRPr="00DE28B5">
        <w:rPr>
          <w:rFonts w:ascii="Calibri" w:eastAsia="Times New Roman" w:hAnsi="Calibri"/>
          <w:sz w:val="22"/>
          <w:szCs w:val="22"/>
        </w:rPr>
        <w:t xml:space="preserve">Het aantal geregistreerde feiten rond </w:t>
      </w:r>
      <w:proofErr w:type="spellStart"/>
      <w:r w:rsidRPr="00DE28B5">
        <w:rPr>
          <w:rFonts w:ascii="Calibri" w:eastAsia="Times New Roman" w:hAnsi="Calibri"/>
          <w:sz w:val="22"/>
          <w:szCs w:val="22"/>
        </w:rPr>
        <w:t>intrafamiliaal</w:t>
      </w:r>
      <w:proofErr w:type="spellEnd"/>
      <w:r w:rsidRPr="00DE28B5">
        <w:rPr>
          <w:rFonts w:ascii="Calibri" w:eastAsia="Times New Roman" w:hAnsi="Calibri"/>
          <w:sz w:val="22"/>
          <w:szCs w:val="22"/>
        </w:rPr>
        <w:t xml:space="preserve"> geweld (psychisch, economisch en fysiek) kent een dalende tendens. Ondanks de verhoogde aandacht voor het fenomeen, </w:t>
      </w:r>
      <w:r w:rsidR="00923B26">
        <w:rPr>
          <w:rFonts w:ascii="Calibri" w:eastAsia="Times New Roman" w:hAnsi="Calibri"/>
          <w:sz w:val="22"/>
          <w:szCs w:val="22"/>
        </w:rPr>
        <w:t>is</w:t>
      </w:r>
      <w:r w:rsidRPr="00DE28B5">
        <w:rPr>
          <w:rFonts w:ascii="Calibri" w:eastAsia="Times New Roman" w:hAnsi="Calibri"/>
          <w:sz w:val="22"/>
          <w:szCs w:val="22"/>
        </w:rPr>
        <w:t xml:space="preserve"> het </w:t>
      </w:r>
      <w:r w:rsidR="00150EF3">
        <w:rPr>
          <w:rFonts w:ascii="Calibri" w:eastAsia="Times New Roman" w:hAnsi="Calibri"/>
          <w:sz w:val="22"/>
          <w:szCs w:val="22"/>
        </w:rPr>
        <w:t xml:space="preserve">aantal </w:t>
      </w:r>
      <w:r w:rsidRPr="00DE28B5">
        <w:rPr>
          <w:rFonts w:ascii="Calibri" w:eastAsia="Times New Roman" w:hAnsi="Calibri"/>
          <w:sz w:val="22"/>
          <w:szCs w:val="22"/>
        </w:rPr>
        <w:t xml:space="preserve">geregistreerde feiten </w:t>
      </w:r>
      <w:r w:rsidR="00923B26">
        <w:rPr>
          <w:rFonts w:ascii="Calibri" w:eastAsia="Times New Roman" w:hAnsi="Calibri"/>
          <w:sz w:val="22"/>
          <w:szCs w:val="22"/>
        </w:rPr>
        <w:t>licht afgenomen</w:t>
      </w:r>
      <w:r w:rsidRPr="00DE28B5">
        <w:rPr>
          <w:rFonts w:ascii="Calibri" w:eastAsia="Times New Roman" w:hAnsi="Calibri"/>
          <w:sz w:val="22"/>
          <w:szCs w:val="22"/>
        </w:rPr>
        <w:t xml:space="preserve">. </w:t>
      </w:r>
    </w:p>
    <w:p w:rsidR="00DE28B5" w:rsidRDefault="00DE28B5" w:rsidP="009137E5">
      <w:pPr>
        <w:rPr>
          <w:rFonts w:ascii="Calibri" w:eastAsia="Times New Roman" w:hAnsi="Calibri"/>
          <w:sz w:val="22"/>
          <w:szCs w:val="22"/>
        </w:rPr>
      </w:pPr>
    </w:p>
    <w:p w:rsidR="002F179D" w:rsidRDefault="002F179D" w:rsidP="00A60A67">
      <w:pPr>
        <w:rPr>
          <w:rFonts w:ascii="Calibri" w:eastAsia="Times New Roman" w:hAnsi="Calibri"/>
          <w:b/>
          <w:sz w:val="28"/>
          <w:szCs w:val="28"/>
        </w:rPr>
      </w:pPr>
    </w:p>
    <w:p w:rsidR="002F179D" w:rsidRDefault="002F179D" w:rsidP="00A60A67">
      <w:pPr>
        <w:rPr>
          <w:rFonts w:ascii="Calibri" w:eastAsia="Times New Roman" w:hAnsi="Calibri"/>
          <w:b/>
          <w:sz w:val="28"/>
          <w:szCs w:val="28"/>
        </w:rPr>
      </w:pPr>
    </w:p>
    <w:p w:rsidR="00A60A67" w:rsidRPr="00A60A67" w:rsidRDefault="00A60A67" w:rsidP="00A60A67">
      <w:pPr>
        <w:rPr>
          <w:rFonts w:ascii="Calibri" w:eastAsia="Times New Roman" w:hAnsi="Calibri"/>
          <w:b/>
          <w:sz w:val="28"/>
          <w:szCs w:val="28"/>
        </w:rPr>
      </w:pPr>
      <w:r w:rsidRPr="00A60A67">
        <w:rPr>
          <w:rFonts w:ascii="Calibri" w:eastAsia="Times New Roman" w:hAnsi="Calibri"/>
          <w:b/>
          <w:sz w:val="28"/>
          <w:szCs w:val="28"/>
        </w:rPr>
        <w:t>Dalende trend aantal verkeersongevallen met lichamelijk letsel houdt aan sedert 2013</w:t>
      </w:r>
    </w:p>
    <w:p w:rsidR="00A60A67" w:rsidRPr="00A60A67" w:rsidRDefault="00A60A67" w:rsidP="00A60A67">
      <w:pPr>
        <w:rPr>
          <w:rFonts w:ascii="Calibri" w:eastAsia="Times New Roman" w:hAnsi="Calibri"/>
          <w:sz w:val="22"/>
          <w:szCs w:val="22"/>
        </w:rPr>
      </w:pPr>
    </w:p>
    <w:p w:rsidR="00A60A67" w:rsidRPr="00A60A67" w:rsidRDefault="00A60A67" w:rsidP="00A60A67">
      <w:pPr>
        <w:rPr>
          <w:rFonts w:ascii="Calibri" w:eastAsia="Times New Roman" w:hAnsi="Calibri"/>
          <w:b/>
          <w:sz w:val="22"/>
          <w:szCs w:val="22"/>
        </w:rPr>
      </w:pPr>
      <w:r w:rsidRPr="00A60A67">
        <w:rPr>
          <w:rFonts w:ascii="Calibri" w:eastAsia="Times New Roman" w:hAnsi="Calibri"/>
          <w:b/>
          <w:sz w:val="22"/>
          <w:szCs w:val="22"/>
        </w:rPr>
        <w:t xml:space="preserve">Dalende trend van aantal VKOLL 2005-2017 </w:t>
      </w:r>
    </w:p>
    <w:p w:rsidR="00A60A67" w:rsidRPr="00A60A67" w:rsidRDefault="00A60A67" w:rsidP="00A60A67">
      <w:pPr>
        <w:rPr>
          <w:rFonts w:ascii="Calibri" w:eastAsia="Times New Roman" w:hAnsi="Calibri"/>
          <w:sz w:val="22"/>
          <w:szCs w:val="22"/>
        </w:rPr>
      </w:pPr>
      <w:r w:rsidRPr="00A60A67">
        <w:rPr>
          <w:rFonts w:ascii="Calibri" w:eastAsia="Times New Roman" w:hAnsi="Calibri"/>
          <w:sz w:val="22"/>
          <w:szCs w:val="22"/>
        </w:rPr>
        <w:t>Uit de ongevallencijfers voor de periode 2005-2017 blijkt dat in onze provincie het aantal verkeersongevallen met lichamelijk letsel sedert 2005 over het algemeen jaar na jaar gedaald is.  Wel zijn stijgingen te noteren voor de jaren 2006 en 2011. In 2009 daalt het aantal VKOLL voor het eerst onder de grens van 4</w:t>
      </w:r>
      <w:r w:rsidR="00B6231D">
        <w:rPr>
          <w:rFonts w:ascii="Calibri" w:eastAsia="Times New Roman" w:hAnsi="Calibri"/>
          <w:sz w:val="22"/>
          <w:szCs w:val="22"/>
        </w:rPr>
        <w:t>.</w:t>
      </w:r>
      <w:r w:rsidRPr="00A60A67">
        <w:rPr>
          <w:rFonts w:ascii="Calibri" w:eastAsia="Times New Roman" w:hAnsi="Calibri"/>
          <w:sz w:val="22"/>
          <w:szCs w:val="22"/>
        </w:rPr>
        <w:t>000. In 2017 waren er nog 3</w:t>
      </w:r>
      <w:r w:rsidR="00B6231D">
        <w:rPr>
          <w:rFonts w:ascii="Calibri" w:eastAsia="Times New Roman" w:hAnsi="Calibri"/>
          <w:sz w:val="22"/>
          <w:szCs w:val="22"/>
        </w:rPr>
        <w:t>.</w:t>
      </w:r>
      <w:r w:rsidRPr="00A60A67">
        <w:rPr>
          <w:rFonts w:ascii="Calibri" w:eastAsia="Times New Roman" w:hAnsi="Calibri"/>
          <w:sz w:val="22"/>
          <w:szCs w:val="22"/>
        </w:rPr>
        <w:t xml:space="preserve">055 VKOLL, de grens van de 3.000 verkeersongevallen is in zicht.  </w:t>
      </w:r>
    </w:p>
    <w:p w:rsidR="00A60A67" w:rsidRPr="00A60A67" w:rsidRDefault="00A60A67" w:rsidP="00A60A67">
      <w:pPr>
        <w:rPr>
          <w:rFonts w:ascii="Calibri" w:eastAsia="Times New Roman" w:hAnsi="Calibri"/>
          <w:sz w:val="22"/>
          <w:szCs w:val="22"/>
        </w:rPr>
      </w:pPr>
      <w:r w:rsidRPr="00A60A67">
        <w:rPr>
          <w:rFonts w:ascii="Calibri" w:eastAsia="Times New Roman" w:hAnsi="Calibri"/>
          <w:sz w:val="22"/>
          <w:szCs w:val="22"/>
        </w:rPr>
        <w:t xml:space="preserve"> </w:t>
      </w:r>
    </w:p>
    <w:p w:rsidR="00EA7B7C" w:rsidRDefault="00EA7B7C" w:rsidP="009137E5">
      <w:pPr>
        <w:rPr>
          <w:rFonts w:ascii="Calibri" w:eastAsia="Times New Roman" w:hAnsi="Calibri"/>
          <w:sz w:val="22"/>
          <w:szCs w:val="22"/>
        </w:rPr>
      </w:pPr>
    </w:p>
    <w:p w:rsidR="00DE165E" w:rsidRDefault="00DE165E" w:rsidP="00DE165E">
      <w:pPr>
        <w:rPr>
          <w:rFonts w:ascii="Calibri" w:eastAsia="Times New Roman" w:hAnsi="Calibri"/>
          <w:sz w:val="22"/>
          <w:szCs w:val="22"/>
        </w:rPr>
      </w:pPr>
    </w:p>
    <w:p w:rsidR="00AC1141" w:rsidRDefault="00AC1141" w:rsidP="00DE165E">
      <w:pPr>
        <w:rPr>
          <w:rFonts w:ascii="Calibri" w:eastAsia="Times New Roman" w:hAnsi="Calibri"/>
          <w:sz w:val="22"/>
          <w:szCs w:val="22"/>
        </w:rPr>
      </w:pPr>
    </w:p>
    <w:p w:rsidR="00150EF3" w:rsidRDefault="00150EF3" w:rsidP="00DE165E">
      <w:pPr>
        <w:rPr>
          <w:rFonts w:ascii="Calibri" w:eastAsia="Times New Roman" w:hAnsi="Calibri"/>
          <w:sz w:val="22"/>
          <w:szCs w:val="22"/>
        </w:rPr>
      </w:pPr>
    </w:p>
    <w:p w:rsidR="00AC1141" w:rsidRDefault="00AC1141" w:rsidP="00DE165E">
      <w:pPr>
        <w:rPr>
          <w:rFonts w:ascii="Calibri" w:eastAsia="Times New Roman" w:hAnsi="Calibri"/>
          <w:sz w:val="22"/>
          <w:szCs w:val="22"/>
        </w:rPr>
      </w:pPr>
    </w:p>
    <w:p w:rsidR="00AC1141" w:rsidRDefault="00AC1141" w:rsidP="00DE165E">
      <w:pPr>
        <w:rPr>
          <w:rFonts w:ascii="Calibri" w:eastAsia="Times New Roman" w:hAnsi="Calibri"/>
          <w:sz w:val="22"/>
          <w:szCs w:val="22"/>
        </w:rPr>
      </w:pPr>
    </w:p>
    <w:p w:rsidR="00AC1141" w:rsidRDefault="00AC1141" w:rsidP="00DE165E">
      <w:pPr>
        <w:rPr>
          <w:rFonts w:ascii="Calibri" w:eastAsia="Times New Roman" w:hAnsi="Calibri"/>
          <w:sz w:val="22"/>
          <w:szCs w:val="22"/>
        </w:rPr>
      </w:pPr>
    </w:p>
    <w:p w:rsidR="00AC1141" w:rsidRDefault="00EA7B7C" w:rsidP="00DE165E">
      <w:pPr>
        <w:rPr>
          <w:rFonts w:ascii="Calibri" w:eastAsia="Times New Roman" w:hAnsi="Calibri"/>
          <w:sz w:val="22"/>
          <w:szCs w:val="22"/>
        </w:rPr>
      </w:pPr>
      <w:r w:rsidRPr="00EA7B7C">
        <w:rPr>
          <w:rFonts w:ascii="Calibri" w:eastAsia="Times New Roman" w:hAnsi="Calibri"/>
          <w:noProof/>
          <w:sz w:val="22"/>
          <w:szCs w:val="22"/>
          <w:lang w:eastAsia="nl-BE"/>
        </w:rPr>
        <w:lastRenderedPageBreak/>
        <w:drawing>
          <wp:inline distT="0" distB="0" distL="0" distR="0" wp14:anchorId="462683D5" wp14:editId="4E9C5DCA">
            <wp:extent cx="5759450" cy="3056072"/>
            <wp:effectExtent l="0" t="0" r="12700" b="11430"/>
            <wp:docPr id="29" name="Grafiek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A7B7C" w:rsidRDefault="00EA7B7C" w:rsidP="00DE165E">
      <w:pPr>
        <w:rPr>
          <w:rFonts w:ascii="Calibri" w:eastAsia="Times New Roman" w:hAnsi="Calibri"/>
          <w:sz w:val="22"/>
          <w:szCs w:val="22"/>
        </w:rPr>
      </w:pPr>
    </w:p>
    <w:p w:rsidR="00A60A67" w:rsidRPr="00A60A67" w:rsidRDefault="00A60A67" w:rsidP="00A60A67">
      <w:pPr>
        <w:rPr>
          <w:rFonts w:ascii="Calibri" w:eastAsia="Times New Roman" w:hAnsi="Calibri"/>
          <w:sz w:val="22"/>
          <w:szCs w:val="22"/>
        </w:rPr>
      </w:pPr>
      <w:r w:rsidRPr="00A60A67">
        <w:rPr>
          <w:rFonts w:ascii="Calibri" w:eastAsia="Times New Roman" w:hAnsi="Calibri"/>
          <w:sz w:val="22"/>
          <w:szCs w:val="22"/>
        </w:rPr>
        <w:t xml:space="preserve">Voor de periode 2005 tot 2017 is het aantal VKOLL in de provincie Vlaams-Brabant afgenomen met eenheden van 4284 VKOLL naar 3055, dit is een daling van 29 %. </w:t>
      </w:r>
    </w:p>
    <w:p w:rsidR="00A60A67" w:rsidRPr="00A60A67" w:rsidRDefault="00A60A67" w:rsidP="00A60A67">
      <w:pPr>
        <w:rPr>
          <w:rFonts w:ascii="Calibri" w:eastAsia="Times New Roman" w:hAnsi="Calibri"/>
          <w:sz w:val="22"/>
          <w:szCs w:val="22"/>
        </w:rPr>
      </w:pPr>
    </w:p>
    <w:p w:rsidR="00EA7B7C" w:rsidRDefault="00A60A67" w:rsidP="00A60A67">
      <w:pPr>
        <w:rPr>
          <w:rFonts w:ascii="Calibri" w:eastAsia="Times New Roman" w:hAnsi="Calibri"/>
          <w:sz w:val="22"/>
          <w:szCs w:val="22"/>
        </w:rPr>
      </w:pPr>
      <w:r w:rsidRPr="00A60A67">
        <w:rPr>
          <w:rFonts w:ascii="Calibri" w:eastAsia="Times New Roman" w:hAnsi="Calibri"/>
          <w:sz w:val="22"/>
          <w:szCs w:val="22"/>
        </w:rPr>
        <w:t>Voor de periode van 2013 tot en met 2017 is het aantal VKOLL in de provincie Vlaams-Brabant afgenomen met 566 eenheden van 3</w:t>
      </w:r>
      <w:r w:rsidR="00B6231D">
        <w:rPr>
          <w:rFonts w:ascii="Calibri" w:eastAsia="Times New Roman" w:hAnsi="Calibri"/>
          <w:sz w:val="22"/>
          <w:szCs w:val="22"/>
        </w:rPr>
        <w:t>.</w:t>
      </w:r>
      <w:r w:rsidRPr="00A60A67">
        <w:rPr>
          <w:rFonts w:ascii="Calibri" w:eastAsia="Times New Roman" w:hAnsi="Calibri"/>
          <w:sz w:val="22"/>
          <w:szCs w:val="22"/>
        </w:rPr>
        <w:t>621 VKOLL naar 3</w:t>
      </w:r>
      <w:r w:rsidR="00B6231D">
        <w:rPr>
          <w:rFonts w:ascii="Calibri" w:eastAsia="Times New Roman" w:hAnsi="Calibri"/>
          <w:sz w:val="22"/>
          <w:szCs w:val="22"/>
        </w:rPr>
        <w:t>.</w:t>
      </w:r>
      <w:r w:rsidRPr="00A60A67">
        <w:rPr>
          <w:rFonts w:ascii="Calibri" w:eastAsia="Times New Roman" w:hAnsi="Calibri"/>
          <w:sz w:val="22"/>
          <w:szCs w:val="22"/>
        </w:rPr>
        <w:t>055. Over vijf jaar genomen is dit een daling van 15,6 %.</w:t>
      </w:r>
    </w:p>
    <w:p w:rsidR="00EA7B7C" w:rsidRDefault="00EA7B7C" w:rsidP="00DE165E">
      <w:pPr>
        <w:rPr>
          <w:rFonts w:ascii="Calibri" w:eastAsia="Times New Roman" w:hAnsi="Calibri"/>
          <w:sz w:val="22"/>
          <w:szCs w:val="22"/>
        </w:rPr>
      </w:pPr>
    </w:p>
    <w:p w:rsidR="00A60A67" w:rsidRPr="00A60A67" w:rsidRDefault="00A60A67" w:rsidP="00A60A67">
      <w:pPr>
        <w:rPr>
          <w:rFonts w:ascii="Arial" w:hAnsi="Arial" w:cs="Arial"/>
          <w:b/>
          <w:color w:val="000000"/>
          <w:sz w:val="22"/>
          <w:szCs w:val="22"/>
        </w:rPr>
      </w:pPr>
      <w:r w:rsidRPr="00A60A67">
        <w:rPr>
          <w:rFonts w:ascii="Arial" w:hAnsi="Arial" w:cs="Arial"/>
          <w:b/>
          <w:color w:val="000000"/>
          <w:sz w:val="22"/>
          <w:szCs w:val="22"/>
        </w:rPr>
        <w:t xml:space="preserve">Aantal verkeersongevallen met minstens 1 dode </w:t>
      </w:r>
    </w:p>
    <w:p w:rsidR="00A60A67" w:rsidRDefault="00A60A67" w:rsidP="00DE165E">
      <w:pPr>
        <w:rPr>
          <w:rFonts w:ascii="Calibri" w:eastAsia="Times New Roman" w:hAnsi="Calibri"/>
          <w:sz w:val="22"/>
          <w:szCs w:val="22"/>
        </w:rPr>
      </w:pPr>
    </w:p>
    <w:p w:rsidR="00EA7B7C" w:rsidRDefault="00EA7B7C" w:rsidP="00DE165E">
      <w:pPr>
        <w:rPr>
          <w:rFonts w:ascii="Calibri" w:eastAsia="Times New Roman" w:hAnsi="Calibri"/>
          <w:sz w:val="22"/>
          <w:szCs w:val="22"/>
        </w:rPr>
      </w:pPr>
      <w:r>
        <w:rPr>
          <w:noProof/>
          <w:lang w:eastAsia="nl-BE"/>
        </w:rPr>
        <w:drawing>
          <wp:inline distT="0" distB="0" distL="0" distR="0" wp14:anchorId="48267731" wp14:editId="06B77E07">
            <wp:extent cx="5759450" cy="3763910"/>
            <wp:effectExtent l="0" t="0" r="12700" b="27305"/>
            <wp:docPr id="35" name="Grafiek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A7B7C" w:rsidRDefault="00EA7B7C" w:rsidP="00DE165E">
      <w:pPr>
        <w:rPr>
          <w:rFonts w:ascii="Calibri" w:eastAsia="Times New Roman" w:hAnsi="Calibri"/>
          <w:sz w:val="22"/>
          <w:szCs w:val="22"/>
        </w:rPr>
      </w:pPr>
    </w:p>
    <w:p w:rsidR="00EA7B7C" w:rsidRDefault="00EA7B7C" w:rsidP="00DE165E">
      <w:pPr>
        <w:rPr>
          <w:rFonts w:ascii="Calibri" w:eastAsia="Times New Roman" w:hAnsi="Calibri"/>
          <w:sz w:val="22"/>
          <w:szCs w:val="22"/>
        </w:rPr>
      </w:pPr>
    </w:p>
    <w:p w:rsidR="00A60A67" w:rsidRPr="00A60A67" w:rsidRDefault="00A60A67" w:rsidP="00A60A67">
      <w:pPr>
        <w:rPr>
          <w:rFonts w:ascii="Arial" w:hAnsi="Arial" w:cs="Arial"/>
          <w:b/>
          <w:color w:val="000000"/>
          <w:sz w:val="22"/>
          <w:szCs w:val="22"/>
        </w:rPr>
      </w:pPr>
      <w:r w:rsidRPr="00A60A67">
        <w:rPr>
          <w:rFonts w:ascii="Arial" w:hAnsi="Arial" w:cs="Arial"/>
          <w:color w:val="000000"/>
          <w:sz w:val="22"/>
          <w:szCs w:val="22"/>
        </w:rPr>
        <w:lastRenderedPageBreak/>
        <w:t xml:space="preserve">Uit ongevallencijfers voor de periode 2011-2017 waarbij minstens 1 dode viel, stellen we vast dat in onze provincie we vanaf 2012 een soort status quo hadden rond de 50 doden. Pas in 2016 knopen we opnieuw aan met lagere aantallen doden zoals in 2011 (36). </w:t>
      </w:r>
    </w:p>
    <w:p w:rsidR="00A60A67" w:rsidRPr="00A60A67" w:rsidRDefault="00A60A67" w:rsidP="00A60A67">
      <w:pPr>
        <w:rPr>
          <w:rFonts w:ascii="Arial" w:hAnsi="Arial" w:cs="Arial"/>
          <w:b/>
          <w:color w:val="000000"/>
          <w:szCs w:val="22"/>
        </w:rPr>
      </w:pPr>
    </w:p>
    <w:p w:rsidR="00A60A67" w:rsidRPr="00A60A67" w:rsidRDefault="00A60A67" w:rsidP="00A60A67">
      <w:pPr>
        <w:rPr>
          <w:rFonts w:ascii="Arial" w:hAnsi="Arial" w:cs="Arial"/>
          <w:b/>
          <w:noProof/>
          <w:color w:val="000000"/>
          <w:sz w:val="22"/>
          <w:szCs w:val="22"/>
          <w:lang w:eastAsia="nl-BE"/>
        </w:rPr>
      </w:pPr>
    </w:p>
    <w:p w:rsidR="00A60A67" w:rsidRPr="00A60A67" w:rsidRDefault="00A60A67" w:rsidP="00A60A67">
      <w:pPr>
        <w:rPr>
          <w:rFonts w:ascii="Arial" w:hAnsi="Arial" w:cs="Arial"/>
          <w:b/>
          <w:noProof/>
          <w:color w:val="000000"/>
          <w:sz w:val="22"/>
          <w:szCs w:val="22"/>
          <w:lang w:eastAsia="nl-BE"/>
        </w:rPr>
      </w:pPr>
      <w:r w:rsidRPr="00A60A67">
        <w:rPr>
          <w:rFonts w:ascii="Arial" w:hAnsi="Arial" w:cs="Arial"/>
          <w:b/>
          <w:noProof/>
          <w:color w:val="000000"/>
          <w:sz w:val="22"/>
          <w:szCs w:val="22"/>
          <w:lang w:eastAsia="nl-BE"/>
        </w:rPr>
        <w:t xml:space="preserve">Aantal VKOLL met kwetsbare weggebruikers (voetgangers en fietsers) </w:t>
      </w:r>
    </w:p>
    <w:p w:rsidR="00EA7B7C" w:rsidRDefault="00EA7B7C" w:rsidP="00DE165E">
      <w:pPr>
        <w:rPr>
          <w:rFonts w:ascii="Calibri" w:eastAsia="Times New Roman" w:hAnsi="Calibri"/>
          <w:sz w:val="22"/>
          <w:szCs w:val="22"/>
        </w:rPr>
      </w:pPr>
    </w:p>
    <w:p w:rsidR="00EA7B7C" w:rsidRDefault="00EA7B7C" w:rsidP="00DE165E">
      <w:pPr>
        <w:rPr>
          <w:rFonts w:ascii="Calibri" w:eastAsia="Times New Roman" w:hAnsi="Calibri"/>
          <w:sz w:val="22"/>
          <w:szCs w:val="22"/>
        </w:rPr>
      </w:pPr>
      <w:r>
        <w:rPr>
          <w:noProof/>
          <w:lang w:eastAsia="nl-BE"/>
        </w:rPr>
        <w:drawing>
          <wp:inline distT="0" distB="0" distL="0" distR="0" wp14:anchorId="1CA32196" wp14:editId="394C3802">
            <wp:extent cx="5759450" cy="3763910"/>
            <wp:effectExtent l="0" t="0" r="12700" b="27305"/>
            <wp:docPr id="37" name="Grafiek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A7B7C" w:rsidRDefault="00EA7B7C" w:rsidP="00DE165E">
      <w:pPr>
        <w:rPr>
          <w:rFonts w:ascii="Calibri" w:eastAsia="Times New Roman" w:hAnsi="Calibri"/>
          <w:noProof/>
          <w:sz w:val="22"/>
          <w:szCs w:val="22"/>
          <w:lang w:eastAsia="nl-BE"/>
        </w:rPr>
      </w:pPr>
    </w:p>
    <w:p w:rsidR="00A60A67" w:rsidRDefault="00A60A67" w:rsidP="00A60A67">
      <w:pPr>
        <w:rPr>
          <w:rFonts w:ascii="Arial" w:hAnsi="Arial" w:cs="Arial"/>
          <w:noProof/>
          <w:color w:val="000000"/>
          <w:sz w:val="22"/>
          <w:szCs w:val="22"/>
          <w:lang w:eastAsia="nl-BE"/>
        </w:rPr>
      </w:pPr>
      <w:r w:rsidRPr="00A60A67">
        <w:rPr>
          <w:rFonts w:ascii="Arial" w:hAnsi="Arial" w:cs="Arial"/>
          <w:noProof/>
          <w:color w:val="000000"/>
          <w:sz w:val="22"/>
          <w:szCs w:val="22"/>
          <w:lang w:eastAsia="nl-BE"/>
        </w:rPr>
        <w:t>Het aantal VKOLL waarbij zwakke weggebruikers (minstens één) waren betrokken, is in de periode 2013-2017 gedaald met 7%  (van 1</w:t>
      </w:r>
      <w:r w:rsidR="00B6231D">
        <w:rPr>
          <w:rFonts w:ascii="Arial" w:hAnsi="Arial" w:cs="Arial"/>
          <w:noProof/>
          <w:color w:val="000000"/>
          <w:sz w:val="22"/>
          <w:szCs w:val="22"/>
          <w:lang w:eastAsia="nl-BE"/>
        </w:rPr>
        <w:t>.</w:t>
      </w:r>
      <w:r w:rsidRPr="00A60A67">
        <w:rPr>
          <w:rFonts w:ascii="Arial" w:hAnsi="Arial" w:cs="Arial"/>
          <w:noProof/>
          <w:color w:val="000000"/>
          <w:sz w:val="22"/>
          <w:szCs w:val="22"/>
          <w:lang w:eastAsia="nl-BE"/>
        </w:rPr>
        <w:t>631 in 2013 naar 1</w:t>
      </w:r>
      <w:r w:rsidR="00B6231D">
        <w:rPr>
          <w:rFonts w:ascii="Arial" w:hAnsi="Arial" w:cs="Arial"/>
          <w:noProof/>
          <w:color w:val="000000"/>
          <w:sz w:val="22"/>
          <w:szCs w:val="22"/>
          <w:lang w:eastAsia="nl-BE"/>
        </w:rPr>
        <w:t>.</w:t>
      </w:r>
      <w:r w:rsidRPr="00A60A67">
        <w:rPr>
          <w:rFonts w:ascii="Arial" w:hAnsi="Arial" w:cs="Arial"/>
          <w:noProof/>
          <w:color w:val="000000"/>
          <w:sz w:val="22"/>
          <w:szCs w:val="22"/>
          <w:lang w:eastAsia="nl-BE"/>
        </w:rPr>
        <w:t xml:space="preserve">517 in 2017).  Eerst wordt een verontrustende stijging van het aantal ongevallen waargenomen, daarna volgt een gestage daling vanaf 2014. In 2017 waren er 15% minder ongevallen dan in 2014. In 2017 stellen we het laagste aantal VKOLL met kwetsbare weggebruikers van de afgelopen vijf jaren vast. </w:t>
      </w:r>
    </w:p>
    <w:p w:rsidR="00B6231D" w:rsidRDefault="00B6231D" w:rsidP="00A60A67">
      <w:pPr>
        <w:rPr>
          <w:rFonts w:ascii="Arial" w:hAnsi="Arial" w:cs="Arial"/>
          <w:noProof/>
          <w:color w:val="000000"/>
          <w:sz w:val="22"/>
          <w:szCs w:val="22"/>
          <w:lang w:eastAsia="nl-BE"/>
        </w:rPr>
      </w:pPr>
    </w:p>
    <w:p w:rsidR="00B6231D" w:rsidRDefault="00B6231D" w:rsidP="00A60A67">
      <w:pPr>
        <w:rPr>
          <w:rFonts w:ascii="Arial" w:hAnsi="Arial" w:cs="Arial"/>
          <w:noProof/>
          <w:color w:val="000000"/>
          <w:sz w:val="22"/>
          <w:szCs w:val="22"/>
          <w:lang w:eastAsia="nl-BE"/>
        </w:rPr>
      </w:pPr>
    </w:p>
    <w:p w:rsidR="00B6231D" w:rsidRDefault="00B6231D" w:rsidP="00A60A67">
      <w:pPr>
        <w:rPr>
          <w:rFonts w:ascii="Arial" w:hAnsi="Arial" w:cs="Arial"/>
          <w:noProof/>
          <w:color w:val="000000"/>
          <w:sz w:val="22"/>
          <w:szCs w:val="22"/>
          <w:lang w:eastAsia="nl-BE"/>
        </w:rPr>
      </w:pPr>
    </w:p>
    <w:p w:rsidR="00B6231D" w:rsidRDefault="00B6231D" w:rsidP="00A60A67">
      <w:pPr>
        <w:rPr>
          <w:rFonts w:ascii="Arial" w:hAnsi="Arial" w:cs="Arial"/>
          <w:noProof/>
          <w:color w:val="000000"/>
          <w:sz w:val="22"/>
          <w:szCs w:val="22"/>
          <w:lang w:eastAsia="nl-BE"/>
        </w:rPr>
      </w:pPr>
    </w:p>
    <w:p w:rsidR="00B6231D" w:rsidRDefault="00B6231D" w:rsidP="00A60A67">
      <w:pPr>
        <w:rPr>
          <w:rFonts w:ascii="Arial" w:hAnsi="Arial" w:cs="Arial"/>
          <w:noProof/>
          <w:color w:val="000000"/>
          <w:sz w:val="22"/>
          <w:szCs w:val="22"/>
          <w:lang w:eastAsia="nl-BE"/>
        </w:rPr>
      </w:pPr>
      <w:r>
        <w:rPr>
          <w:rFonts w:ascii="Arial" w:hAnsi="Arial" w:cs="Arial"/>
          <w:noProof/>
          <w:color w:val="000000"/>
          <w:sz w:val="22"/>
          <w:szCs w:val="22"/>
          <w:lang w:eastAsia="nl-BE"/>
        </w:rPr>
        <w:t>Lodewijk De Witte – provinciegouverneur</w:t>
      </w:r>
    </w:p>
    <w:p w:rsidR="00B6231D" w:rsidRDefault="00B6231D" w:rsidP="00A60A67">
      <w:pPr>
        <w:rPr>
          <w:rFonts w:ascii="Arial" w:hAnsi="Arial" w:cs="Arial"/>
          <w:noProof/>
          <w:color w:val="000000"/>
          <w:sz w:val="22"/>
          <w:szCs w:val="22"/>
          <w:lang w:eastAsia="nl-BE"/>
        </w:rPr>
      </w:pPr>
      <w:r>
        <w:rPr>
          <w:rFonts w:ascii="Arial" w:hAnsi="Arial" w:cs="Arial"/>
          <w:noProof/>
          <w:color w:val="000000"/>
          <w:sz w:val="22"/>
          <w:szCs w:val="22"/>
          <w:lang w:eastAsia="nl-BE"/>
        </w:rPr>
        <w:t>Patrick Vits – procureur des konings te Leuven</w:t>
      </w:r>
    </w:p>
    <w:p w:rsidR="00B6231D" w:rsidRPr="00A60A67" w:rsidRDefault="00B6231D" w:rsidP="00A60A67">
      <w:pPr>
        <w:rPr>
          <w:rFonts w:ascii="Arial" w:hAnsi="Arial" w:cs="Arial"/>
          <w:color w:val="000000"/>
          <w:sz w:val="22"/>
          <w:szCs w:val="22"/>
        </w:rPr>
      </w:pPr>
      <w:r>
        <w:rPr>
          <w:rFonts w:ascii="Arial" w:hAnsi="Arial" w:cs="Arial"/>
          <w:noProof/>
          <w:color w:val="000000"/>
          <w:sz w:val="22"/>
          <w:szCs w:val="22"/>
          <w:lang w:eastAsia="nl-BE"/>
        </w:rPr>
        <w:t>Thierry Freyne – procureur des konings te Halle-Vilvoorde</w:t>
      </w:r>
    </w:p>
    <w:p w:rsidR="00EA7B7C" w:rsidRDefault="00EA7B7C" w:rsidP="00DE165E">
      <w:pPr>
        <w:rPr>
          <w:rFonts w:ascii="Calibri" w:eastAsia="Times New Roman" w:hAnsi="Calibri"/>
          <w:noProof/>
          <w:sz w:val="22"/>
          <w:szCs w:val="22"/>
          <w:lang w:eastAsia="nl-BE"/>
        </w:rPr>
      </w:pPr>
    </w:p>
    <w:p w:rsidR="00EA7B7C" w:rsidRDefault="00EA7B7C" w:rsidP="00DE165E">
      <w:pPr>
        <w:rPr>
          <w:rFonts w:ascii="Calibri" w:eastAsia="Times New Roman" w:hAnsi="Calibri"/>
          <w:sz w:val="22"/>
          <w:szCs w:val="22"/>
        </w:rPr>
      </w:pPr>
    </w:p>
    <w:p w:rsidR="00EA7B7C" w:rsidRPr="00DE165E" w:rsidRDefault="00EA7B7C" w:rsidP="00DE165E">
      <w:pPr>
        <w:rPr>
          <w:rFonts w:ascii="Calibri" w:eastAsia="Times New Roman" w:hAnsi="Calibri"/>
          <w:sz w:val="22"/>
          <w:szCs w:val="22"/>
        </w:rPr>
      </w:pPr>
      <w:bookmarkStart w:id="0" w:name="_GoBack"/>
      <w:bookmarkEnd w:id="0"/>
    </w:p>
    <w:sectPr w:rsidR="00EA7B7C" w:rsidRPr="00DE165E" w:rsidSect="0037580A">
      <w:footerReference w:type="default" r:id="rId2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CC4" w:rsidRDefault="00FB0CC4" w:rsidP="008F2465">
      <w:r>
        <w:separator/>
      </w:r>
    </w:p>
  </w:endnote>
  <w:endnote w:type="continuationSeparator" w:id="0">
    <w:p w:rsidR="00FB0CC4" w:rsidRDefault="00FB0CC4" w:rsidP="008F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7371775"/>
      <w:docPartObj>
        <w:docPartGallery w:val="Page Numbers (Bottom of Page)"/>
        <w:docPartUnique/>
      </w:docPartObj>
    </w:sdtPr>
    <w:sdtEndPr/>
    <w:sdtContent>
      <w:p w:rsidR="00FB0CC4" w:rsidRDefault="00FB0CC4">
        <w:pPr>
          <w:pStyle w:val="Voettekst"/>
          <w:jc w:val="right"/>
        </w:pPr>
        <w:r>
          <w:fldChar w:fldCharType="begin"/>
        </w:r>
        <w:r>
          <w:instrText>PAGE   \* MERGEFORMAT</w:instrText>
        </w:r>
        <w:r>
          <w:fldChar w:fldCharType="separate"/>
        </w:r>
        <w:r w:rsidR="00B6231D" w:rsidRPr="00B6231D">
          <w:rPr>
            <w:noProof/>
            <w:lang w:val="nl-NL"/>
          </w:rPr>
          <w:t>9</w:t>
        </w:r>
        <w:r>
          <w:fldChar w:fldCharType="end"/>
        </w:r>
      </w:p>
    </w:sdtContent>
  </w:sdt>
  <w:p w:rsidR="00FB0CC4" w:rsidRDefault="00FB0CC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CC4" w:rsidRDefault="00FB0CC4" w:rsidP="008F2465">
      <w:r>
        <w:separator/>
      </w:r>
    </w:p>
  </w:footnote>
  <w:footnote w:type="continuationSeparator" w:id="0">
    <w:p w:rsidR="00FB0CC4" w:rsidRDefault="00FB0CC4" w:rsidP="008F2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E76C7"/>
    <w:multiLevelType w:val="hybridMultilevel"/>
    <w:tmpl w:val="CDAE1284"/>
    <w:lvl w:ilvl="0" w:tplc="BBCC3676">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2A"/>
    <w:rsid w:val="000333A5"/>
    <w:rsid w:val="00071D02"/>
    <w:rsid w:val="00096470"/>
    <w:rsid w:val="000F65DD"/>
    <w:rsid w:val="001130C8"/>
    <w:rsid w:val="00132680"/>
    <w:rsid w:val="00150EF3"/>
    <w:rsid w:val="00176263"/>
    <w:rsid w:val="00180299"/>
    <w:rsid w:val="00192C60"/>
    <w:rsid w:val="001D24F4"/>
    <w:rsid w:val="001E79D1"/>
    <w:rsid w:val="00250FB7"/>
    <w:rsid w:val="00282601"/>
    <w:rsid w:val="0028320B"/>
    <w:rsid w:val="002A04EE"/>
    <w:rsid w:val="002B3072"/>
    <w:rsid w:val="002C5814"/>
    <w:rsid w:val="002E155D"/>
    <w:rsid w:val="002F179D"/>
    <w:rsid w:val="003119A1"/>
    <w:rsid w:val="0037580A"/>
    <w:rsid w:val="00392584"/>
    <w:rsid w:val="00397A68"/>
    <w:rsid w:val="003A7F4B"/>
    <w:rsid w:val="003E193B"/>
    <w:rsid w:val="003F6EA4"/>
    <w:rsid w:val="0040724A"/>
    <w:rsid w:val="00420B71"/>
    <w:rsid w:val="004B4CA8"/>
    <w:rsid w:val="004D452E"/>
    <w:rsid w:val="004E158B"/>
    <w:rsid w:val="00516DAE"/>
    <w:rsid w:val="00594541"/>
    <w:rsid w:val="0060501B"/>
    <w:rsid w:val="00614443"/>
    <w:rsid w:val="006637C4"/>
    <w:rsid w:val="006762FB"/>
    <w:rsid w:val="006D5985"/>
    <w:rsid w:val="0072057D"/>
    <w:rsid w:val="00727332"/>
    <w:rsid w:val="00732F43"/>
    <w:rsid w:val="007953DE"/>
    <w:rsid w:val="00877803"/>
    <w:rsid w:val="008A4C7E"/>
    <w:rsid w:val="008F2465"/>
    <w:rsid w:val="009137E5"/>
    <w:rsid w:val="00921A74"/>
    <w:rsid w:val="00923B26"/>
    <w:rsid w:val="00925E32"/>
    <w:rsid w:val="00990486"/>
    <w:rsid w:val="009F764C"/>
    <w:rsid w:val="00A227A8"/>
    <w:rsid w:val="00A60A67"/>
    <w:rsid w:val="00AC1141"/>
    <w:rsid w:val="00B31029"/>
    <w:rsid w:val="00B622C8"/>
    <w:rsid w:val="00B6231D"/>
    <w:rsid w:val="00C15C93"/>
    <w:rsid w:val="00C72C32"/>
    <w:rsid w:val="00C80998"/>
    <w:rsid w:val="00D0372A"/>
    <w:rsid w:val="00D94478"/>
    <w:rsid w:val="00DA5466"/>
    <w:rsid w:val="00DB2396"/>
    <w:rsid w:val="00DE0052"/>
    <w:rsid w:val="00DE165E"/>
    <w:rsid w:val="00DE28B5"/>
    <w:rsid w:val="00DE2A6D"/>
    <w:rsid w:val="00E05A8A"/>
    <w:rsid w:val="00E42902"/>
    <w:rsid w:val="00E50C1E"/>
    <w:rsid w:val="00E902A3"/>
    <w:rsid w:val="00EA7B7C"/>
    <w:rsid w:val="00EE4482"/>
    <w:rsid w:val="00F15ABD"/>
    <w:rsid w:val="00F75A36"/>
    <w:rsid w:val="00F819B8"/>
    <w:rsid w:val="00F83B35"/>
    <w:rsid w:val="00FB0CC4"/>
    <w:rsid w:val="00FC5E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372A"/>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72A"/>
    <w:rPr>
      <w:rFonts w:ascii="Tahoma" w:hAnsi="Tahoma" w:cs="Tahoma"/>
      <w:sz w:val="16"/>
      <w:szCs w:val="16"/>
    </w:rPr>
  </w:style>
  <w:style w:type="character" w:styleId="Hyperlink">
    <w:name w:val="Hyperlink"/>
    <w:basedOn w:val="Standaardalinea-lettertype"/>
    <w:uiPriority w:val="99"/>
    <w:unhideWhenUsed/>
    <w:rsid w:val="001E79D1"/>
    <w:rPr>
      <w:color w:val="0000FF" w:themeColor="hyperlink"/>
      <w:u w:val="single"/>
    </w:rPr>
  </w:style>
  <w:style w:type="paragraph" w:styleId="Koptekst">
    <w:name w:val="header"/>
    <w:basedOn w:val="Standaard"/>
    <w:link w:val="KoptekstChar"/>
    <w:uiPriority w:val="99"/>
    <w:unhideWhenUsed/>
    <w:rsid w:val="008F2465"/>
    <w:pPr>
      <w:tabs>
        <w:tab w:val="center" w:pos="4536"/>
        <w:tab w:val="right" w:pos="9072"/>
      </w:tabs>
    </w:pPr>
  </w:style>
  <w:style w:type="character" w:customStyle="1" w:styleId="KoptekstChar">
    <w:name w:val="Koptekst Char"/>
    <w:basedOn w:val="Standaardalinea-lettertype"/>
    <w:link w:val="Koptekst"/>
    <w:uiPriority w:val="99"/>
    <w:rsid w:val="008F2465"/>
  </w:style>
  <w:style w:type="paragraph" w:styleId="Voettekst">
    <w:name w:val="footer"/>
    <w:basedOn w:val="Standaard"/>
    <w:link w:val="VoettekstChar"/>
    <w:uiPriority w:val="99"/>
    <w:unhideWhenUsed/>
    <w:rsid w:val="008F2465"/>
    <w:pPr>
      <w:tabs>
        <w:tab w:val="center" w:pos="4536"/>
        <w:tab w:val="right" w:pos="9072"/>
      </w:tabs>
    </w:pPr>
  </w:style>
  <w:style w:type="character" w:customStyle="1" w:styleId="VoettekstChar">
    <w:name w:val="Voettekst Char"/>
    <w:basedOn w:val="Standaardalinea-lettertype"/>
    <w:link w:val="Voettekst"/>
    <w:uiPriority w:val="99"/>
    <w:rsid w:val="008F2465"/>
  </w:style>
  <w:style w:type="paragraph" w:styleId="Lijstalinea">
    <w:name w:val="List Paragraph"/>
    <w:basedOn w:val="Standaard"/>
    <w:uiPriority w:val="34"/>
    <w:qFormat/>
    <w:rsid w:val="00DB23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F76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372A"/>
    <w:rPr>
      <w:rFonts w:ascii="Tahoma" w:hAnsi="Tahoma" w:cs="Tahoma"/>
      <w:sz w:val="16"/>
      <w:szCs w:val="16"/>
    </w:rPr>
  </w:style>
  <w:style w:type="character" w:customStyle="1" w:styleId="BallontekstChar">
    <w:name w:val="Ballontekst Char"/>
    <w:basedOn w:val="Standaardalinea-lettertype"/>
    <w:link w:val="Ballontekst"/>
    <w:uiPriority w:val="99"/>
    <w:semiHidden/>
    <w:rsid w:val="00D0372A"/>
    <w:rPr>
      <w:rFonts w:ascii="Tahoma" w:hAnsi="Tahoma" w:cs="Tahoma"/>
      <w:sz w:val="16"/>
      <w:szCs w:val="16"/>
    </w:rPr>
  </w:style>
  <w:style w:type="character" w:styleId="Hyperlink">
    <w:name w:val="Hyperlink"/>
    <w:basedOn w:val="Standaardalinea-lettertype"/>
    <w:uiPriority w:val="99"/>
    <w:unhideWhenUsed/>
    <w:rsid w:val="001E79D1"/>
    <w:rPr>
      <w:color w:val="0000FF" w:themeColor="hyperlink"/>
      <w:u w:val="single"/>
    </w:rPr>
  </w:style>
  <w:style w:type="paragraph" w:styleId="Koptekst">
    <w:name w:val="header"/>
    <w:basedOn w:val="Standaard"/>
    <w:link w:val="KoptekstChar"/>
    <w:uiPriority w:val="99"/>
    <w:unhideWhenUsed/>
    <w:rsid w:val="008F2465"/>
    <w:pPr>
      <w:tabs>
        <w:tab w:val="center" w:pos="4536"/>
        <w:tab w:val="right" w:pos="9072"/>
      </w:tabs>
    </w:pPr>
  </w:style>
  <w:style w:type="character" w:customStyle="1" w:styleId="KoptekstChar">
    <w:name w:val="Koptekst Char"/>
    <w:basedOn w:val="Standaardalinea-lettertype"/>
    <w:link w:val="Koptekst"/>
    <w:uiPriority w:val="99"/>
    <w:rsid w:val="008F2465"/>
  </w:style>
  <w:style w:type="paragraph" w:styleId="Voettekst">
    <w:name w:val="footer"/>
    <w:basedOn w:val="Standaard"/>
    <w:link w:val="VoettekstChar"/>
    <w:uiPriority w:val="99"/>
    <w:unhideWhenUsed/>
    <w:rsid w:val="008F2465"/>
    <w:pPr>
      <w:tabs>
        <w:tab w:val="center" w:pos="4536"/>
        <w:tab w:val="right" w:pos="9072"/>
      </w:tabs>
    </w:pPr>
  </w:style>
  <w:style w:type="character" w:customStyle="1" w:styleId="VoettekstChar">
    <w:name w:val="Voettekst Char"/>
    <w:basedOn w:val="Standaardalinea-lettertype"/>
    <w:link w:val="Voettekst"/>
    <w:uiPriority w:val="99"/>
    <w:rsid w:val="008F2465"/>
  </w:style>
  <w:style w:type="paragraph" w:styleId="Lijstalinea">
    <w:name w:val="List Paragraph"/>
    <w:basedOn w:val="Standaard"/>
    <w:uiPriority w:val="34"/>
    <w:qFormat/>
    <w:rsid w:val="00DB23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862575">
      <w:bodyDiv w:val="1"/>
      <w:marLeft w:val="0"/>
      <w:marRight w:val="0"/>
      <w:marTop w:val="0"/>
      <w:marBottom w:val="0"/>
      <w:divBdr>
        <w:top w:val="none" w:sz="0" w:space="0" w:color="auto"/>
        <w:left w:val="none" w:sz="0" w:space="0" w:color="auto"/>
        <w:bottom w:val="none" w:sz="0" w:space="0" w:color="auto"/>
        <w:right w:val="none" w:sz="0" w:space="0" w:color="auto"/>
      </w:divBdr>
    </w:div>
    <w:div w:id="16175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hyperlink" Target="http://www.certificaatinbraakveilig.be"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ers.vlaamsbrabant.be/s/80b484922e66165a375189aab7388fe8b13de5c4?utm_source=email&amp;utm_medium=campaign&amp;utm_id=campaign_FwD_uPe.contact_FIBn_W6DN"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hyperlink" Target="https://pers.vlaamsbrabant.be/s/80b484922e66165a375189aab7388fe8b13de5c4?utm_source=email&amp;utm_medium=campaign&amp;utm_id=campaign_FwD_uPe.contact_FIBn_W6DN" TargetMode="External"/><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chart" Target="charts/chart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venus\groups\fed\DMV\POLITIE%20AANGELEGENHEDEN\Overlegplatforms\provinciaal%20veiligheidsoverleg\documentatie%20en%20nota\20180504\voor%20persconferentie\bewerking%20Grafieken%202013%202017%20pers.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venus\groups\fed\DMV\POLITIE%20AANGELEGENHEDEN\Overlegplatforms\provinciaal%20veiligheidsoverleg\documentatie%20en%20nota\20180504\voor%20persconferentie\Kopie%20van%2020180528Grafiekenverkeersdodenevolutie20132017.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venus\groups\fed\DMV\POLITIE%20AANGELEGENHEDEN\Overlegplatforms\provinciaal%20veiligheidsoverleg\documentatie%20en%20nota\20180504\voor%20persconferentie\Kopie%20van%2020180528Grafiekenverkeersdodenevolutie20132017.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venus\groups\fed\DMV\POLITIE%20AANGELEGENHEDEN\Overlegplatforms\provinciaal%20veiligheidsoverleg\documentatie%20en%20nota\20180504\voor%20persconferentie\Kopie%20van%2020180528Grafiekenverkeersdodenevolutie20132017.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800" b="0" i="0" u="none" strike="noStrike" baseline="0">
                <a:solidFill>
                  <a:srgbClr val="000000"/>
                </a:solidFill>
                <a:latin typeface="Arial"/>
                <a:ea typeface="Arial"/>
                <a:cs typeface="Arial"/>
              </a:defRPr>
            </a:pPr>
            <a:r>
              <a:rPr lang="nl-BE" sz="2000" b="1" i="0" u="none" strike="noStrike" baseline="0">
                <a:solidFill>
                  <a:srgbClr val="000000"/>
                </a:solidFill>
                <a:latin typeface="+mn-lt"/>
                <a:cs typeface="Arial"/>
              </a:rPr>
              <a:t>Inbraken in handelszaken</a:t>
            </a:r>
          </a:p>
          <a:p>
            <a:pPr>
              <a:defRPr sz="1800" b="0" i="0" u="none" strike="noStrike" baseline="0">
                <a:solidFill>
                  <a:srgbClr val="000000"/>
                </a:solidFill>
                <a:latin typeface="Arial"/>
                <a:ea typeface="Arial"/>
                <a:cs typeface="Arial"/>
              </a:defRPr>
            </a:pPr>
            <a:r>
              <a:rPr lang="nl-BE" sz="2000" b="1" i="0" u="none" strike="noStrike" baseline="0">
                <a:solidFill>
                  <a:srgbClr val="000000"/>
                </a:solidFill>
                <a:latin typeface="+mn-lt"/>
                <a:cs typeface="Arial"/>
              </a:rPr>
              <a:t>Provincie Vlaams-Brabant - 2013 tot 2017    </a:t>
            </a:r>
          </a:p>
          <a:p>
            <a:pPr>
              <a:defRPr sz="1800" b="0" i="0" u="none" strike="noStrike" baseline="0">
                <a:solidFill>
                  <a:srgbClr val="000000"/>
                </a:solidFill>
                <a:latin typeface="Arial"/>
                <a:ea typeface="Arial"/>
                <a:cs typeface="Arial"/>
              </a:defRPr>
            </a:pPr>
            <a:r>
              <a:rPr lang="nl-BE" sz="1000" b="0" i="1" u="none" strike="noStrike" baseline="0">
                <a:solidFill>
                  <a:srgbClr val="000000"/>
                </a:solidFill>
                <a:latin typeface="+mn-lt"/>
                <a:cs typeface="Arial"/>
              </a:rPr>
              <a:t>(Bron:  ANG 3 april 2018, zonder nationale luchthaven - CSD Leuven &amp; Halle-Vilvoorde)</a:t>
            </a:r>
          </a:p>
        </c:rich>
      </c:tx>
      <c:layout>
        <c:manualLayout>
          <c:xMode val="edge"/>
          <c:yMode val="edge"/>
          <c:x val="0.15080887009559651"/>
          <c:y val="1.5918938036617251E-2"/>
        </c:manualLayout>
      </c:layout>
      <c:overlay val="0"/>
      <c:spPr>
        <a:noFill/>
        <a:ln w="25400">
          <a:noFill/>
        </a:ln>
      </c:spPr>
    </c:title>
    <c:autoTitleDeleted val="0"/>
    <c:plotArea>
      <c:layout>
        <c:manualLayout>
          <c:layoutTarget val="inner"/>
          <c:xMode val="edge"/>
          <c:yMode val="edge"/>
          <c:x val="0.11517177460956383"/>
          <c:y val="0.33610577264120572"/>
          <c:w val="0.85856526347668083"/>
          <c:h val="0.53291796945340253"/>
        </c:manualLayout>
      </c:layout>
      <c:barChart>
        <c:barDir val="col"/>
        <c:grouping val="clustered"/>
        <c:varyColors val="0"/>
        <c:ser>
          <c:idx val="2"/>
          <c:order val="0"/>
          <c:tx>
            <c:strRef>
              <c:f>dft_handelszaken!$D$2</c:f>
              <c:strCache>
                <c:ptCount val="1"/>
                <c:pt idx="0">
                  <c:v>Provincie</c:v>
                </c:pt>
              </c:strCache>
            </c:strRef>
          </c:tx>
          <c:spPr>
            <a:solidFill>
              <a:srgbClr val="800000"/>
            </a:solidFill>
            <a:ln w="12700">
              <a:solidFill>
                <a:srgbClr val="000000"/>
              </a:solidFill>
              <a:prstDash val="solid"/>
            </a:ln>
          </c:spPr>
          <c:invertIfNegative val="0"/>
          <c:dPt>
            <c:idx val="0"/>
            <c:invertIfNegative val="0"/>
            <c:bubble3D val="0"/>
            <c:spPr>
              <a:solidFill>
                <a:srgbClr val="C00000"/>
              </a:solidFill>
              <a:ln w="12700">
                <a:solidFill>
                  <a:srgbClr val="000000"/>
                </a:solidFill>
                <a:prstDash val="solid"/>
              </a:ln>
            </c:spPr>
          </c:dPt>
          <c:dPt>
            <c:idx val="1"/>
            <c:invertIfNegative val="0"/>
            <c:bubble3D val="0"/>
            <c:spPr>
              <a:solidFill>
                <a:srgbClr val="C00000"/>
              </a:solidFill>
              <a:ln w="12700">
                <a:solidFill>
                  <a:srgbClr val="000000"/>
                </a:solidFill>
                <a:prstDash val="solid"/>
              </a:ln>
            </c:spPr>
          </c:dPt>
          <c:dPt>
            <c:idx val="2"/>
            <c:invertIfNegative val="0"/>
            <c:bubble3D val="0"/>
            <c:spPr>
              <a:solidFill>
                <a:srgbClr val="C00000"/>
              </a:solidFill>
              <a:ln w="12700">
                <a:solidFill>
                  <a:srgbClr val="000000"/>
                </a:solidFill>
                <a:prstDash val="solid"/>
              </a:ln>
            </c:spPr>
          </c:dPt>
          <c:dPt>
            <c:idx val="3"/>
            <c:invertIfNegative val="0"/>
            <c:bubble3D val="0"/>
            <c:spPr>
              <a:solidFill>
                <a:srgbClr val="C00000"/>
              </a:solidFill>
              <a:ln w="12700">
                <a:solidFill>
                  <a:srgbClr val="000000"/>
                </a:solidFill>
                <a:prstDash val="solid"/>
              </a:ln>
            </c:spPr>
          </c:dPt>
          <c:dPt>
            <c:idx val="4"/>
            <c:invertIfNegative val="0"/>
            <c:bubble3D val="0"/>
            <c:spPr>
              <a:solidFill>
                <a:srgbClr val="C00000"/>
              </a:solidFill>
              <a:ln w="12700">
                <a:solidFill>
                  <a:srgbClr val="000000"/>
                </a:solidFill>
                <a:prstDash val="solid"/>
              </a:ln>
            </c:spPr>
          </c:dPt>
          <c:dLbls>
            <c:spPr>
              <a:solidFill>
                <a:srgbClr val="FFFFFF"/>
              </a:solidFill>
              <a:ln w="25400">
                <a:noFill/>
              </a:ln>
            </c:spPr>
            <c:txPr>
              <a:bodyPr/>
              <a:lstStyle/>
              <a:p>
                <a:pPr>
                  <a:defRPr sz="1200" b="1" i="0" u="none" strike="noStrike" baseline="0">
                    <a:solidFill>
                      <a:srgbClr val="000000"/>
                    </a:solidFill>
                    <a:latin typeface="Arial"/>
                    <a:ea typeface="Arial"/>
                    <a:cs typeface="Arial"/>
                  </a:defRPr>
                </a:pPr>
                <a:endParaRPr lang="nl-BE"/>
              </a:p>
            </c:txPr>
            <c:dLblPos val="outEnd"/>
            <c:showLegendKey val="0"/>
            <c:showVal val="1"/>
            <c:showCatName val="0"/>
            <c:showSerName val="0"/>
            <c:showPercent val="0"/>
            <c:showBubbleSize val="0"/>
            <c:showLeaderLines val="0"/>
          </c:dLbls>
          <c:cat>
            <c:numRef>
              <c:f>dft_handelszaken!$A$13:$A$17</c:f>
              <c:numCache>
                <c:formatCode>General</c:formatCode>
                <c:ptCount val="5"/>
                <c:pt idx="0">
                  <c:v>2013</c:v>
                </c:pt>
                <c:pt idx="1">
                  <c:v>2014</c:v>
                </c:pt>
                <c:pt idx="2">
                  <c:v>2015</c:v>
                </c:pt>
                <c:pt idx="3">
                  <c:v>2016</c:v>
                </c:pt>
                <c:pt idx="4">
                  <c:v>2017</c:v>
                </c:pt>
              </c:numCache>
            </c:numRef>
          </c:cat>
          <c:val>
            <c:numRef>
              <c:f>dft_handelszaken!$D$13:$D$17</c:f>
              <c:numCache>
                <c:formatCode>General</c:formatCode>
                <c:ptCount val="5"/>
                <c:pt idx="0">
                  <c:v>1480</c:v>
                </c:pt>
                <c:pt idx="1">
                  <c:v>1407</c:v>
                </c:pt>
                <c:pt idx="2">
                  <c:v>1168</c:v>
                </c:pt>
                <c:pt idx="3">
                  <c:v>870</c:v>
                </c:pt>
                <c:pt idx="4">
                  <c:v>966</c:v>
                </c:pt>
              </c:numCache>
            </c:numRef>
          </c:val>
        </c:ser>
        <c:dLbls>
          <c:showLegendKey val="0"/>
          <c:showVal val="0"/>
          <c:showCatName val="0"/>
          <c:showSerName val="0"/>
          <c:showPercent val="0"/>
          <c:showBubbleSize val="0"/>
        </c:dLbls>
        <c:gapWidth val="110"/>
        <c:axId val="134180864"/>
        <c:axId val="134182400"/>
      </c:barChart>
      <c:catAx>
        <c:axId val="1341808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Arial"/>
                <a:ea typeface="Arial"/>
                <a:cs typeface="Arial"/>
              </a:defRPr>
            </a:pPr>
            <a:endParaRPr lang="nl-BE"/>
          </a:p>
        </c:txPr>
        <c:crossAx val="134182400"/>
        <c:crosses val="autoZero"/>
        <c:auto val="1"/>
        <c:lblAlgn val="ctr"/>
        <c:lblOffset val="100"/>
        <c:tickLblSkip val="1"/>
        <c:tickMarkSkip val="1"/>
        <c:noMultiLvlLbl val="0"/>
      </c:catAx>
      <c:valAx>
        <c:axId val="134182400"/>
        <c:scaling>
          <c:orientation val="minMax"/>
          <c:max val="2000"/>
          <c:min val="0"/>
        </c:scaling>
        <c:delete val="0"/>
        <c:axPos val="l"/>
        <c:majorGridlines>
          <c:spPr>
            <a:ln w="3175">
              <a:solidFill>
                <a:srgbClr val="808080"/>
              </a:solidFill>
              <a:prstDash val="sysDash"/>
            </a:ln>
          </c:spPr>
        </c:majorGridlines>
        <c:title>
          <c:tx>
            <c:rich>
              <a:bodyPr/>
              <a:lstStyle/>
              <a:p>
                <a:pPr>
                  <a:defRPr sz="1200" b="1" i="0" u="none" strike="noStrike" baseline="0">
                    <a:solidFill>
                      <a:srgbClr val="000000"/>
                    </a:solidFill>
                    <a:latin typeface="Arial"/>
                    <a:ea typeface="Arial"/>
                    <a:cs typeface="Arial"/>
                  </a:defRPr>
                </a:pPr>
                <a:r>
                  <a:rPr lang="nl-BE"/>
                  <a:t>Absoluut  aantal</a:t>
                </a:r>
              </a:p>
            </c:rich>
          </c:tx>
          <c:layout>
            <c:manualLayout>
              <c:xMode val="edge"/>
              <c:yMode val="edge"/>
              <c:x val="5.5370482535836863E-3"/>
              <c:y val="0.42619586273129578"/>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a:ea typeface="Arial"/>
                <a:cs typeface="Arial"/>
              </a:defRPr>
            </a:pPr>
            <a:endParaRPr lang="nl-BE"/>
          </a:p>
        </c:txPr>
        <c:crossAx val="134180864"/>
        <c:crosses val="autoZero"/>
        <c:crossBetween val="between"/>
        <c:majorUnit val="250"/>
        <c:minorUnit val="250"/>
      </c:valAx>
      <c:spPr>
        <a:noFill/>
        <a:ln w="25400">
          <a:noFill/>
        </a:ln>
      </c:spPr>
    </c:plotArea>
    <c:plotVisOnly val="1"/>
    <c:dispBlanksAs val="gap"/>
    <c:showDLblsOverMax val="0"/>
  </c:chart>
  <c:spPr>
    <a:solidFill>
      <a:srgbClr val="FFFFFF"/>
    </a:solidFill>
    <a:ln w="3175">
      <a:solidFill>
        <a:srgbClr val="000000"/>
      </a:solidFill>
      <a:prstDash val="solid"/>
    </a:ln>
  </c:spPr>
  <c:txPr>
    <a:bodyPr/>
    <a:lstStyle/>
    <a:p>
      <a:pPr>
        <a:defRPr sz="1800" b="0" i="0" u="none" strike="noStrike" baseline="0">
          <a:solidFill>
            <a:srgbClr val="000000"/>
          </a:solidFill>
          <a:latin typeface="Arial"/>
          <a:ea typeface="Arial"/>
          <a:cs typeface="Arial"/>
        </a:defRPr>
      </a:pPr>
      <a:endParaRPr lang="nl-B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nl-BE" sz="2000" dirty="0" smtClean="0"/>
              <a:t>Verkeersongevallen </a:t>
            </a:r>
            <a:r>
              <a:rPr lang="nl-BE" sz="2000" dirty="0"/>
              <a:t>met </a:t>
            </a:r>
            <a:r>
              <a:rPr lang="nl-BE" sz="2000" dirty="0" smtClean="0"/>
              <a:t>lichamelijk letsel</a:t>
            </a:r>
            <a:endParaRPr lang="nl-BE" sz="2000" dirty="0"/>
          </a:p>
          <a:p>
            <a:pPr>
              <a:defRPr/>
            </a:pPr>
            <a:r>
              <a:rPr lang="nl-BE" sz="2000" dirty="0"/>
              <a:t>provincie Vlaams-Brabant </a:t>
            </a:r>
            <a:r>
              <a:rPr lang="nl-BE" sz="2000" dirty="0" smtClean="0"/>
              <a:t> - 2005 </a:t>
            </a:r>
            <a:r>
              <a:rPr lang="nl-BE" sz="2000" dirty="0"/>
              <a:t>tot 2017</a:t>
            </a:r>
          </a:p>
          <a:p>
            <a:pPr>
              <a:defRPr/>
            </a:pPr>
            <a:r>
              <a:rPr lang="nl-BE" sz="1200" b="0" dirty="0"/>
              <a:t>Bron: federale politie </a:t>
            </a:r>
            <a:r>
              <a:rPr lang="nl-BE" sz="1200" b="0" dirty="0" smtClean="0"/>
              <a:t>DGR/DRI – CSD Leuven &amp; Halle-Vilvoorde</a:t>
            </a:r>
            <a:endParaRPr lang="nl-BE" sz="1200" b="0" dirty="0"/>
          </a:p>
        </c:rich>
      </c:tx>
      <c:layout/>
      <c:overlay val="0"/>
    </c:title>
    <c:autoTitleDeleted val="0"/>
    <c:plotArea>
      <c:layout/>
      <c:barChart>
        <c:barDir val="col"/>
        <c:grouping val="clustered"/>
        <c:varyColors val="0"/>
        <c:ser>
          <c:idx val="0"/>
          <c:order val="0"/>
          <c:tx>
            <c:v>aantal ongevallen met LL</c:v>
          </c:tx>
          <c:spPr>
            <a:solidFill>
              <a:srgbClr val="C00000"/>
            </a:solidFill>
          </c:spPr>
          <c:invertIfNegative val="0"/>
          <c:dLbls>
            <c:txPr>
              <a:bodyPr/>
              <a:lstStyle/>
              <a:p>
                <a:pPr>
                  <a:defRPr b="1"/>
                </a:pPr>
                <a:endParaRPr lang="nl-BE"/>
              </a:p>
            </c:txPr>
            <c:showLegendKey val="0"/>
            <c:showVal val="1"/>
            <c:showCatName val="0"/>
            <c:showSerName val="0"/>
            <c:showPercent val="0"/>
            <c:showBubbleSize val="0"/>
            <c:showLeaderLines val="0"/>
          </c:dLbls>
          <c:cat>
            <c:numRef>
              <c:f>Perconferentie30mei2018!$B$2:$N$2</c:f>
              <c:numCache>
                <c:formatCode>General</c:formatCode>
                <c:ptCount val="13"/>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numCache>
            </c:numRef>
          </c:cat>
          <c:val>
            <c:numRef>
              <c:f>Perconferentie30mei2018!$B$3:$N$3</c:f>
              <c:numCache>
                <c:formatCode>General</c:formatCode>
                <c:ptCount val="13"/>
                <c:pt idx="0">
                  <c:v>4284</c:v>
                </c:pt>
                <c:pt idx="1">
                  <c:v>4357</c:v>
                </c:pt>
                <c:pt idx="2">
                  <c:v>4251</c:v>
                </c:pt>
                <c:pt idx="3">
                  <c:v>4082</c:v>
                </c:pt>
                <c:pt idx="4">
                  <c:v>3965</c:v>
                </c:pt>
                <c:pt idx="5">
                  <c:v>3814</c:v>
                </c:pt>
                <c:pt idx="6">
                  <c:v>3957</c:v>
                </c:pt>
                <c:pt idx="7">
                  <c:v>3882</c:v>
                </c:pt>
                <c:pt idx="8">
                  <c:v>3621</c:v>
                </c:pt>
                <c:pt idx="9">
                  <c:v>3570</c:v>
                </c:pt>
                <c:pt idx="10">
                  <c:v>3413</c:v>
                </c:pt>
                <c:pt idx="11">
                  <c:v>3328</c:v>
                </c:pt>
                <c:pt idx="12">
                  <c:v>3055</c:v>
                </c:pt>
              </c:numCache>
            </c:numRef>
          </c:val>
        </c:ser>
        <c:dLbls>
          <c:showLegendKey val="0"/>
          <c:showVal val="0"/>
          <c:showCatName val="0"/>
          <c:showSerName val="0"/>
          <c:showPercent val="0"/>
          <c:showBubbleSize val="0"/>
        </c:dLbls>
        <c:gapWidth val="150"/>
        <c:axId val="134208896"/>
        <c:axId val="134771840"/>
      </c:barChart>
      <c:catAx>
        <c:axId val="134208896"/>
        <c:scaling>
          <c:orientation val="minMax"/>
        </c:scaling>
        <c:delete val="0"/>
        <c:axPos val="b"/>
        <c:numFmt formatCode="General" sourceLinked="1"/>
        <c:majorTickMark val="out"/>
        <c:minorTickMark val="none"/>
        <c:tickLblPos val="nextTo"/>
        <c:crossAx val="134771840"/>
        <c:crosses val="autoZero"/>
        <c:auto val="1"/>
        <c:lblAlgn val="ctr"/>
        <c:lblOffset val="100"/>
        <c:noMultiLvlLbl val="0"/>
      </c:catAx>
      <c:valAx>
        <c:axId val="134771840"/>
        <c:scaling>
          <c:orientation val="minMax"/>
          <c:max val="4500"/>
        </c:scaling>
        <c:delete val="0"/>
        <c:axPos val="l"/>
        <c:majorGridlines/>
        <c:numFmt formatCode="General" sourceLinked="1"/>
        <c:majorTickMark val="out"/>
        <c:minorTickMark val="none"/>
        <c:tickLblPos val="nextTo"/>
        <c:crossAx val="134208896"/>
        <c:crosses val="autoZero"/>
        <c:crossBetween val="between"/>
      </c:valAx>
      <c:spPr>
        <a:noFill/>
        <a:ln w="25400">
          <a:noFill/>
        </a:ln>
      </c:spPr>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rtl="0">
              <a:defRPr lang="en-US" sz="1200" b="1" i="0" u="none" strike="noStrike" kern="1200" baseline="0">
                <a:solidFill>
                  <a:sysClr val="windowText" lastClr="000000"/>
                </a:solidFill>
                <a:latin typeface="+mn-lt"/>
                <a:ea typeface="+mn-ea"/>
                <a:cs typeface="+mn-cs"/>
              </a:defRPr>
            </a:pPr>
            <a:r>
              <a:rPr lang="en-US" sz="1200" b="1" i="0" u="none" strike="noStrike" kern="1200" baseline="0">
                <a:solidFill>
                  <a:sysClr val="windowText" lastClr="000000"/>
                </a:solidFill>
                <a:latin typeface="+mn-lt"/>
                <a:ea typeface="+mn-ea"/>
                <a:cs typeface="Arial" pitchFamily="34" charset="0"/>
              </a:rPr>
              <a:t>Verkeersongevallen met minstens 1 dode</a:t>
            </a:r>
            <a:br>
              <a:rPr lang="en-US" sz="1200" b="1" i="0" u="none" strike="noStrike" kern="1200" baseline="0">
                <a:solidFill>
                  <a:sysClr val="windowText" lastClr="000000"/>
                </a:solidFill>
                <a:latin typeface="+mn-lt"/>
                <a:ea typeface="+mn-ea"/>
                <a:cs typeface="Arial" pitchFamily="34" charset="0"/>
              </a:rPr>
            </a:br>
            <a:r>
              <a:rPr lang="en-US" sz="1200" b="1" i="0" u="none" strike="noStrike" kern="1200" baseline="0">
                <a:solidFill>
                  <a:sysClr val="windowText" lastClr="000000"/>
                </a:solidFill>
                <a:latin typeface="+mn-lt"/>
                <a:ea typeface="+mn-ea"/>
                <a:cs typeface="Arial" pitchFamily="34" charset="0"/>
              </a:rPr>
              <a:t> Provincie Vlaams-Brabant - 2011 tot 2017</a:t>
            </a:r>
          </a:p>
          <a:p>
            <a:pPr algn="ctr" rtl="0">
              <a:defRPr lang="en-US" sz="1200" b="1" i="0" u="none" strike="noStrike" kern="1200" baseline="0">
                <a:solidFill>
                  <a:sysClr val="windowText" lastClr="000000"/>
                </a:solidFill>
                <a:latin typeface="+mn-lt"/>
                <a:ea typeface="+mn-ea"/>
                <a:cs typeface="+mn-cs"/>
              </a:defRPr>
            </a:pPr>
            <a:r>
              <a:rPr lang="en-US" sz="1200" b="0" i="0" u="none" strike="noStrike" kern="1200" baseline="0">
                <a:solidFill>
                  <a:sysClr val="windowText" lastClr="000000"/>
                </a:solidFill>
                <a:latin typeface="+mn-lt"/>
                <a:ea typeface="+mn-ea"/>
                <a:cs typeface="+mn-cs"/>
              </a:rPr>
              <a:t>Bron: federale politie DGR/DRI - CSD Leuven &amp; Halle-Vilvoorde</a:t>
            </a:r>
          </a:p>
        </c:rich>
      </c:tx>
      <c:layout/>
      <c:overlay val="0"/>
    </c:title>
    <c:autoTitleDeleted val="0"/>
    <c:plotArea>
      <c:layout>
        <c:manualLayout>
          <c:layoutTarget val="inner"/>
          <c:xMode val="edge"/>
          <c:yMode val="edge"/>
          <c:x val="5.8289139327916864E-2"/>
          <c:y val="0.22841703714717332"/>
          <c:w val="0.91147283747804908"/>
          <c:h val="0.6817049625640228"/>
        </c:manualLayout>
      </c:layout>
      <c:lineChart>
        <c:grouping val="stacked"/>
        <c:varyColors val="0"/>
        <c:ser>
          <c:idx val="0"/>
          <c:order val="0"/>
          <c:marker>
            <c:symbol val="none"/>
          </c:marker>
          <c:dLbls>
            <c:txPr>
              <a:bodyPr/>
              <a:lstStyle/>
              <a:p>
                <a:pPr>
                  <a:defRPr b="1"/>
                </a:pPr>
                <a:endParaRPr lang="nl-BE"/>
              </a:p>
            </c:txPr>
            <c:showLegendKey val="0"/>
            <c:showVal val="1"/>
            <c:showCatName val="0"/>
            <c:showSerName val="0"/>
            <c:showPercent val="0"/>
            <c:showBubbleSize val="0"/>
            <c:showLeaderLines val="0"/>
          </c:dLbls>
          <c:cat>
            <c:numRef>
              <c:f>Perconferentie30mei2018!$H$5:$N$5</c:f>
              <c:numCache>
                <c:formatCode>General</c:formatCode>
                <c:ptCount val="7"/>
                <c:pt idx="0">
                  <c:v>2011</c:v>
                </c:pt>
                <c:pt idx="1">
                  <c:v>2012</c:v>
                </c:pt>
                <c:pt idx="2">
                  <c:v>2013</c:v>
                </c:pt>
                <c:pt idx="3">
                  <c:v>2014</c:v>
                </c:pt>
                <c:pt idx="4">
                  <c:v>2015</c:v>
                </c:pt>
                <c:pt idx="5">
                  <c:v>2016</c:v>
                </c:pt>
                <c:pt idx="6">
                  <c:v>2017</c:v>
                </c:pt>
              </c:numCache>
            </c:numRef>
          </c:cat>
          <c:val>
            <c:numRef>
              <c:f>Perconferentie30mei2018!$H$6:$N$6</c:f>
              <c:numCache>
                <c:formatCode>General</c:formatCode>
                <c:ptCount val="7"/>
                <c:pt idx="0">
                  <c:v>36</c:v>
                </c:pt>
                <c:pt idx="1">
                  <c:v>52</c:v>
                </c:pt>
                <c:pt idx="2">
                  <c:v>58</c:v>
                </c:pt>
                <c:pt idx="3">
                  <c:v>57</c:v>
                </c:pt>
                <c:pt idx="4">
                  <c:v>55</c:v>
                </c:pt>
                <c:pt idx="5">
                  <c:v>37</c:v>
                </c:pt>
                <c:pt idx="6">
                  <c:v>42</c:v>
                </c:pt>
              </c:numCache>
            </c:numRef>
          </c:val>
          <c:smooth val="0"/>
        </c:ser>
        <c:ser>
          <c:idx val="1"/>
          <c:order val="1"/>
          <c:marker>
            <c:symbol val="none"/>
          </c:marker>
          <c:cat>
            <c:numRef>
              <c:f>Perconferentie30mei2018!$H$5:$N$5</c:f>
              <c:numCache>
                <c:formatCode>General</c:formatCode>
                <c:ptCount val="7"/>
                <c:pt idx="0">
                  <c:v>2011</c:v>
                </c:pt>
                <c:pt idx="1">
                  <c:v>2012</c:v>
                </c:pt>
                <c:pt idx="2">
                  <c:v>2013</c:v>
                </c:pt>
                <c:pt idx="3">
                  <c:v>2014</c:v>
                </c:pt>
                <c:pt idx="4">
                  <c:v>2015</c:v>
                </c:pt>
                <c:pt idx="5">
                  <c:v>2016</c:v>
                </c:pt>
                <c:pt idx="6">
                  <c:v>2017</c:v>
                </c:pt>
              </c:numCache>
            </c:numRef>
          </c:cat>
          <c:val>
            <c:numRef>
              <c:f>Perconferentie30mei2018!$H$7:$N$7</c:f>
              <c:numCache>
                <c:formatCode>General</c:formatCode>
                <c:ptCount val="7"/>
              </c:numCache>
            </c:numRef>
          </c:val>
          <c:smooth val="0"/>
        </c:ser>
        <c:dLbls>
          <c:showLegendKey val="0"/>
          <c:showVal val="0"/>
          <c:showCatName val="0"/>
          <c:showSerName val="0"/>
          <c:showPercent val="0"/>
          <c:showBubbleSize val="0"/>
        </c:dLbls>
        <c:marker val="1"/>
        <c:smooth val="0"/>
        <c:axId val="134481792"/>
        <c:axId val="134483328"/>
      </c:lineChart>
      <c:catAx>
        <c:axId val="134481792"/>
        <c:scaling>
          <c:orientation val="minMax"/>
        </c:scaling>
        <c:delete val="0"/>
        <c:axPos val="b"/>
        <c:numFmt formatCode="General" sourceLinked="1"/>
        <c:majorTickMark val="out"/>
        <c:minorTickMark val="none"/>
        <c:tickLblPos val="nextTo"/>
        <c:crossAx val="134483328"/>
        <c:crosses val="autoZero"/>
        <c:auto val="1"/>
        <c:lblAlgn val="ctr"/>
        <c:lblOffset val="100"/>
        <c:noMultiLvlLbl val="0"/>
      </c:catAx>
      <c:valAx>
        <c:axId val="134483328"/>
        <c:scaling>
          <c:orientation val="minMax"/>
        </c:scaling>
        <c:delete val="0"/>
        <c:axPos val="l"/>
        <c:majorGridlines/>
        <c:numFmt formatCode="General" sourceLinked="1"/>
        <c:majorTickMark val="out"/>
        <c:minorTickMark val="none"/>
        <c:tickLblPos val="nextTo"/>
        <c:crossAx val="134481792"/>
        <c:crosses val="autoZero"/>
        <c:crossBetween val="between"/>
      </c:valAx>
    </c:plotArea>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2000"/>
              <a:t>Ongevallen met kwetsbare weggebruikers Provincie Vlaams-Brabant</a:t>
            </a:r>
            <a:r>
              <a:rPr lang="en-US" sz="2000" baseline="0"/>
              <a:t> - </a:t>
            </a:r>
            <a:r>
              <a:rPr lang="en-US" sz="2000"/>
              <a:t>2013</a:t>
            </a:r>
            <a:r>
              <a:rPr lang="en-US" sz="2000" baseline="0"/>
              <a:t> tot </a:t>
            </a:r>
            <a:r>
              <a:rPr lang="en-US" sz="2000"/>
              <a:t>2017</a:t>
            </a:r>
          </a:p>
          <a:p>
            <a:pPr>
              <a:defRPr/>
            </a:pPr>
            <a:r>
              <a:rPr lang="en-US" sz="1100" b="0"/>
              <a:t>Bron:</a:t>
            </a:r>
            <a:r>
              <a:rPr lang="en-US" sz="1100" b="0" baseline="0"/>
              <a:t> federale politie DGR/DRI  - CSD  Leuven &amp; Halle-Vilvoorde</a:t>
            </a:r>
            <a:endParaRPr lang="en-US" sz="1100" b="0"/>
          </a:p>
        </c:rich>
      </c:tx>
      <c:layout>
        <c:manualLayout>
          <c:xMode val="edge"/>
          <c:yMode val="edge"/>
          <c:x val="0.1290019986416121"/>
          <c:y val="2.1075845357359686E-2"/>
        </c:manualLayout>
      </c:layout>
      <c:overlay val="0"/>
    </c:title>
    <c:autoTitleDeleted val="0"/>
    <c:plotArea>
      <c:layout/>
      <c:barChart>
        <c:barDir val="col"/>
        <c:grouping val="clustered"/>
        <c:varyColors val="0"/>
        <c:ser>
          <c:idx val="0"/>
          <c:order val="0"/>
          <c:tx>
            <c:strRef>
              <c:f>Perconferentie30mei2018!$A$41</c:f>
              <c:strCache>
                <c:ptCount val="1"/>
                <c:pt idx="0">
                  <c:v>aantal ongevallen minimum 1 kwetsbare weggebruiker betrokken</c:v>
                </c:pt>
              </c:strCache>
            </c:strRef>
          </c:tx>
          <c:spPr>
            <a:solidFill>
              <a:srgbClr val="B00000"/>
            </a:solidFill>
          </c:spPr>
          <c:invertIfNegative val="0"/>
          <c:dLbls>
            <c:txPr>
              <a:bodyPr/>
              <a:lstStyle/>
              <a:p>
                <a:pPr>
                  <a:defRPr b="1"/>
                </a:pPr>
                <a:endParaRPr lang="nl-BE"/>
              </a:p>
            </c:txPr>
            <c:showLegendKey val="0"/>
            <c:showVal val="1"/>
            <c:showCatName val="0"/>
            <c:showSerName val="0"/>
            <c:showPercent val="0"/>
            <c:showBubbleSize val="0"/>
            <c:showLeaderLines val="0"/>
          </c:dLbls>
          <c:cat>
            <c:numRef>
              <c:f>Perconferentie30mei2018!$B$40:$F$40</c:f>
              <c:numCache>
                <c:formatCode>General</c:formatCode>
                <c:ptCount val="5"/>
                <c:pt idx="0">
                  <c:v>2013</c:v>
                </c:pt>
                <c:pt idx="1">
                  <c:v>2014</c:v>
                </c:pt>
                <c:pt idx="2">
                  <c:v>2015</c:v>
                </c:pt>
                <c:pt idx="3">
                  <c:v>2016</c:v>
                </c:pt>
                <c:pt idx="4">
                  <c:v>2017</c:v>
                </c:pt>
              </c:numCache>
            </c:numRef>
          </c:cat>
          <c:val>
            <c:numRef>
              <c:f>Perconferentie30mei2018!$B$41:$F$41</c:f>
              <c:numCache>
                <c:formatCode>General</c:formatCode>
                <c:ptCount val="5"/>
                <c:pt idx="0">
                  <c:v>1631</c:v>
                </c:pt>
                <c:pt idx="1">
                  <c:v>1787</c:v>
                </c:pt>
                <c:pt idx="2">
                  <c:v>1710</c:v>
                </c:pt>
                <c:pt idx="3">
                  <c:v>1674</c:v>
                </c:pt>
                <c:pt idx="4">
                  <c:v>1517</c:v>
                </c:pt>
              </c:numCache>
            </c:numRef>
          </c:val>
        </c:ser>
        <c:dLbls>
          <c:showLegendKey val="0"/>
          <c:showVal val="0"/>
          <c:showCatName val="0"/>
          <c:showSerName val="0"/>
          <c:showPercent val="0"/>
          <c:showBubbleSize val="0"/>
        </c:dLbls>
        <c:gapWidth val="150"/>
        <c:axId val="134537216"/>
        <c:axId val="134538752"/>
      </c:barChart>
      <c:catAx>
        <c:axId val="134537216"/>
        <c:scaling>
          <c:orientation val="minMax"/>
        </c:scaling>
        <c:delete val="0"/>
        <c:axPos val="b"/>
        <c:numFmt formatCode="General" sourceLinked="1"/>
        <c:majorTickMark val="out"/>
        <c:minorTickMark val="none"/>
        <c:tickLblPos val="nextTo"/>
        <c:crossAx val="134538752"/>
        <c:crosses val="autoZero"/>
        <c:auto val="1"/>
        <c:lblAlgn val="ctr"/>
        <c:lblOffset val="100"/>
        <c:noMultiLvlLbl val="0"/>
      </c:catAx>
      <c:valAx>
        <c:axId val="134538752"/>
        <c:scaling>
          <c:orientation val="minMax"/>
        </c:scaling>
        <c:delete val="0"/>
        <c:axPos val="l"/>
        <c:majorGridlines/>
        <c:numFmt formatCode="General" sourceLinked="1"/>
        <c:majorTickMark val="out"/>
        <c:minorTickMark val="none"/>
        <c:tickLblPos val="nextTo"/>
        <c:crossAx val="134537216"/>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0.83357</cdr:x>
      <cdr:y>0.64886</cdr:y>
    </cdr:from>
    <cdr:to>
      <cdr:x>0.97557</cdr:x>
      <cdr:y>0.77992</cdr:y>
    </cdr:to>
    <cdr:sp macro="" textlink="">
      <cdr:nvSpPr>
        <cdr:cNvPr id="2" name="Tekstvak 1"/>
        <cdr:cNvSpPr txBox="1"/>
      </cdr:nvSpPr>
      <cdr:spPr>
        <a:xfrm xmlns:a="http://schemas.openxmlformats.org/drawingml/2006/main">
          <a:off x="5486401" y="2858436"/>
          <a:ext cx="934590" cy="5773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nl-BE" sz="900"/>
        </a:p>
      </cdr:txBody>
    </cdr:sp>
  </cdr:relSizeAnchor>
</c:userShape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86975-253D-4DDB-87E4-371BB27E7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DA4D3405.dotm</Template>
  <TotalTime>179</TotalTime>
  <Pages>9</Pages>
  <Words>956</Words>
  <Characters>5261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6205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Kaat Boon</dc:creator>
  <cp:lastModifiedBy>Kaat Boon</cp:lastModifiedBy>
  <cp:revision>25</cp:revision>
  <cp:lastPrinted>2018-05-29T13:46:00Z</cp:lastPrinted>
  <dcterms:created xsi:type="dcterms:W3CDTF">2018-05-28T15:53:00Z</dcterms:created>
  <dcterms:modified xsi:type="dcterms:W3CDTF">2018-05-30T07:09:00Z</dcterms:modified>
</cp:coreProperties>
</file>