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306"/>
      </w:tblGrid>
      <w:tr w:rsidR="00162F08" w:rsidRPr="005755F0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Корпоративни комуникации</w:t>
            </w:r>
          </w:p>
        </w:tc>
      </w:tr>
      <w:tr w:rsidR="00162F08" w:rsidRPr="005755F0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А1 България</w:t>
            </w:r>
          </w:p>
        </w:tc>
      </w:tr>
      <w:tr w:rsidR="00162F08" w:rsidRPr="005755F0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0882 201</w:t>
            </w:r>
            <w:r w:rsidR="009D75B5" w:rsidRPr="005755F0">
              <w:rPr>
                <w:rFonts w:ascii="Verdana" w:hAnsi="Verdana" w:cs="Verdana"/>
                <w:bCs/>
                <w:lang w:val="bg-BG"/>
              </w:rPr>
              <w:t xml:space="preserve"> 209</w:t>
            </w:r>
          </w:p>
        </w:tc>
      </w:tr>
      <w:tr w:rsidR="00162F08" w:rsidRPr="005755F0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http://www.а1.bg</w:t>
            </w:r>
          </w:p>
        </w:tc>
      </w:tr>
      <w:tr w:rsidR="00162F08" w:rsidRPr="005755F0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0124E68" w14:textId="77777777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C152570" w14:textId="77777777" w:rsidR="00162F08" w:rsidRPr="005755F0" w:rsidRDefault="00162F08" w:rsidP="00AF552C">
      <w:pPr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010B4165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329F4EA3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7165E807" w14:textId="638D66B8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124A1268" w14:textId="4E781FB9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5755F0">
        <w:rPr>
          <w:rFonts w:ascii="Verdana" w:hAnsi="Verdana"/>
          <w:bCs/>
          <w:lang w:val="bg-BG"/>
        </w:rPr>
        <w:t>София,</w:t>
      </w:r>
    </w:p>
    <w:p w14:paraId="3EB0D5A8" w14:textId="048115B5" w:rsidR="00162F08" w:rsidRPr="005755F0" w:rsidRDefault="00523EA5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BF724F">
        <w:rPr>
          <w:rFonts w:ascii="Verdana" w:hAnsi="Verdana"/>
          <w:bCs/>
          <w:lang w:val="bg-BG"/>
        </w:rPr>
        <w:t>06</w:t>
      </w:r>
      <w:r w:rsidR="00162F08" w:rsidRPr="00BF724F">
        <w:rPr>
          <w:rFonts w:ascii="Verdana" w:hAnsi="Verdana"/>
          <w:bCs/>
          <w:lang w:val="bg-BG"/>
        </w:rPr>
        <w:t>.</w:t>
      </w:r>
      <w:r w:rsidR="008B61E2" w:rsidRPr="00BF724F">
        <w:rPr>
          <w:rFonts w:ascii="Verdana" w:hAnsi="Verdana"/>
          <w:bCs/>
          <w:lang w:val="bg-BG"/>
        </w:rPr>
        <w:t>0</w:t>
      </w:r>
      <w:r w:rsidR="008B61E2" w:rsidRPr="00BF724F">
        <w:rPr>
          <w:rFonts w:ascii="Verdana" w:hAnsi="Verdana"/>
          <w:bCs/>
        </w:rPr>
        <w:t>6</w:t>
      </w:r>
      <w:r w:rsidR="00162F08" w:rsidRPr="00BF724F">
        <w:rPr>
          <w:rFonts w:ascii="Verdana" w:hAnsi="Verdana"/>
          <w:bCs/>
          <w:lang w:val="bg-BG"/>
        </w:rPr>
        <w:t>.2024 г.</w:t>
      </w:r>
    </w:p>
    <w:p w14:paraId="7FA84263" w14:textId="72ED46B6" w:rsidR="006465D0" w:rsidRPr="005755F0" w:rsidRDefault="006465D0" w:rsidP="00AF552C">
      <w:pPr>
        <w:spacing w:after="0" w:line="288" w:lineRule="auto"/>
        <w:jc w:val="both"/>
        <w:rPr>
          <w:rFonts w:ascii="Verdana" w:hAnsi="Verdana"/>
          <w:b/>
          <w:bCs/>
          <w:lang w:val="bg-BG"/>
        </w:rPr>
      </w:pPr>
    </w:p>
    <w:p w14:paraId="265B09F4" w14:textId="48F39086" w:rsidR="00D54801" w:rsidRDefault="00445C60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bCs/>
          <w:color w:val="000000"/>
          <w:bdr w:val="none" w:sz="0" w:space="0" w:color="auto" w:frame="1"/>
        </w:rPr>
      </w:pPr>
      <w:r w:rsidRPr="008B61E2">
        <w:rPr>
          <w:rFonts w:ascii="Verdana" w:hAnsi="Verdana" w:cs="Segoe UI"/>
          <w:b/>
          <w:bCs/>
          <w:color w:val="000000"/>
          <w:bdr w:val="none" w:sz="0" w:space="0" w:color="auto" w:frame="1"/>
        </w:rPr>
        <w:t xml:space="preserve">IT </w:t>
      </w:r>
      <w:proofErr w:type="spellStart"/>
      <w:r w:rsidRPr="008B61E2">
        <w:rPr>
          <w:rFonts w:ascii="Verdana" w:hAnsi="Verdana" w:cs="Segoe UI"/>
          <w:b/>
          <w:bCs/>
          <w:color w:val="000000"/>
          <w:bdr w:val="none" w:sz="0" w:space="0" w:color="auto" w:frame="1"/>
        </w:rPr>
        <w:t>Helpdesk</w:t>
      </w:r>
      <w:proofErr w:type="spellEnd"/>
      <w:r w:rsidR="008B61E2">
        <w:rPr>
          <w:rFonts w:ascii="Verdana" w:hAnsi="Verdana" w:cs="Segoe UI"/>
          <w:b/>
          <w:bCs/>
          <w:color w:val="000000"/>
          <w:bdr w:val="none" w:sz="0" w:space="0" w:color="auto" w:frame="1"/>
        </w:rPr>
        <w:t xml:space="preserve"> от А1 </w:t>
      </w:r>
      <w:r w:rsidRPr="008B61E2">
        <w:rPr>
          <w:rFonts w:ascii="Verdana" w:hAnsi="Verdana" w:cs="Segoe UI"/>
          <w:b/>
          <w:bCs/>
          <w:color w:val="000000"/>
          <w:bdr w:val="none" w:sz="0" w:space="0" w:color="auto" w:frame="1"/>
        </w:rPr>
        <w:t>предлага експертно IT обслужване на бизнеса в отговор на технологичните предизвикателства</w:t>
      </w:r>
    </w:p>
    <w:p w14:paraId="2CA80DEE" w14:textId="77777777" w:rsidR="0042664F" w:rsidRPr="003B4EEA" w:rsidRDefault="0042664F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</w:p>
    <w:p w14:paraId="682D3959" w14:textId="602E3A64" w:rsidR="00E05A92" w:rsidRPr="005755F0" w:rsidRDefault="00B96FB0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5755F0">
        <w:rPr>
          <w:rFonts w:ascii="Verdana" w:hAnsi="Verdana" w:cs="Tahoma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7B74B498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6464300" cy="1019175"/>
                <wp:effectExtent l="0" t="0" r="127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05EFAF" id="Rectangle 2" o:spid="_x0000_s1026" style="position:absolute;margin-left:0;margin-top:2.35pt;width:50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59B0D777" w14:textId="1A75FA67" w:rsidR="00E045AE" w:rsidRPr="00006200" w:rsidRDefault="00006200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00620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Решение за цялостно IT обслужване на </w:t>
      </w:r>
      <w:r w:rsidR="00D216F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бизнесите</w:t>
      </w:r>
      <w:r w:rsidRPr="0000620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216F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 техните</w:t>
      </w:r>
      <w:r w:rsidRPr="0000620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216F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сл</w:t>
      </w:r>
      <w:r w:rsidR="00C009E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у</w:t>
      </w:r>
      <w:r w:rsidR="00D216F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жители</w:t>
      </w:r>
    </w:p>
    <w:p w14:paraId="29339238" w14:textId="5C60C8A7" w:rsidR="00890973" w:rsidRPr="00E045AE" w:rsidRDefault="00664A66" w:rsidP="00E045AE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E045A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Експертен анализ и препоръки за ефективно използване на бизнес приложенията</w:t>
      </w:r>
      <w:r w:rsidR="00662328" w:rsidRPr="00E045A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0D9BA7FF" w14:textId="154EB8D0" w:rsidR="00E05A92" w:rsidRPr="008B61E2" w:rsidRDefault="00006200" w:rsidP="008B61E2">
      <w:pPr>
        <w:pStyle w:val="ListParagraph"/>
        <w:numPr>
          <w:ilvl w:val="0"/>
          <w:numId w:val="1"/>
        </w:numPr>
        <w:shd w:val="clear" w:color="auto" w:fill="FFFFFF"/>
        <w:spacing w:after="75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8B61E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Осигурява </w:t>
      </w:r>
      <w:bookmarkEnd w:id="0"/>
      <w:r w:rsidRPr="008B61E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високо ниво на сигурност и защита на информацията</w:t>
      </w:r>
    </w:p>
    <w:p w14:paraId="2D00B7DC" w14:textId="32306427" w:rsidR="00664A66" w:rsidRPr="008B61E2" w:rsidRDefault="00664A66" w:rsidP="00664A66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8B61E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Гарантирани срокове за реакция при инцидент и планирани дейности</w:t>
      </w:r>
    </w:p>
    <w:p w14:paraId="355CDF4A" w14:textId="77777777" w:rsidR="00A743E5" w:rsidRPr="00006200" w:rsidRDefault="00A743E5" w:rsidP="00A743E5">
      <w:pPr>
        <w:pStyle w:val="ListParagraph"/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</w:p>
    <w:p w14:paraId="561F0582" w14:textId="773D2F38" w:rsidR="00283903" w:rsidRDefault="00611D64" w:rsidP="00E368B9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bookmarkStart w:id="1" w:name="_Hlk161763851"/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1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предлага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решение за експертна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IT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поддръжка за бизнеса.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 </w:t>
      </w:r>
      <w:r w:rsidR="00006200" w:rsidRP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IT </w:t>
      </w:r>
      <w:proofErr w:type="spellStart"/>
      <w:r w:rsidR="00006200" w:rsidRP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Helpdesk</w:t>
      </w:r>
      <w:proofErr w:type="spellEnd"/>
      <w:r w:rsid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организациите получават 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управление и</w:t>
      </w:r>
      <w:r w:rsid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поддръжка на PС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IT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оборудване</w:t>
      </w:r>
      <w:r w:rsidR="00283903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, </w:t>
      </w:r>
      <w:r w:rsidR="0028390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както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разрешаване на</w:t>
      </w:r>
      <w:r w:rsid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често срещани</w:t>
      </w:r>
      <w:r w:rsid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06200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технически проблеми</w:t>
      </w:r>
      <w:r w:rsid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472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 висококвалифицирани специалисти на А1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Услугата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 част от</w:t>
      </w:r>
      <w:r w:rsidR="00E368B9">
        <w:rPr>
          <w:rStyle w:val="Hyperlink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hyperlink r:id="rId8" w:history="1">
        <w:r w:rsidR="00E368B9" w:rsidRPr="00D216F4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 xml:space="preserve">богатото портфолио </w:t>
        </w:r>
        <w:r w:rsidR="00E368B9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 xml:space="preserve">на А1 </w:t>
        </w:r>
        <w:r w:rsidR="00E368B9" w:rsidRPr="00D216F4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 xml:space="preserve">с </w:t>
        </w:r>
        <w:r w:rsidR="00E368B9" w:rsidRPr="00D216F4">
          <w:rPr>
            <w:rStyle w:val="Hyperlink"/>
            <w:rFonts w:ascii="Verdana" w:eastAsiaTheme="minorHAnsi" w:hAnsi="Verdana" w:cs="Calibri"/>
            <w:sz w:val="20"/>
            <w:szCs w:val="20"/>
            <w:lang w:val="en-US" w:eastAsia="en-US"/>
          </w:rPr>
          <w:t xml:space="preserve">IT </w:t>
        </w:r>
        <w:r w:rsidR="00E368B9" w:rsidRPr="00D216F4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решения за бизнес</w:t>
        </w:r>
        <w:r w:rsidR="00E368B9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а</w:t>
        </w:r>
      </w:hyperlink>
      <w:r w:rsidR="009639B9">
        <w:rPr>
          <w:rStyle w:val="Hyperlink"/>
          <w:rFonts w:ascii="Verdana" w:eastAsiaTheme="minorHAnsi" w:hAnsi="Verdana" w:cs="Calibri"/>
          <w:sz w:val="20"/>
          <w:szCs w:val="20"/>
          <w:lang w:eastAsia="en-US"/>
        </w:rPr>
        <w:t>.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Тя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включва експертна оценка и </w:t>
      </w:r>
      <w:r w:rsidR="00664A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препоръки за 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използвания бизнес софтуер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като част от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10561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цялостно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то</w:t>
      </w:r>
      <w:r w:rsidR="00A10561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IT обслужване на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10561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работните станции на служители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те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 По този начин се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472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намалява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</w:t>
      </w:r>
      <w:r w:rsidR="00A472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рисковете от прекъсване на работния процес и 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резултат се 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постига повишена продуктивност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С </w:t>
      </w:r>
      <w:r w:rsidR="000D54F5" w:rsidRPr="000D54F5">
        <w:rPr>
          <w:rFonts w:ascii="Verdana" w:eastAsiaTheme="minorHAnsi" w:hAnsi="Verdana" w:cs="Calibri"/>
          <w:sz w:val="20"/>
          <w:szCs w:val="20"/>
          <w:lang w:val="en-US" w:eastAsia="en-US"/>
        </w:rPr>
        <w:t>IT Helpdesk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компаниите повишава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сигурност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защита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информацията.</w:t>
      </w:r>
    </w:p>
    <w:p w14:paraId="430E9DEC" w14:textId="1E574F9D" w:rsidR="00E368B9" w:rsidRPr="008B61E2" w:rsidRDefault="00E368B9" w:rsidP="00E368B9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„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Киберсигурността се превръща във все по-голяма и важна тема за бизнес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организациите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техните служители.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Фактът, че 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64% от представителите на компании от мал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кия 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среден бизнес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световен мащаб 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позволяват на служителите си достъп до служебн</w:t>
      </w:r>
      <w:r w:rsidR="00D3620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а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3620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информация 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 персонални устройства</w:t>
      </w:r>
      <w:r w:rsidR="008B61E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3620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води до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компрометира</w:t>
      </w:r>
      <w:r w:rsidR="00D3620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не на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сигурността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="00D3620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което създава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значителни рискове за организациите</w:t>
      </w:r>
      <w:r w:rsidRPr="009274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="00573496" w:rsidRPr="002849C7">
        <w:rPr>
          <w:rFonts w:ascii="Verdana" w:eastAsiaTheme="minorHAnsi" w:hAnsi="Verdana" w:cs="Calibri"/>
          <w:sz w:val="20"/>
          <w:szCs w:val="20"/>
          <w:lang w:val="en-US" w:eastAsia="en-US"/>
        </w:rPr>
        <w:t>Проактивните действия за защита, контрол и управление</w:t>
      </w:r>
      <w:r w:rsidR="0057349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 w:rsidR="00573496">
        <w:rPr>
          <w:rFonts w:ascii="Verdana" w:eastAsiaTheme="minorHAnsi" w:hAnsi="Verdana" w:cs="Calibri"/>
          <w:sz w:val="20"/>
          <w:szCs w:val="20"/>
          <w:lang w:eastAsia="en-US"/>
        </w:rPr>
        <w:t xml:space="preserve">на служебните устройства </w:t>
      </w:r>
      <w:r w:rsidR="00573496" w:rsidRPr="002849C7">
        <w:rPr>
          <w:rFonts w:ascii="Verdana" w:eastAsiaTheme="minorHAnsi" w:hAnsi="Verdana" w:cs="Calibri"/>
          <w:sz w:val="20"/>
          <w:szCs w:val="20"/>
          <w:lang w:val="en-US" w:eastAsia="en-US"/>
        </w:rPr>
        <w:t>са от</w:t>
      </w:r>
      <w:r w:rsidR="00573496">
        <w:rPr>
          <w:rFonts w:ascii="Verdana" w:eastAsiaTheme="minorHAnsi" w:hAnsi="Verdana" w:cs="Calibri"/>
          <w:sz w:val="20"/>
          <w:szCs w:val="20"/>
          <w:lang w:eastAsia="en-US"/>
        </w:rPr>
        <w:t xml:space="preserve"> все по-</w:t>
      </w:r>
      <w:r w:rsidR="00573496" w:rsidRPr="002849C7">
        <w:rPr>
          <w:rFonts w:ascii="Verdana" w:eastAsiaTheme="minorHAnsi" w:hAnsi="Verdana" w:cs="Calibri"/>
          <w:sz w:val="20"/>
          <w:szCs w:val="20"/>
          <w:lang w:val="en-US" w:eastAsia="en-US"/>
        </w:rPr>
        <w:t>критична важност</w:t>
      </w:r>
      <w:r w:rsidR="00573496">
        <w:rPr>
          <w:rFonts w:ascii="Verdana" w:eastAsiaTheme="minorHAnsi" w:hAnsi="Verdana" w:cs="Calibri"/>
          <w:sz w:val="20"/>
          <w:szCs w:val="20"/>
          <w:lang w:val="en-US" w:eastAsia="en-US"/>
        </w:rPr>
        <w:t>.</w:t>
      </w:r>
      <w:r w:rsidR="00573496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73496"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Вероятността за </w:t>
      </w:r>
      <w:r w:rsidR="00890973"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неоторизиран </w:t>
      </w:r>
      <w:r w:rsidR="00573496" w:rsidRPr="00E045AE">
        <w:rPr>
          <w:rFonts w:ascii="Verdana" w:eastAsiaTheme="minorHAnsi" w:hAnsi="Verdana" w:cs="Calibri"/>
          <w:sz w:val="20"/>
          <w:szCs w:val="20"/>
          <w:lang w:eastAsia="en-US"/>
        </w:rPr>
        <w:t>достъп и компрометиране на служебно устройство е със 71% по-висока, когато то не е под централизирано управление и защита</w:t>
      </w:r>
      <w:r w:rsidR="00523EA5" w:rsidRPr="00E045AE">
        <w:rPr>
          <w:rFonts w:ascii="Verdana" w:eastAsiaTheme="minorHAnsi" w:hAnsi="Verdana" w:cs="Calibri"/>
          <w:sz w:val="20"/>
          <w:szCs w:val="20"/>
          <w:lang w:eastAsia="en-US"/>
        </w:rPr>
        <w:t>.</w:t>
      </w:r>
      <w:r w:rsidR="00573496"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Затова А1 предлага разнообразни технологични решения</w:t>
      </w:r>
      <w:r w:rsidR="00503F86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 </w:t>
      </w:r>
      <w:r w:rsidR="00D36205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експертно IT обслужване,</w:t>
      </w:r>
      <w:r w:rsidR="008B61E2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</w:t>
      </w:r>
      <w:r w:rsidR="00D36205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което допринася</w:t>
      </w:r>
      <w:r w:rsidR="008B61E2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ме</w:t>
      </w:r>
      <w:r w:rsidR="00D36205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 повишаване на ефективността на 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техните служители</w:t>
      </w:r>
      <w:r w:rsidR="00D36205"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на нивото на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сигурност и автоматизация на процесите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“, </w:t>
      </w:r>
      <w:r w:rsidRPr="00085DE1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коментира Михаил Семерджиев, старши мениджър „</w:t>
      </w:r>
      <w:r w:rsidRPr="00085DE1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ICT </w:t>
      </w:r>
      <w:r w:rsidRPr="00085DE1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услуги“, А1 България.</w:t>
      </w:r>
    </w:p>
    <w:p w14:paraId="49B7A3AE" w14:textId="443EDB80" w:rsidR="00611D64" w:rsidRPr="00611D64" w:rsidRDefault="00A10561" w:rsidP="00847828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IT </w:t>
      </w:r>
      <w:proofErr w:type="spellStart"/>
      <w:r w:rsidRPr="000062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Helpdesk</w:t>
      </w:r>
      <w:proofErr w:type="spellEnd"/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се предлага</w:t>
      </w:r>
      <w:r w:rsidR="008B61E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А1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Basic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Premium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пакети</w:t>
      </w:r>
      <w:r w:rsidR="005734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с които се</w:t>
      </w:r>
      <w:r w:rsidR="0074228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обхваща</w:t>
      </w:r>
      <w:r w:rsidR="005734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обслужва</w:t>
      </w:r>
      <w:r w:rsidR="0074228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нето на всички</w:t>
      </w:r>
      <w:r w:rsidR="005734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работни станции</w:t>
      </w:r>
      <w:r w:rsidR="00664A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</w:t>
      </w:r>
      <w:r w:rsidR="009639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останалите </w:t>
      </w:r>
      <w:r w:rsidR="00664A66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IT</w:t>
      </w:r>
      <w:r w:rsidR="00664A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устройства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 организацията</w:t>
      </w:r>
      <w:r w:rsidR="00664A6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като сървъри, мрежови устройства, принтери и други. К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омпаниите получават възможността сами да избират между различните нива на обслужване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според </w:t>
      </w:r>
      <w:r w:rsidR="00D216F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нуждите на бизнеса си. </w:t>
      </w:r>
      <w:r w:rsid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Към двата пакета може да бъде активирана и услуга</w:t>
      </w:r>
      <w:r w:rsidR="009639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та</w:t>
      </w:r>
      <w:r w:rsid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A1 </w:t>
      </w:r>
      <w:proofErr w:type="spellStart"/>
      <w:r w:rsidR="00847828" w:rsidRP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Cyber</w:t>
      </w:r>
      <w:proofErr w:type="spellEnd"/>
      <w:r w:rsidR="00847828" w:rsidRP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847828" w:rsidRP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Backup</w:t>
      </w:r>
      <w:proofErr w:type="spellEnd"/>
      <w:r w:rsid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която </w:t>
      </w:r>
      <w:r w:rsidR="009639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включва </w:t>
      </w:r>
      <w:r w:rsid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пространство </w:t>
      </w:r>
      <w:r w:rsidR="00847828" w:rsidRP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 бекъп</w:t>
      </w:r>
      <w:r w:rsidR="008909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за да се постигне по-висока степен на сигурност</w:t>
      </w:r>
      <w:r w:rsidR="003038F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информацията</w:t>
      </w:r>
      <w:r w:rsidR="0084782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 w:rsidR="00645BB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</w:p>
    <w:p w14:paraId="5DF0D04F" w14:textId="0188E9C3" w:rsidR="00AB20B9" w:rsidRPr="00AB20B9" w:rsidRDefault="00AB20B9" w:rsidP="00AB20B9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AB20B9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Какво включва</w:t>
      </w:r>
      <w:r w:rsidR="001A38A5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т пакетите</w:t>
      </w:r>
      <w:r w:rsidR="00847828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A10561" w:rsidRPr="00A743E5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IT Helpdesk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847828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и какво е важно да знаете</w:t>
      </w:r>
      <w:r w:rsidRPr="00AB20B9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:</w:t>
      </w:r>
    </w:p>
    <w:p w14:paraId="759BAE3A" w14:textId="69D2FFFA" w:rsidR="001A38A5" w:rsidRDefault="00AB20B9" w:rsidP="001A38A5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ED086B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lastRenderedPageBreak/>
        <w:t>Basic</w:t>
      </w:r>
      <w:r w:rsidRPr="00ED086B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: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D086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Включва д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етайлно описание и първоначална оценка на РС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D086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остъп до </w:t>
      </w:r>
      <w:r w:rsidR="003038F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IT </w:t>
      </w:r>
      <w:r w:rsidR="00A47228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Help</w:t>
      </w:r>
      <w:r w:rsidR="00A47228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d</w:t>
      </w:r>
      <w:r w:rsidR="00A47228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esk 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система за обслужване на </w:t>
      </w:r>
      <w:r w:rsidR="00A47228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IT 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инциденти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D086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роследяване, ескалиране и лесна обратна връзка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="00ED086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оддържане на систематизирана информация и регулярно обновяване. </w:t>
      </w:r>
    </w:p>
    <w:p w14:paraId="68D34194" w14:textId="51524A2D" w:rsidR="00AB20B9" w:rsidRPr="001A38A5" w:rsidRDefault="00ED086B" w:rsidP="001A38A5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При този пакет</w:t>
      </w:r>
      <w:r w:rsidR="00C009E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бизнес организациите </w:t>
      </w:r>
      <w:r w:rsidR="00C009E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могат да се възползват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</w:t>
      </w:r>
      <w:r w:rsidR="001A38A5" w:rsidRP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истема за отдалечен достъп за обслужване на</w:t>
      </w:r>
      <w:r w:rsidR="001A38A5">
        <w:rPr>
          <w:rStyle w:val="normaltextrun"/>
          <w:rFonts w:asciiTheme="minorHAnsi" w:eastAsiaTheme="minorHAnsi" w:hAnsiTheme="minorHAnsi" w:cs="Calibri"/>
          <w:sz w:val="20"/>
          <w:szCs w:val="20"/>
          <w:lang w:eastAsia="en-US"/>
        </w:rPr>
        <w:t xml:space="preserve"> </w:t>
      </w:r>
      <w:r w:rsidR="001A38A5" w:rsidRP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инциденти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както и срок за реакция при възникнал проблем до 30 мин</w:t>
      </w:r>
      <w:r w:rsid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ути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</w:p>
    <w:p w14:paraId="5BF30CD2" w14:textId="7F4A53AE" w:rsidR="00AB20B9" w:rsidRDefault="00AB20B9" w:rsidP="00847828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1A38A5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>Premium</w:t>
      </w:r>
      <w:r w:rsidRPr="001A38A5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: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368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Включва </w:t>
      </w:r>
      <w:proofErr w:type="spellStart"/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всичк</w:t>
      </w:r>
      <w:proofErr w:type="spellEnd"/>
      <w:r w:rsidR="000F6BC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o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от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Basic</w:t>
      </w:r>
      <w:r w:rsidR="001A38A5" w:rsidRP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пакета, като в допълнение </w:t>
      </w:r>
      <w:r w:rsidR="008B61E2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регулярно</w:t>
      </w:r>
      <w:r w:rsidR="008B61E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се изготвят </w:t>
      </w:r>
      <w:r w:rsidR="00A1056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отчети</w:t>
      </w:r>
      <w:r w:rsidR="00A10561"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 извършените дейности и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се </w:t>
      </w:r>
      <w:r w:rsidR="005A714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предоставят 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</w:t>
      </w:r>
      <w:r w:rsidRPr="00AB20B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репоръки за оптимизация, консултация и съдействие при бъдещо развитие</w:t>
      </w:r>
      <w:r w:rsidR="001A38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</w:p>
    <w:p w14:paraId="3E7DC9F7" w14:textId="6F4126CF" w:rsidR="001A38A5" w:rsidRPr="007603CF" w:rsidRDefault="007603CF" w:rsidP="007603CF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този план </w:t>
      </w:r>
      <w:r w:rsidR="005A714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на услугата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 включено и </w:t>
      </w:r>
      <w:r w:rsidR="000F6BC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посещение на място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п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риоритизира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не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A714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на 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работата</w:t>
      </w:r>
      <w:r w:rsidR="005A714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което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спомага за разрешаване на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инциденти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д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иректно ескалиране на заявки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с</w:t>
      </w:r>
      <w:r w:rsidRPr="007603C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ъдействие при определяне на стратегия за бъдещо развитие на услугата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</w:p>
    <w:p w14:paraId="263CAD7B" w14:textId="4C107600" w:rsidR="00D10AA7" w:rsidRDefault="00AB20B9" w:rsidP="00847828">
      <w:pPr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AB20B9">
        <w:rPr>
          <w:rStyle w:val="normaltextrun"/>
          <w:rFonts w:ascii="Verdana" w:hAnsi="Verdana" w:cs="Calibri"/>
          <w:sz w:val="20"/>
          <w:szCs w:val="20"/>
        </w:rPr>
        <w:t>IT</w:t>
      </w:r>
      <w:r w:rsidRPr="00AB20B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Pr="00AB20B9">
        <w:rPr>
          <w:rStyle w:val="normaltextrun"/>
          <w:rFonts w:ascii="Verdana" w:hAnsi="Verdana" w:cs="Calibri"/>
          <w:sz w:val="20"/>
          <w:szCs w:val="20"/>
        </w:rPr>
        <w:t>Helpdesk</w:t>
      </w:r>
      <w:r w:rsidRPr="00AB20B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1D328A" w:rsidRPr="001D328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е част от богатото портфолио технологични услуги, които А1 предлага на публичните институции и бизнес организациите по модела „като </w:t>
      </w:r>
      <w:proofErr w:type="gramStart"/>
      <w:r w:rsidR="001D328A" w:rsidRPr="001D328A">
        <w:rPr>
          <w:rStyle w:val="normaltextrun"/>
          <w:rFonts w:ascii="Verdana" w:hAnsi="Verdana" w:cs="Calibri"/>
          <w:sz w:val="20"/>
          <w:szCs w:val="20"/>
          <w:lang w:val="bg-BG"/>
        </w:rPr>
        <w:t>услуга“</w:t>
      </w:r>
      <w:proofErr w:type="gramEnd"/>
      <w:r w:rsidR="001D328A" w:rsidRPr="001D328A">
        <w:rPr>
          <w:rStyle w:val="normaltextrun"/>
          <w:rFonts w:ascii="Verdana" w:hAnsi="Verdana" w:cs="Calibri"/>
          <w:sz w:val="20"/>
          <w:szCs w:val="20"/>
          <w:lang w:val="bg-BG"/>
        </w:rPr>
        <w:t>. Навлизането на разнообразни технологични решения, които имат за цел да автоматизират или подобрят различни процеси, са ключов фактор за успех по отношение на оптимизация</w:t>
      </w:r>
      <w:r w:rsidR="005A7140">
        <w:rPr>
          <w:rStyle w:val="normaltextrun"/>
          <w:rFonts w:ascii="Verdana" w:hAnsi="Verdana" w:cs="Calibri"/>
          <w:sz w:val="20"/>
          <w:szCs w:val="20"/>
          <w:lang w:val="bg-BG"/>
        </w:rPr>
        <w:t>та</w:t>
      </w:r>
      <w:r w:rsidR="001D328A" w:rsidRPr="001D328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на ресурси, повишаване на удовлетвореността за крайните потребители и конкурентно предимство спрямо други организации.</w:t>
      </w:r>
    </w:p>
    <w:bookmarkEnd w:id="1"/>
    <w:p w14:paraId="75A2BC85" w14:textId="60F4C8C2" w:rsidR="002E1BEA" w:rsidRPr="002E1BEA" w:rsidRDefault="002E1BEA" w:rsidP="00927466">
      <w:pPr>
        <w:spacing w:after="0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>
        <w:rPr>
          <w:rStyle w:val="normaltextrun"/>
          <w:rFonts w:ascii="Verdana" w:hAnsi="Verdana" w:cs="Calibri"/>
          <w:sz w:val="20"/>
          <w:szCs w:val="20"/>
          <w:lang w:val="bg-BG"/>
        </w:rPr>
        <w:t>А1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>
        <w:rPr>
          <w:rStyle w:val="normaltextrun"/>
          <w:rFonts w:ascii="Verdana" w:hAnsi="Verdana" w:cs="Calibri"/>
          <w:sz w:val="20"/>
          <w:szCs w:val="20"/>
          <w:lang w:val="bg-BG"/>
        </w:rPr>
        <w:t>разполага с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висококвалифициран </w:t>
      </w:r>
      <w:r w:rsidR="00E368B9">
        <w:rPr>
          <w:rStyle w:val="normaltextrun"/>
          <w:rFonts w:ascii="Verdana" w:hAnsi="Verdana" w:cs="Calibri"/>
          <w:sz w:val="20"/>
          <w:szCs w:val="20"/>
        </w:rPr>
        <w:t xml:space="preserve">IT 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>екип</w:t>
      </w:r>
      <w:r w:rsidR="00E368B9">
        <w:rPr>
          <w:rStyle w:val="normaltextrun"/>
          <w:rFonts w:ascii="Verdana" w:hAnsi="Verdana" w:cs="Calibri"/>
          <w:sz w:val="20"/>
          <w:szCs w:val="20"/>
          <w:lang w:val="bg-BG"/>
        </w:rPr>
        <w:t>, който непрекъснато надгражда компетентностите си и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служители</w:t>
      </w:r>
      <w:r w:rsidR="00A47228">
        <w:rPr>
          <w:rStyle w:val="normaltextrun"/>
          <w:rFonts w:ascii="Verdana" w:hAnsi="Verdana" w:cs="Calibri"/>
          <w:sz w:val="20"/>
          <w:szCs w:val="20"/>
          <w:lang w:val="bg-BG"/>
        </w:rPr>
        <w:t>, които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вече има</w:t>
      </w:r>
      <w:r w:rsidR="00A47228">
        <w:rPr>
          <w:rStyle w:val="normaltextrun"/>
          <w:rFonts w:ascii="Verdana" w:hAnsi="Verdana" w:cs="Calibri"/>
          <w:sz w:val="20"/>
          <w:szCs w:val="20"/>
          <w:lang w:val="bg-BG"/>
        </w:rPr>
        <w:t>т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A4722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общо 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>над 3000 сертификат</w:t>
      </w:r>
      <w:r w:rsidR="00F975F7">
        <w:rPr>
          <w:rStyle w:val="normaltextrun"/>
          <w:rFonts w:ascii="Verdana" w:hAnsi="Verdana" w:cs="Calibri"/>
          <w:sz w:val="20"/>
          <w:szCs w:val="20"/>
          <w:lang w:val="bg-BG"/>
        </w:rPr>
        <w:t>а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за управление на IT услуги. </w:t>
      </w:r>
      <w:r w:rsidR="005A714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С използване на </w:t>
      </w:r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IT </w:t>
      </w:r>
      <w:proofErr w:type="spellStart"/>
      <w:r w:rsidRPr="002E1BEA">
        <w:rPr>
          <w:rStyle w:val="normaltextrun"/>
          <w:rFonts w:ascii="Verdana" w:hAnsi="Verdana" w:cs="Calibri"/>
          <w:sz w:val="20"/>
          <w:szCs w:val="20"/>
          <w:lang w:val="bg-BG"/>
        </w:rPr>
        <w:t>Helpdesk</w:t>
      </w:r>
      <w:proofErr w:type="spellEnd"/>
      <w:r w:rsidR="005A714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„като услуга“</w:t>
      </w:r>
      <w:r w:rsidRPr="00927466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C009E9">
        <w:rPr>
          <w:rStyle w:val="normaltextrun"/>
          <w:rFonts w:ascii="Verdana" w:hAnsi="Verdana" w:cs="Calibri"/>
          <w:sz w:val="20"/>
          <w:szCs w:val="20"/>
          <w:lang w:val="bg-BG"/>
        </w:rPr>
        <w:t>организациите</w:t>
      </w:r>
      <w:r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могат да планират по</w:t>
      </w:r>
      <w:r w:rsidR="005A7140">
        <w:rPr>
          <w:rStyle w:val="normaltextrun"/>
          <w:rFonts w:ascii="Verdana" w:hAnsi="Verdana" w:cs="Calibri"/>
          <w:sz w:val="20"/>
          <w:szCs w:val="20"/>
          <w:lang w:val="bg-BG"/>
        </w:rPr>
        <w:t>-добре</w:t>
      </w:r>
      <w:r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разходите си, да постигат по-висока ефективност и да избегнат потенциални </w:t>
      </w:r>
      <w:r w:rsidR="005A7140">
        <w:rPr>
          <w:rStyle w:val="normaltextrun"/>
          <w:rFonts w:ascii="Verdana" w:hAnsi="Verdana" w:cs="Calibri"/>
          <w:sz w:val="20"/>
          <w:szCs w:val="20"/>
        </w:rPr>
        <w:t xml:space="preserve">IT </w:t>
      </w:r>
      <w:r>
        <w:rPr>
          <w:rStyle w:val="normaltextrun"/>
          <w:rFonts w:ascii="Verdana" w:hAnsi="Verdana" w:cs="Calibri"/>
          <w:sz w:val="20"/>
          <w:szCs w:val="20"/>
          <w:lang w:val="bg-BG"/>
        </w:rPr>
        <w:t>инциденти, спиращи процес</w:t>
      </w:r>
      <w:r w:rsidR="00C009E9">
        <w:rPr>
          <w:rStyle w:val="normaltextrun"/>
          <w:rFonts w:ascii="Verdana" w:hAnsi="Verdana" w:cs="Calibri"/>
          <w:sz w:val="20"/>
          <w:szCs w:val="20"/>
          <w:lang w:val="bg-BG"/>
        </w:rPr>
        <w:t>а</w:t>
      </w:r>
      <w:r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на работа. </w:t>
      </w:r>
      <w:r w:rsidR="00F975F7">
        <w:rPr>
          <w:rStyle w:val="normaltextrun"/>
          <w:rFonts w:ascii="Verdana" w:hAnsi="Verdana" w:cs="Calibri"/>
          <w:sz w:val="20"/>
          <w:szCs w:val="20"/>
          <w:lang w:val="bg-BG"/>
        </w:rPr>
        <w:t>По този начин ще се радват на по-висока продуктивност от страна на служителите</w:t>
      </w:r>
      <w:r w:rsidR="008D0E3E">
        <w:rPr>
          <w:rStyle w:val="normaltextrun"/>
          <w:rFonts w:ascii="Verdana" w:hAnsi="Verdana" w:cs="Calibri"/>
          <w:sz w:val="20"/>
          <w:szCs w:val="20"/>
          <w:lang w:val="bg-BG"/>
        </w:rPr>
        <w:t>, които</w:t>
      </w:r>
      <w:r w:rsidR="00C009E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8D0E3E">
        <w:rPr>
          <w:rStyle w:val="normaltextrun"/>
          <w:rFonts w:ascii="Verdana" w:hAnsi="Verdana" w:cs="Calibri"/>
          <w:sz w:val="20"/>
          <w:szCs w:val="20"/>
          <w:lang w:val="bg-BG"/>
        </w:rPr>
        <w:t>ще се чувстват комфортно</w:t>
      </w:r>
      <w:r w:rsidR="00C009E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в изпълнението на ежедневните си задачи. </w:t>
      </w:r>
    </w:p>
    <w:p w14:paraId="665A6B28" w14:textId="35C07EA5" w:rsidR="008B61E2" w:rsidRDefault="008B61E2" w:rsidP="008B61E2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Новата работна среда и реалност налага</w:t>
      </w:r>
      <w:r w:rsidR="00AF0EE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технологична гъвкавост и в същото време </w:t>
      </w:r>
      <w:r w:rsidR="00523E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водят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до предизвикателства пред компаниите. Според данни на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Microsoft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Work Trend Index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73%</w:t>
      </w:r>
      <w:r>
        <w:rPr>
          <w:rStyle w:val="EndnoteReference"/>
          <w:rFonts w:ascii="Verdana" w:eastAsiaTheme="minorHAnsi" w:hAnsi="Verdana" w:cs="Calibri"/>
          <w:sz w:val="20"/>
          <w:szCs w:val="20"/>
          <w:lang w:eastAsia="en-US"/>
        </w:rPr>
        <w:endnoteReference w:id="1"/>
      </w:r>
      <w:r>
        <w:rPr>
          <w:rFonts w:ascii="Verdana" w:eastAsiaTheme="minorHAnsi" w:hAnsi="Verdana" w:cs="Calibri"/>
          <w:sz w:val="20"/>
          <w:szCs w:val="20"/>
          <w:lang w:eastAsia="en-US"/>
        </w:rPr>
        <w:t>.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служителите избират да работят от вкъщи или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хибриден модел при гъвкаво работно време, което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повишава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необходимост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та</w:t>
      </w:r>
      <w:r w:rsidRPr="00611D6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използване на съвременни офис инструменти за онлайн срещи и надеждно споделяне на информация.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тази връзка, като част от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IT Helpdesk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услугата клиентите </w:t>
      </w:r>
      <w:r w:rsidR="00523EA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на А1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ще получават и регулярни насоки за модернизиране на наличния бизнес софтуер и използване на 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облачните</w:t>
      </w:r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услуги като част от Microsoft 365 – бизнес имейл Exchange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Online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и Outlook, приложението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Teams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, място в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OneDrive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и SharePoint за важните документи, както и съвременни инструменти за сигурност: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Azure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Information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Protection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, Microsoft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Defender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Entra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 ID и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Intune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.</w:t>
      </w:r>
      <w:r w:rsidRPr="00645BBD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</w:p>
    <w:p w14:paraId="35CDC89B" w14:textId="41D205C4" w:rsidR="008B61E2" w:rsidRPr="00E045AE" w:rsidRDefault="008B61E2" w:rsidP="008B61E2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Според данните</w:t>
      </w:r>
      <w:r w:rsid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54% от мениджърите в компании в световен мащаб споделят опасения, че ползването на все повече бизнес приложения и хибридният модел на работа водят до негативен ефект върху продуктивността на служителите</w:t>
      </w:r>
      <w:r w:rsidRPr="00E045AE">
        <w:rPr>
          <w:rStyle w:val="EndnoteReference"/>
          <w:rFonts w:ascii="Verdana" w:eastAsiaTheme="minorHAnsi" w:hAnsi="Verdana" w:cs="Calibri"/>
          <w:sz w:val="20"/>
          <w:szCs w:val="20"/>
          <w:lang w:eastAsia="en-US"/>
        </w:rPr>
        <w:endnoteReference w:id="2"/>
      </w:r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Pr="00E045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За да </w:t>
      </w:r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 xml:space="preserve">адаптират бизнеса си към промяната, е необходимо да инвестират в подходящи инструменти и услуги за цялостно обслужване като IT </w:t>
      </w:r>
      <w:proofErr w:type="spellStart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Helpdesk</w:t>
      </w:r>
      <w:proofErr w:type="spellEnd"/>
      <w:r w:rsidRPr="00E045AE">
        <w:rPr>
          <w:rFonts w:ascii="Verdana" w:eastAsiaTheme="minorHAnsi" w:hAnsi="Verdana" w:cs="Calibri"/>
          <w:sz w:val="20"/>
          <w:szCs w:val="20"/>
          <w:lang w:eastAsia="en-US"/>
        </w:rPr>
        <w:t>, които да им помагат за поддържане на ефективността в новата работна среда.</w:t>
      </w:r>
    </w:p>
    <w:p w14:paraId="1CD73F96" w14:textId="54F718C1" w:rsidR="0042664F" w:rsidRDefault="0042664F">
      <w:pPr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  <w:r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br w:type="page"/>
      </w:r>
    </w:p>
    <w:p w14:paraId="267D78DC" w14:textId="77777777" w:rsidR="008B61E2" w:rsidRDefault="008B61E2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BA7AC03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A8C9090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26B1F91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E4EF5D1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92E7EB2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E512DAF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379E886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4F49E2C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C235905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554EAE2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8B3A700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86D366B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41A4AB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DFB2D06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32CA597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9C97824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BCB3771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1145F10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6669B55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D29A5F9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FFB3434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2848BB6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24DA130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F904657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A09F330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858D843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368BED9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CFA80BD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7D8A5FE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25D36EA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B0D313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7152B89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DC7040C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FC39164" w14:textId="77777777" w:rsidR="0042664F" w:rsidRDefault="0042664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66970D5" w14:textId="77777777" w:rsidR="00C977AC" w:rsidRDefault="00C977AC" w:rsidP="00C977AC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9C1D801" w14:textId="77777777" w:rsidR="00E045AE" w:rsidRDefault="00E045AE" w:rsidP="00C977A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8F6C13F" w14:textId="77777777" w:rsidR="00E045AE" w:rsidRDefault="00E045AE" w:rsidP="00C977A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9AD637D" w14:textId="77777777" w:rsidR="00E045AE" w:rsidRDefault="00E045AE" w:rsidP="00C977A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61A6170" w14:textId="735EB4E3" w:rsidR="00C977AC" w:rsidRPr="001A7CF6" w:rsidRDefault="00C977AC" w:rsidP="00C977AC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2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D18D929" w14:textId="77777777" w:rsidR="00C977AC" w:rsidRPr="001A7CF6" w:rsidRDefault="00C977AC" w:rsidP="00C977A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2D4FBAB5" w14:textId="77777777" w:rsidR="00C977AC" w:rsidRPr="001A7CF6" w:rsidRDefault="00C977AC" w:rsidP="00C977A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66BA9029" w14:textId="77777777" w:rsidR="00C977AC" w:rsidRPr="001A7CF6" w:rsidRDefault="00C977AC" w:rsidP="00C977A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5F6EB1AC" w14:textId="0186563F" w:rsidR="005D6D49" w:rsidRPr="003B4EEA" w:rsidRDefault="005D6D49" w:rsidP="00C977AC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</w:p>
    <w:sectPr w:rsidR="005D6D49" w:rsidRPr="003B4EEA" w:rsidSect="00A076E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6AA0" w14:textId="77777777" w:rsidR="00632B47" w:rsidRDefault="00632B47" w:rsidP="00162F08">
      <w:pPr>
        <w:spacing w:after="0" w:line="240" w:lineRule="auto"/>
      </w:pPr>
      <w:r>
        <w:separator/>
      </w:r>
    </w:p>
  </w:endnote>
  <w:endnote w:type="continuationSeparator" w:id="0">
    <w:p w14:paraId="27B9092C" w14:textId="77777777" w:rsidR="00632B47" w:rsidRDefault="00632B47" w:rsidP="00162F08">
      <w:pPr>
        <w:spacing w:after="0" w:line="240" w:lineRule="auto"/>
      </w:pPr>
      <w:r>
        <w:continuationSeparator/>
      </w:r>
    </w:p>
  </w:endnote>
  <w:endnote w:id="1">
    <w:p w14:paraId="32DECC51" w14:textId="5A5EE43D" w:rsidR="008B61E2" w:rsidRPr="0042664F" w:rsidRDefault="008B61E2" w:rsidP="0042664F">
      <w:pPr>
        <w:pStyle w:val="EndnoteText"/>
        <w:rPr>
          <w:rFonts w:ascii="Verdana" w:hAnsi="Verdana"/>
          <w:i/>
          <w:iCs/>
          <w:sz w:val="16"/>
          <w:szCs w:val="16"/>
          <w:lang w:val="bg-BG"/>
        </w:rPr>
      </w:pPr>
      <w:r w:rsidRPr="0042664F">
        <w:rPr>
          <w:rStyle w:val="EndnoteReference"/>
          <w:rFonts w:ascii="Verdana" w:hAnsi="Verdana"/>
          <w:i/>
          <w:iCs/>
          <w:sz w:val="16"/>
          <w:szCs w:val="16"/>
        </w:rPr>
        <w:endnoteRef/>
      </w:r>
      <w:r w:rsidRPr="0042664F">
        <w:rPr>
          <w:rFonts w:ascii="Verdana" w:hAnsi="Verdana"/>
          <w:i/>
          <w:iCs/>
          <w:sz w:val="16"/>
          <w:szCs w:val="16"/>
        </w:rPr>
        <w:t xml:space="preserve"> </w:t>
      </w:r>
      <w:r w:rsidRPr="0042664F">
        <w:rPr>
          <w:rFonts w:ascii="Verdana" w:hAnsi="Verdana" w:cs="Calibri"/>
          <w:i/>
          <w:iCs/>
          <w:sz w:val="16"/>
          <w:szCs w:val="16"/>
        </w:rPr>
        <w:t>Microsoft Work Trend Index 2021 Annual Report</w:t>
      </w:r>
      <w:r w:rsidR="0042664F" w:rsidRPr="0042664F">
        <w:rPr>
          <w:rFonts w:ascii="Verdana" w:hAnsi="Verdana" w:cs="Calibri"/>
          <w:i/>
          <w:iCs/>
          <w:sz w:val="16"/>
          <w:szCs w:val="16"/>
        </w:rPr>
        <w:t xml:space="preserve"> </w:t>
      </w:r>
    </w:p>
  </w:endnote>
  <w:endnote w:id="2">
    <w:p w14:paraId="0CEA9870" w14:textId="000F31B7" w:rsidR="008B61E2" w:rsidRPr="00085DE1" w:rsidRDefault="008B61E2" w:rsidP="008B61E2">
      <w:pPr>
        <w:pStyle w:val="EndnoteText"/>
        <w:rPr>
          <w:rFonts w:ascii="Verdana" w:hAnsi="Verdana"/>
          <w:lang w:val="bg-BG"/>
        </w:rPr>
      </w:pPr>
      <w:r w:rsidRPr="0042664F">
        <w:rPr>
          <w:rStyle w:val="EndnoteReference"/>
          <w:rFonts w:ascii="Verdana" w:hAnsi="Verdana"/>
          <w:i/>
          <w:iCs/>
          <w:sz w:val="16"/>
          <w:szCs w:val="16"/>
        </w:rPr>
        <w:endnoteRef/>
      </w:r>
      <w:r w:rsidRPr="0042664F">
        <w:rPr>
          <w:rFonts w:ascii="Verdana" w:hAnsi="Verdana"/>
          <w:i/>
          <w:iCs/>
          <w:sz w:val="16"/>
          <w:szCs w:val="16"/>
        </w:rPr>
        <w:t xml:space="preserve"> </w:t>
      </w:r>
      <w:r w:rsidRPr="0042664F">
        <w:rPr>
          <w:rFonts w:ascii="Verdana" w:hAnsi="Verdana" w:cs="Calibri"/>
          <w:i/>
          <w:iCs/>
          <w:sz w:val="16"/>
          <w:szCs w:val="16"/>
        </w:rPr>
        <w:t>Microsoft Work Trend Index: 2022 Annual Report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E045AE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701D" w14:textId="77777777" w:rsidR="00632B47" w:rsidRDefault="00632B47" w:rsidP="00162F08">
      <w:pPr>
        <w:spacing w:after="0" w:line="240" w:lineRule="auto"/>
      </w:pPr>
      <w:r>
        <w:separator/>
      </w:r>
    </w:p>
  </w:footnote>
  <w:footnote w:type="continuationSeparator" w:id="0">
    <w:p w14:paraId="76E94148" w14:textId="77777777" w:rsidR="00632B47" w:rsidRDefault="00632B47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661"/>
    <w:multiLevelType w:val="hybridMultilevel"/>
    <w:tmpl w:val="D214CA7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225"/>
    <w:multiLevelType w:val="hybridMultilevel"/>
    <w:tmpl w:val="01E277B8"/>
    <w:lvl w:ilvl="0" w:tplc="5FB894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41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0B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A4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E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C2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EA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2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6B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043"/>
    <w:multiLevelType w:val="hybridMultilevel"/>
    <w:tmpl w:val="3F7CF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133">
    <w:abstractNumId w:val="3"/>
  </w:num>
  <w:num w:numId="2" w16cid:durableId="1704398859">
    <w:abstractNumId w:val="1"/>
  </w:num>
  <w:num w:numId="3" w16cid:durableId="200479963">
    <w:abstractNumId w:val="2"/>
  </w:num>
  <w:num w:numId="4" w16cid:durableId="209115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8"/>
    <w:rsid w:val="00006200"/>
    <w:rsid w:val="0001090A"/>
    <w:rsid w:val="00015A0C"/>
    <w:rsid w:val="00026509"/>
    <w:rsid w:val="00043563"/>
    <w:rsid w:val="000464C5"/>
    <w:rsid w:val="00047D95"/>
    <w:rsid w:val="00064B5F"/>
    <w:rsid w:val="00066238"/>
    <w:rsid w:val="00083A9C"/>
    <w:rsid w:val="000A1BA6"/>
    <w:rsid w:val="000A6DF0"/>
    <w:rsid w:val="000C43FF"/>
    <w:rsid w:val="000D54F5"/>
    <w:rsid w:val="000E07FA"/>
    <w:rsid w:val="000E0CC5"/>
    <w:rsid w:val="000E127C"/>
    <w:rsid w:val="000E3E24"/>
    <w:rsid w:val="000F69BB"/>
    <w:rsid w:val="000F6BC5"/>
    <w:rsid w:val="000F7DFD"/>
    <w:rsid w:val="00105F93"/>
    <w:rsid w:val="00107BB5"/>
    <w:rsid w:val="0014154D"/>
    <w:rsid w:val="001416E0"/>
    <w:rsid w:val="00162F08"/>
    <w:rsid w:val="00163B30"/>
    <w:rsid w:val="0018000D"/>
    <w:rsid w:val="00181821"/>
    <w:rsid w:val="001A38A5"/>
    <w:rsid w:val="001B5E4F"/>
    <w:rsid w:val="001C715F"/>
    <w:rsid w:val="001C761E"/>
    <w:rsid w:val="001D328A"/>
    <w:rsid w:val="001F31C9"/>
    <w:rsid w:val="001F75F1"/>
    <w:rsid w:val="002101D0"/>
    <w:rsid w:val="002117A0"/>
    <w:rsid w:val="00212D34"/>
    <w:rsid w:val="0022060F"/>
    <w:rsid w:val="00240DF6"/>
    <w:rsid w:val="00242237"/>
    <w:rsid w:val="00246A9E"/>
    <w:rsid w:val="002648AC"/>
    <w:rsid w:val="00270743"/>
    <w:rsid w:val="002776FE"/>
    <w:rsid w:val="00283903"/>
    <w:rsid w:val="002849C7"/>
    <w:rsid w:val="002A3D6A"/>
    <w:rsid w:val="002A5A1A"/>
    <w:rsid w:val="002C315C"/>
    <w:rsid w:val="002D1DA6"/>
    <w:rsid w:val="002E1BEA"/>
    <w:rsid w:val="002E329C"/>
    <w:rsid w:val="002E7A6F"/>
    <w:rsid w:val="003038FA"/>
    <w:rsid w:val="00307DD0"/>
    <w:rsid w:val="0031111B"/>
    <w:rsid w:val="003122F3"/>
    <w:rsid w:val="00321121"/>
    <w:rsid w:val="003356A1"/>
    <w:rsid w:val="00340307"/>
    <w:rsid w:val="0034228D"/>
    <w:rsid w:val="00345008"/>
    <w:rsid w:val="00360AD1"/>
    <w:rsid w:val="00364756"/>
    <w:rsid w:val="003747BB"/>
    <w:rsid w:val="00375C0A"/>
    <w:rsid w:val="003A5549"/>
    <w:rsid w:val="003A629B"/>
    <w:rsid w:val="003A79B6"/>
    <w:rsid w:val="003A7EFC"/>
    <w:rsid w:val="003B09FE"/>
    <w:rsid w:val="003B4EEA"/>
    <w:rsid w:val="003C3084"/>
    <w:rsid w:val="003D4322"/>
    <w:rsid w:val="003D5983"/>
    <w:rsid w:val="0040150F"/>
    <w:rsid w:val="0042664F"/>
    <w:rsid w:val="00427830"/>
    <w:rsid w:val="00445C60"/>
    <w:rsid w:val="00451924"/>
    <w:rsid w:val="00460B13"/>
    <w:rsid w:val="00460D72"/>
    <w:rsid w:val="004716C2"/>
    <w:rsid w:val="00471CEE"/>
    <w:rsid w:val="00475B43"/>
    <w:rsid w:val="00485E4F"/>
    <w:rsid w:val="00486899"/>
    <w:rsid w:val="00486B48"/>
    <w:rsid w:val="004A45B7"/>
    <w:rsid w:val="004A6057"/>
    <w:rsid w:val="004B34C7"/>
    <w:rsid w:val="004B3CB6"/>
    <w:rsid w:val="004C0A90"/>
    <w:rsid w:val="004C6769"/>
    <w:rsid w:val="004C7FF8"/>
    <w:rsid w:val="004D5130"/>
    <w:rsid w:val="004E3040"/>
    <w:rsid w:val="004E707B"/>
    <w:rsid w:val="00503F86"/>
    <w:rsid w:val="00507F33"/>
    <w:rsid w:val="00516621"/>
    <w:rsid w:val="00516B5A"/>
    <w:rsid w:val="00523B89"/>
    <w:rsid w:val="00523EA5"/>
    <w:rsid w:val="00525A1B"/>
    <w:rsid w:val="00530288"/>
    <w:rsid w:val="00531A78"/>
    <w:rsid w:val="0053254E"/>
    <w:rsid w:val="005361DA"/>
    <w:rsid w:val="00555FCE"/>
    <w:rsid w:val="005616DF"/>
    <w:rsid w:val="00563E8A"/>
    <w:rsid w:val="005668D8"/>
    <w:rsid w:val="00570EFE"/>
    <w:rsid w:val="00573496"/>
    <w:rsid w:val="005755B1"/>
    <w:rsid w:val="005755F0"/>
    <w:rsid w:val="00577355"/>
    <w:rsid w:val="00594196"/>
    <w:rsid w:val="005A7140"/>
    <w:rsid w:val="005C3258"/>
    <w:rsid w:val="005C3FE5"/>
    <w:rsid w:val="005D6D49"/>
    <w:rsid w:val="005E7790"/>
    <w:rsid w:val="0060451C"/>
    <w:rsid w:val="00606448"/>
    <w:rsid w:val="00610BD9"/>
    <w:rsid w:val="00611D64"/>
    <w:rsid w:val="00613BEB"/>
    <w:rsid w:val="00622EF2"/>
    <w:rsid w:val="00632B47"/>
    <w:rsid w:val="006372B5"/>
    <w:rsid w:val="00640223"/>
    <w:rsid w:val="00645BBD"/>
    <w:rsid w:val="006465D0"/>
    <w:rsid w:val="00662328"/>
    <w:rsid w:val="00663326"/>
    <w:rsid w:val="00664A66"/>
    <w:rsid w:val="006703B9"/>
    <w:rsid w:val="00691A9D"/>
    <w:rsid w:val="0069291C"/>
    <w:rsid w:val="00692D32"/>
    <w:rsid w:val="006975F5"/>
    <w:rsid w:val="006B1AFC"/>
    <w:rsid w:val="006C445E"/>
    <w:rsid w:val="006C4B65"/>
    <w:rsid w:val="006F42A2"/>
    <w:rsid w:val="006F479C"/>
    <w:rsid w:val="006F4BD1"/>
    <w:rsid w:val="00713BEB"/>
    <w:rsid w:val="007221F3"/>
    <w:rsid w:val="007236DF"/>
    <w:rsid w:val="00727B03"/>
    <w:rsid w:val="0074228B"/>
    <w:rsid w:val="007475B2"/>
    <w:rsid w:val="007564D9"/>
    <w:rsid w:val="007603CF"/>
    <w:rsid w:val="00761769"/>
    <w:rsid w:val="00762A1C"/>
    <w:rsid w:val="00777CDA"/>
    <w:rsid w:val="007943F3"/>
    <w:rsid w:val="0079791A"/>
    <w:rsid w:val="007A45B0"/>
    <w:rsid w:val="007A58D9"/>
    <w:rsid w:val="007A7CA1"/>
    <w:rsid w:val="007B3562"/>
    <w:rsid w:val="007C79F4"/>
    <w:rsid w:val="007D222B"/>
    <w:rsid w:val="007E070F"/>
    <w:rsid w:val="007E2313"/>
    <w:rsid w:val="007E4BE6"/>
    <w:rsid w:val="007E5672"/>
    <w:rsid w:val="007E7D28"/>
    <w:rsid w:val="00802708"/>
    <w:rsid w:val="00802821"/>
    <w:rsid w:val="008202DF"/>
    <w:rsid w:val="00821AAD"/>
    <w:rsid w:val="00837B58"/>
    <w:rsid w:val="00840382"/>
    <w:rsid w:val="008432E5"/>
    <w:rsid w:val="00844094"/>
    <w:rsid w:val="008441E0"/>
    <w:rsid w:val="008447A3"/>
    <w:rsid w:val="00847828"/>
    <w:rsid w:val="00850F12"/>
    <w:rsid w:val="0085250C"/>
    <w:rsid w:val="008537DF"/>
    <w:rsid w:val="00853FFD"/>
    <w:rsid w:val="00856D6D"/>
    <w:rsid w:val="008820EF"/>
    <w:rsid w:val="008822B1"/>
    <w:rsid w:val="00890973"/>
    <w:rsid w:val="008B3AD9"/>
    <w:rsid w:val="008B61E2"/>
    <w:rsid w:val="008D0E3E"/>
    <w:rsid w:val="008F27E0"/>
    <w:rsid w:val="00905522"/>
    <w:rsid w:val="00906A0A"/>
    <w:rsid w:val="00915D57"/>
    <w:rsid w:val="0091752C"/>
    <w:rsid w:val="00927466"/>
    <w:rsid w:val="00936A8E"/>
    <w:rsid w:val="00941E9F"/>
    <w:rsid w:val="00941F98"/>
    <w:rsid w:val="00946DEC"/>
    <w:rsid w:val="00950A81"/>
    <w:rsid w:val="00953B97"/>
    <w:rsid w:val="00955EFC"/>
    <w:rsid w:val="009576C7"/>
    <w:rsid w:val="009639B9"/>
    <w:rsid w:val="00981B39"/>
    <w:rsid w:val="00983A10"/>
    <w:rsid w:val="00991C4B"/>
    <w:rsid w:val="009923A2"/>
    <w:rsid w:val="009A0381"/>
    <w:rsid w:val="009A0B27"/>
    <w:rsid w:val="009A5E06"/>
    <w:rsid w:val="009A6F11"/>
    <w:rsid w:val="009B00A3"/>
    <w:rsid w:val="009B070A"/>
    <w:rsid w:val="009B235F"/>
    <w:rsid w:val="009B601C"/>
    <w:rsid w:val="009C166A"/>
    <w:rsid w:val="009C2690"/>
    <w:rsid w:val="009C6306"/>
    <w:rsid w:val="009D75B5"/>
    <w:rsid w:val="009F12CE"/>
    <w:rsid w:val="00A01E7C"/>
    <w:rsid w:val="00A040C2"/>
    <w:rsid w:val="00A04CF6"/>
    <w:rsid w:val="00A076EF"/>
    <w:rsid w:val="00A10561"/>
    <w:rsid w:val="00A1473E"/>
    <w:rsid w:val="00A229A9"/>
    <w:rsid w:val="00A27FBF"/>
    <w:rsid w:val="00A30109"/>
    <w:rsid w:val="00A37204"/>
    <w:rsid w:val="00A400E9"/>
    <w:rsid w:val="00A40C70"/>
    <w:rsid w:val="00A47228"/>
    <w:rsid w:val="00A50DB9"/>
    <w:rsid w:val="00A5153F"/>
    <w:rsid w:val="00A62475"/>
    <w:rsid w:val="00A743E5"/>
    <w:rsid w:val="00A772A3"/>
    <w:rsid w:val="00A851EB"/>
    <w:rsid w:val="00A87256"/>
    <w:rsid w:val="00A9301E"/>
    <w:rsid w:val="00AA0975"/>
    <w:rsid w:val="00AB20B9"/>
    <w:rsid w:val="00AB5299"/>
    <w:rsid w:val="00AB6327"/>
    <w:rsid w:val="00AC78D3"/>
    <w:rsid w:val="00AD3DC9"/>
    <w:rsid w:val="00AD6C54"/>
    <w:rsid w:val="00AE0827"/>
    <w:rsid w:val="00AF052A"/>
    <w:rsid w:val="00AF0E9B"/>
    <w:rsid w:val="00AF0EE1"/>
    <w:rsid w:val="00AF1C47"/>
    <w:rsid w:val="00AF552C"/>
    <w:rsid w:val="00B0555A"/>
    <w:rsid w:val="00B156E8"/>
    <w:rsid w:val="00B243FB"/>
    <w:rsid w:val="00B26BD3"/>
    <w:rsid w:val="00B36292"/>
    <w:rsid w:val="00B37F65"/>
    <w:rsid w:val="00B40209"/>
    <w:rsid w:val="00B65266"/>
    <w:rsid w:val="00B70141"/>
    <w:rsid w:val="00B70449"/>
    <w:rsid w:val="00B70BBC"/>
    <w:rsid w:val="00B84217"/>
    <w:rsid w:val="00B96053"/>
    <w:rsid w:val="00B960D4"/>
    <w:rsid w:val="00B96FB0"/>
    <w:rsid w:val="00BB1233"/>
    <w:rsid w:val="00BC7F6E"/>
    <w:rsid w:val="00BD25B3"/>
    <w:rsid w:val="00BE4352"/>
    <w:rsid w:val="00BF724F"/>
    <w:rsid w:val="00C009E9"/>
    <w:rsid w:val="00C016DC"/>
    <w:rsid w:val="00C02F28"/>
    <w:rsid w:val="00C15FA0"/>
    <w:rsid w:val="00C22DC8"/>
    <w:rsid w:val="00C426D7"/>
    <w:rsid w:val="00C43284"/>
    <w:rsid w:val="00C47AA9"/>
    <w:rsid w:val="00C50D21"/>
    <w:rsid w:val="00C70D74"/>
    <w:rsid w:val="00C75170"/>
    <w:rsid w:val="00C878C7"/>
    <w:rsid w:val="00C955CC"/>
    <w:rsid w:val="00C977AC"/>
    <w:rsid w:val="00CA6662"/>
    <w:rsid w:val="00CB0E72"/>
    <w:rsid w:val="00CB1F6D"/>
    <w:rsid w:val="00CB253C"/>
    <w:rsid w:val="00CC2C12"/>
    <w:rsid w:val="00CC5160"/>
    <w:rsid w:val="00CD470F"/>
    <w:rsid w:val="00CD590D"/>
    <w:rsid w:val="00CE3B8F"/>
    <w:rsid w:val="00CF50BB"/>
    <w:rsid w:val="00D004C3"/>
    <w:rsid w:val="00D00917"/>
    <w:rsid w:val="00D03AF8"/>
    <w:rsid w:val="00D10AA7"/>
    <w:rsid w:val="00D11F47"/>
    <w:rsid w:val="00D13569"/>
    <w:rsid w:val="00D15150"/>
    <w:rsid w:val="00D15F4A"/>
    <w:rsid w:val="00D20817"/>
    <w:rsid w:val="00D216F4"/>
    <w:rsid w:val="00D24204"/>
    <w:rsid w:val="00D2428C"/>
    <w:rsid w:val="00D36205"/>
    <w:rsid w:val="00D40514"/>
    <w:rsid w:val="00D42F9E"/>
    <w:rsid w:val="00D54801"/>
    <w:rsid w:val="00D83DB2"/>
    <w:rsid w:val="00D856C3"/>
    <w:rsid w:val="00D92E12"/>
    <w:rsid w:val="00D92FCD"/>
    <w:rsid w:val="00D95461"/>
    <w:rsid w:val="00D97979"/>
    <w:rsid w:val="00DA1847"/>
    <w:rsid w:val="00DB751A"/>
    <w:rsid w:val="00DC3348"/>
    <w:rsid w:val="00DC4466"/>
    <w:rsid w:val="00DE7B4C"/>
    <w:rsid w:val="00E0099E"/>
    <w:rsid w:val="00E045AE"/>
    <w:rsid w:val="00E05A92"/>
    <w:rsid w:val="00E25B93"/>
    <w:rsid w:val="00E368B9"/>
    <w:rsid w:val="00E44020"/>
    <w:rsid w:val="00E627D3"/>
    <w:rsid w:val="00E7516E"/>
    <w:rsid w:val="00EA5472"/>
    <w:rsid w:val="00EB2D05"/>
    <w:rsid w:val="00EB5485"/>
    <w:rsid w:val="00EB5A4E"/>
    <w:rsid w:val="00EB779F"/>
    <w:rsid w:val="00EC2AB1"/>
    <w:rsid w:val="00EC6D16"/>
    <w:rsid w:val="00ED086B"/>
    <w:rsid w:val="00EF55E9"/>
    <w:rsid w:val="00EF6015"/>
    <w:rsid w:val="00F010E5"/>
    <w:rsid w:val="00F141D4"/>
    <w:rsid w:val="00F37F1E"/>
    <w:rsid w:val="00F41B6F"/>
    <w:rsid w:val="00F4268B"/>
    <w:rsid w:val="00F47A4D"/>
    <w:rsid w:val="00F53745"/>
    <w:rsid w:val="00F55C71"/>
    <w:rsid w:val="00F56409"/>
    <w:rsid w:val="00F66C63"/>
    <w:rsid w:val="00F8406C"/>
    <w:rsid w:val="00F975F7"/>
    <w:rsid w:val="00FA26B2"/>
    <w:rsid w:val="00FB421A"/>
    <w:rsid w:val="00FC4099"/>
    <w:rsid w:val="00FE314B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84A5"/>
  <w15:docId w15:val="{BF5AA658-C68D-4C72-B61F-DCA4C80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sc-buds-ancfigure-description--pc">
    <w:name w:val="sc-buds-anc__figure-description--pc"/>
    <w:basedOn w:val="DefaultParagraphFont"/>
    <w:rsid w:val="00CE3B8F"/>
  </w:style>
  <w:style w:type="paragraph" w:styleId="EndnoteText">
    <w:name w:val="endnote text"/>
    <w:basedOn w:val="Normal"/>
    <w:link w:val="EndnoteTextChar"/>
    <w:uiPriority w:val="99"/>
    <w:unhideWhenUsed/>
    <w:rsid w:val="005A71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714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A7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36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it-resh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3</cp:revision>
  <dcterms:created xsi:type="dcterms:W3CDTF">2024-06-06T06:06:00Z</dcterms:created>
  <dcterms:modified xsi:type="dcterms:W3CDTF">2024-06-06T07:01:00Z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