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D50E2" w14:textId="242828D8" w:rsidR="00380794" w:rsidRPr="00380794" w:rsidRDefault="00EA2FE8" w:rsidP="00E525B5">
      <w:pPr>
        <w:pStyle w:val="Presse-Untertitel"/>
        <w:suppressAutoHyphens/>
        <w:spacing w:line="600" w:lineRule="auto"/>
        <w:rPr>
          <w:rFonts w:ascii="Arial" w:hAnsi="Arial"/>
          <w:color w:val="000000" w:themeColor="text1"/>
          <w:lang w:val="es-ES_tradnl"/>
        </w:rPr>
      </w:pPr>
      <w:r>
        <w:rPr>
          <w:rFonts w:ascii="Arial" w:hAnsi="Arial"/>
          <w:color w:val="000000" w:themeColor="text1"/>
          <w:lang w:val="es-ES_tradnl"/>
        </w:rPr>
        <w:t xml:space="preserve">Las entregas aumentaron </w:t>
      </w:r>
      <w:r w:rsidR="00380794" w:rsidRPr="00380794">
        <w:rPr>
          <w:rFonts w:ascii="Arial" w:hAnsi="Arial"/>
          <w:color w:val="000000" w:themeColor="text1"/>
          <w:lang w:val="es-ES_tradnl"/>
        </w:rPr>
        <w:t xml:space="preserve">seis por ciento </w:t>
      </w:r>
      <w:r>
        <w:rPr>
          <w:rFonts w:ascii="Arial" w:hAnsi="Arial"/>
          <w:color w:val="000000" w:themeColor="text1"/>
          <w:lang w:val="es-ES_tradnl"/>
        </w:rPr>
        <w:t>en el primer trimestre del año</w:t>
      </w:r>
    </w:p>
    <w:p w14:paraId="4C125C64" w14:textId="457EF61D" w:rsidR="00380794" w:rsidRPr="00380794" w:rsidRDefault="00576483" w:rsidP="007D70A8">
      <w:pPr>
        <w:pStyle w:val="Presse-Titel"/>
        <w:suppressAutoHyphens/>
        <w:spacing w:line="240" w:lineRule="auto"/>
        <w:rPr>
          <w:rFonts w:ascii="Arial" w:hAnsi="Arial"/>
          <w:lang w:val="es-ES_tradnl"/>
        </w:rPr>
      </w:pPr>
      <w:bookmarkStart w:id="0" w:name="_GoBack"/>
      <w:r>
        <w:rPr>
          <w:rFonts w:ascii="Arial" w:hAnsi="Arial"/>
          <w:lang w:val="es-ES_tradnl"/>
        </w:rPr>
        <w:t xml:space="preserve">Porsche </w:t>
      </w:r>
      <w:r w:rsidR="00F74E67">
        <w:rPr>
          <w:rFonts w:ascii="Arial" w:hAnsi="Arial"/>
          <w:lang w:val="es-ES_tradnl"/>
        </w:rPr>
        <w:t>comenzó</w:t>
      </w:r>
      <w:r>
        <w:rPr>
          <w:rFonts w:ascii="Arial" w:hAnsi="Arial"/>
          <w:lang w:val="es-ES_tradnl"/>
        </w:rPr>
        <w:t xml:space="preserve"> 2018 con </w:t>
      </w:r>
      <w:r w:rsidR="00380794" w:rsidRPr="00380794">
        <w:rPr>
          <w:rFonts w:ascii="Arial" w:hAnsi="Arial"/>
          <w:lang w:val="es-ES_tradnl"/>
        </w:rPr>
        <w:t>mayor crecimiento</w:t>
      </w:r>
    </w:p>
    <w:bookmarkEnd w:id="0"/>
    <w:p w14:paraId="23D02A32" w14:textId="77777777" w:rsidR="007D70A8" w:rsidRPr="00380794" w:rsidRDefault="007D70A8" w:rsidP="007D70A8">
      <w:pPr>
        <w:pStyle w:val="Presse-Standard"/>
        <w:rPr>
          <w:lang w:val="es-ES_tradnl"/>
        </w:rPr>
      </w:pPr>
    </w:p>
    <w:p w14:paraId="0D6BC032" w14:textId="5F637A66" w:rsidR="00380794" w:rsidRDefault="00380794" w:rsidP="00954D48">
      <w:pPr>
        <w:pStyle w:val="Presse-Standard"/>
        <w:rPr>
          <w:color w:val="000000" w:themeColor="text1"/>
          <w:lang w:val="es-ES_tradnl"/>
        </w:rPr>
      </w:pPr>
      <w:r w:rsidRPr="00380794">
        <w:rPr>
          <w:b/>
          <w:color w:val="000000" w:themeColor="text1"/>
          <w:lang w:val="es-ES_tradnl"/>
        </w:rPr>
        <w:t xml:space="preserve">Stuttgart. </w:t>
      </w:r>
      <w:r>
        <w:rPr>
          <w:color w:val="000000" w:themeColor="text1"/>
          <w:lang w:val="es-ES_tradnl"/>
        </w:rPr>
        <w:t xml:space="preserve">El comienzo de este </w:t>
      </w:r>
      <w:r w:rsidRPr="00380794">
        <w:rPr>
          <w:color w:val="000000" w:themeColor="text1"/>
          <w:lang w:val="es-ES_tradnl"/>
        </w:rPr>
        <w:t xml:space="preserve">año </w:t>
      </w:r>
      <w:r>
        <w:rPr>
          <w:color w:val="000000" w:themeColor="text1"/>
          <w:lang w:val="es-ES_tradnl"/>
        </w:rPr>
        <w:t xml:space="preserve">ha sido </w:t>
      </w:r>
      <w:r w:rsidRPr="00380794">
        <w:rPr>
          <w:color w:val="000000" w:themeColor="text1"/>
          <w:lang w:val="es-ES_tradnl"/>
        </w:rPr>
        <w:t>exitoso: en el primer trimestre de 2018 Por</w:t>
      </w:r>
      <w:r w:rsidR="00576483">
        <w:rPr>
          <w:color w:val="000000" w:themeColor="text1"/>
          <w:lang w:val="es-ES_tradnl"/>
        </w:rPr>
        <w:t>sche AG entregó alrededor de 63.</w:t>
      </w:r>
      <w:r w:rsidRPr="00380794">
        <w:rPr>
          <w:color w:val="000000" w:themeColor="text1"/>
          <w:lang w:val="es-ES_tradnl"/>
        </w:rPr>
        <w:t xml:space="preserve">500 vehículos en todo el mundo, </w:t>
      </w:r>
      <w:r w:rsidR="00576483">
        <w:rPr>
          <w:color w:val="000000" w:themeColor="text1"/>
          <w:lang w:val="es-ES_tradnl"/>
        </w:rPr>
        <w:t>lo que equivale a un aumento de</w:t>
      </w:r>
      <w:r w:rsidRPr="00380794">
        <w:rPr>
          <w:color w:val="000000" w:themeColor="text1"/>
          <w:lang w:val="es-ES_tradnl"/>
        </w:rPr>
        <w:t xml:space="preserve"> seis por ciento en </w:t>
      </w:r>
      <w:r w:rsidR="007F5799">
        <w:rPr>
          <w:color w:val="000000" w:themeColor="text1"/>
          <w:lang w:val="es-ES_tradnl"/>
        </w:rPr>
        <w:t>comparación con el año anterior, y</w:t>
      </w:r>
      <w:r w:rsidRPr="00380794">
        <w:rPr>
          <w:color w:val="000000" w:themeColor="text1"/>
          <w:lang w:val="es-ES_tradnl"/>
        </w:rPr>
        <w:t xml:space="preserve"> representa el primer trimestre más exitoso en la historia del fabricante de autos deportivos</w:t>
      </w:r>
      <w:r w:rsidR="00576483">
        <w:rPr>
          <w:color w:val="000000" w:themeColor="text1"/>
          <w:lang w:val="es-ES_tradnl"/>
        </w:rPr>
        <w:t xml:space="preserve"> de Stuttgart</w:t>
      </w:r>
      <w:r w:rsidRPr="00380794">
        <w:rPr>
          <w:color w:val="000000" w:themeColor="text1"/>
          <w:lang w:val="es-ES_tradnl"/>
        </w:rPr>
        <w:t>.</w:t>
      </w:r>
      <w:r w:rsidR="007F5799">
        <w:rPr>
          <w:color w:val="000000" w:themeColor="text1"/>
          <w:lang w:val="es-ES_tradnl"/>
        </w:rPr>
        <w:t xml:space="preserve"> </w:t>
      </w:r>
      <w:r w:rsidR="00576483">
        <w:rPr>
          <w:color w:val="000000" w:themeColor="text1"/>
          <w:lang w:val="es-ES_tradnl"/>
        </w:rPr>
        <w:t>Estados Unidos</w:t>
      </w:r>
      <w:r w:rsidR="007F5799" w:rsidRPr="007F5799">
        <w:rPr>
          <w:color w:val="000000" w:themeColor="text1"/>
          <w:lang w:val="es-ES_tradnl"/>
        </w:rPr>
        <w:t xml:space="preserve">, Europa y el mercado interno de la </w:t>
      </w:r>
      <w:r w:rsidR="007F5799">
        <w:rPr>
          <w:color w:val="000000" w:themeColor="text1"/>
          <w:lang w:val="es-ES_tradnl"/>
        </w:rPr>
        <w:t>empresa</w:t>
      </w:r>
      <w:r w:rsidR="00576483">
        <w:rPr>
          <w:color w:val="000000" w:themeColor="text1"/>
          <w:lang w:val="es-ES_tradnl"/>
        </w:rPr>
        <w:t xml:space="preserve">, </w:t>
      </w:r>
      <w:r w:rsidR="007F5799" w:rsidRPr="007F5799">
        <w:rPr>
          <w:color w:val="000000" w:themeColor="text1"/>
          <w:lang w:val="es-ES_tradnl"/>
        </w:rPr>
        <w:t>Alemania</w:t>
      </w:r>
      <w:r w:rsidR="007F5799">
        <w:rPr>
          <w:color w:val="000000" w:themeColor="text1"/>
          <w:lang w:val="es-ES_tradnl"/>
        </w:rPr>
        <w:t>,</w:t>
      </w:r>
      <w:r w:rsidR="007F5799" w:rsidRPr="007F5799">
        <w:rPr>
          <w:color w:val="000000" w:themeColor="text1"/>
          <w:lang w:val="es-ES_tradnl"/>
        </w:rPr>
        <w:t xml:space="preserve"> fueron los principales impulsores del crecimiento, así como </w:t>
      </w:r>
      <w:r w:rsidR="007F5799">
        <w:rPr>
          <w:color w:val="000000" w:themeColor="text1"/>
          <w:lang w:val="es-ES_tradnl"/>
        </w:rPr>
        <w:t>los</w:t>
      </w:r>
      <w:r w:rsidR="007F5799" w:rsidRPr="007F5799">
        <w:rPr>
          <w:color w:val="000000" w:themeColor="text1"/>
          <w:lang w:val="es-ES_tradnl"/>
        </w:rPr>
        <w:t xml:space="preserve"> modelo</w:t>
      </w:r>
      <w:r w:rsidR="007F5799">
        <w:rPr>
          <w:color w:val="000000" w:themeColor="text1"/>
          <w:lang w:val="es-ES_tradnl"/>
        </w:rPr>
        <w:t>s</w:t>
      </w:r>
      <w:r w:rsidR="007F5799" w:rsidRPr="007F5799">
        <w:rPr>
          <w:color w:val="000000" w:themeColor="text1"/>
          <w:lang w:val="es-ES_tradnl"/>
        </w:rPr>
        <w:t xml:space="preserve"> Panamer</w:t>
      </w:r>
      <w:r w:rsidR="00576483">
        <w:rPr>
          <w:color w:val="000000" w:themeColor="text1"/>
          <w:lang w:val="es-ES_tradnl"/>
        </w:rPr>
        <w:t>a y 911. Estados Unidos</w:t>
      </w:r>
      <w:r w:rsidR="007F5799">
        <w:rPr>
          <w:color w:val="000000" w:themeColor="text1"/>
          <w:lang w:val="es-ES_tradnl"/>
        </w:rPr>
        <w:t xml:space="preserve"> r</w:t>
      </w:r>
      <w:r w:rsidR="007F5799" w:rsidRPr="007F5799">
        <w:rPr>
          <w:color w:val="000000" w:themeColor="text1"/>
          <w:lang w:val="es-ES_tradnl"/>
        </w:rPr>
        <w:t xml:space="preserve">egistró el mayor crecimiento general, con entregas que aumentaron 10 por ciento </w:t>
      </w:r>
      <w:r w:rsidR="006D7A4E">
        <w:rPr>
          <w:color w:val="000000" w:themeColor="text1"/>
          <w:lang w:val="es-ES_tradnl"/>
        </w:rPr>
        <w:t>par</w:t>
      </w:r>
      <w:r w:rsidR="007F5799" w:rsidRPr="007F5799">
        <w:rPr>
          <w:color w:val="000000" w:themeColor="text1"/>
          <w:lang w:val="es-ES_tradnl"/>
        </w:rPr>
        <w:t xml:space="preserve">a </w:t>
      </w:r>
      <w:r w:rsidR="00576483">
        <w:rPr>
          <w:color w:val="000000" w:themeColor="text1"/>
          <w:lang w:val="es-ES_tradnl"/>
        </w:rPr>
        <w:t>llegar a aproximadamente</w:t>
      </w:r>
      <w:r w:rsidR="006D7A4E">
        <w:rPr>
          <w:color w:val="000000" w:themeColor="text1"/>
          <w:lang w:val="es-ES_tradnl"/>
        </w:rPr>
        <w:t xml:space="preserve"> </w:t>
      </w:r>
      <w:r w:rsidR="00576483">
        <w:rPr>
          <w:color w:val="000000" w:themeColor="text1"/>
          <w:lang w:val="es-ES_tradnl"/>
        </w:rPr>
        <w:t>14.</w:t>
      </w:r>
      <w:r w:rsidR="007F5799" w:rsidRPr="007F5799">
        <w:rPr>
          <w:color w:val="000000" w:themeColor="text1"/>
          <w:lang w:val="es-ES_tradnl"/>
        </w:rPr>
        <w:t xml:space="preserve">000 vehículos. </w:t>
      </w:r>
      <w:r w:rsidR="006D7A4E">
        <w:rPr>
          <w:color w:val="000000" w:themeColor="text1"/>
          <w:lang w:val="es-ES_tradnl"/>
        </w:rPr>
        <w:t xml:space="preserve">Por lo que respecta </w:t>
      </w:r>
      <w:r w:rsidR="007F5799" w:rsidRPr="007F5799">
        <w:rPr>
          <w:color w:val="000000" w:themeColor="text1"/>
          <w:lang w:val="es-ES_tradnl"/>
        </w:rPr>
        <w:t xml:space="preserve">a </w:t>
      </w:r>
      <w:r w:rsidR="006D7A4E">
        <w:rPr>
          <w:color w:val="000000" w:themeColor="text1"/>
          <w:lang w:val="es-ES_tradnl"/>
        </w:rPr>
        <w:t>cada modelo en</w:t>
      </w:r>
      <w:r w:rsidR="007F5799" w:rsidRPr="007F5799">
        <w:rPr>
          <w:color w:val="000000" w:themeColor="text1"/>
          <w:lang w:val="es-ES_tradnl"/>
        </w:rPr>
        <w:t xml:space="preserve"> específic</w:t>
      </w:r>
      <w:r w:rsidR="006D7A4E">
        <w:rPr>
          <w:color w:val="000000" w:themeColor="text1"/>
          <w:lang w:val="es-ES_tradnl"/>
        </w:rPr>
        <w:t>o</w:t>
      </w:r>
      <w:r w:rsidR="00BA3EA8">
        <w:rPr>
          <w:color w:val="000000" w:themeColor="text1"/>
          <w:lang w:val="es-ES_tradnl"/>
        </w:rPr>
        <w:t>, el Pan</w:t>
      </w:r>
      <w:r w:rsidR="007F5799" w:rsidRPr="007F5799">
        <w:rPr>
          <w:color w:val="000000" w:themeColor="text1"/>
          <w:lang w:val="es-ES_tradnl"/>
        </w:rPr>
        <w:t xml:space="preserve">amera </w:t>
      </w:r>
      <w:r w:rsidR="006D7A4E">
        <w:rPr>
          <w:color w:val="000000" w:themeColor="text1"/>
          <w:lang w:val="es-ES_tradnl"/>
        </w:rPr>
        <w:t xml:space="preserve">que </w:t>
      </w:r>
      <w:r w:rsidR="00576483">
        <w:rPr>
          <w:color w:val="000000" w:themeColor="text1"/>
          <w:lang w:val="es-ES_tradnl"/>
        </w:rPr>
        <w:t>fue introducido</w:t>
      </w:r>
      <w:r w:rsidR="007F5799" w:rsidRPr="007F5799">
        <w:rPr>
          <w:color w:val="000000" w:themeColor="text1"/>
          <w:lang w:val="es-ES_tradnl"/>
        </w:rPr>
        <w:t xml:space="preserve"> en 2017 logró el mayor crecimiento porcentual</w:t>
      </w:r>
      <w:r w:rsidR="00576483">
        <w:rPr>
          <w:color w:val="000000" w:themeColor="text1"/>
          <w:lang w:val="es-ES_tradnl"/>
        </w:rPr>
        <w:t xml:space="preserve"> con un aumento de alrededor de</w:t>
      </w:r>
      <w:r w:rsidR="007F5799" w:rsidRPr="007F5799">
        <w:rPr>
          <w:color w:val="000000" w:themeColor="text1"/>
          <w:lang w:val="es-ES_tradnl"/>
        </w:rPr>
        <w:t xml:space="preserve"> 200 por ciento. El desarrollo del </w:t>
      </w:r>
      <w:r w:rsidR="00576483">
        <w:rPr>
          <w:color w:val="000000" w:themeColor="text1"/>
          <w:lang w:val="es-ES_tradnl"/>
        </w:rPr>
        <w:t>segmento</w:t>
      </w:r>
      <w:r w:rsidR="007F5799" w:rsidRPr="007F5799">
        <w:rPr>
          <w:color w:val="000000" w:themeColor="text1"/>
          <w:lang w:val="es-ES_tradnl"/>
        </w:rPr>
        <w:t xml:space="preserve"> híbrido ha sido </w:t>
      </w:r>
      <w:r w:rsidR="006D7A4E">
        <w:rPr>
          <w:color w:val="000000" w:themeColor="text1"/>
          <w:lang w:val="es-ES_tradnl"/>
        </w:rPr>
        <w:t>particularmente favorable</w:t>
      </w:r>
      <w:r w:rsidR="00576483">
        <w:rPr>
          <w:color w:val="000000" w:themeColor="text1"/>
          <w:lang w:val="es-ES_tradnl"/>
        </w:rPr>
        <w:t>: en Europa, más de</w:t>
      </w:r>
      <w:r w:rsidR="007F5799" w:rsidRPr="007F5799">
        <w:rPr>
          <w:color w:val="000000" w:themeColor="text1"/>
          <w:lang w:val="es-ES_tradnl"/>
        </w:rPr>
        <w:t xml:space="preserve"> 60 por ciento de los modelos Panamera entregados a los clientes durante el primer trimestre </w:t>
      </w:r>
      <w:r w:rsidR="00B742F8">
        <w:rPr>
          <w:color w:val="000000" w:themeColor="text1"/>
          <w:lang w:val="es-ES_tradnl"/>
        </w:rPr>
        <w:t>fueron</w:t>
      </w:r>
      <w:r w:rsidR="007F5799" w:rsidRPr="007F5799">
        <w:rPr>
          <w:color w:val="000000" w:themeColor="text1"/>
          <w:lang w:val="es-ES_tradnl"/>
        </w:rPr>
        <w:t xml:space="preserve"> versiones híbridas.</w:t>
      </w:r>
    </w:p>
    <w:p w14:paraId="2ECA2C50" w14:textId="77777777" w:rsidR="006D7A4E" w:rsidRDefault="006D7A4E" w:rsidP="00954D48">
      <w:pPr>
        <w:pStyle w:val="Presse-Standard"/>
        <w:rPr>
          <w:color w:val="000000" w:themeColor="text1"/>
          <w:lang w:val="es-ES_tradnl"/>
        </w:rPr>
      </w:pPr>
    </w:p>
    <w:p w14:paraId="1D12C292" w14:textId="398432BF" w:rsidR="006D7A4E" w:rsidRDefault="00576483" w:rsidP="00954D48">
      <w:pPr>
        <w:pStyle w:val="Presse-Standard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>“</w:t>
      </w:r>
      <w:r w:rsidR="006D7A4E" w:rsidRPr="006D7A4E">
        <w:rPr>
          <w:color w:val="000000" w:themeColor="text1"/>
          <w:lang w:val="es-ES_tradnl"/>
        </w:rPr>
        <w:t xml:space="preserve">Estamos </w:t>
      </w:r>
      <w:r w:rsidR="00F914AE">
        <w:rPr>
          <w:color w:val="000000" w:themeColor="text1"/>
          <w:lang w:val="es-ES_tradnl"/>
        </w:rPr>
        <w:t>muy complacidos</w:t>
      </w:r>
      <w:r w:rsidR="006D7A4E" w:rsidRPr="006D7A4E">
        <w:rPr>
          <w:color w:val="000000" w:themeColor="text1"/>
          <w:lang w:val="es-ES_tradnl"/>
        </w:rPr>
        <w:t xml:space="preserve"> con nuestr</w:t>
      </w:r>
      <w:r w:rsidR="00B742F8">
        <w:rPr>
          <w:color w:val="000000" w:themeColor="text1"/>
          <w:lang w:val="es-ES_tradnl"/>
        </w:rPr>
        <w:t>o fuerte comienzo. Durante 2018</w:t>
      </w:r>
      <w:r w:rsidR="006D7A4E" w:rsidRPr="006D7A4E">
        <w:rPr>
          <w:color w:val="000000" w:themeColor="text1"/>
          <w:lang w:val="es-ES_tradnl"/>
        </w:rPr>
        <w:t xml:space="preserve"> esperamos estabilizarnos en el alto </w:t>
      </w:r>
      <w:r w:rsidR="00F22879">
        <w:rPr>
          <w:color w:val="000000" w:themeColor="text1"/>
          <w:lang w:val="es-ES_tradnl"/>
        </w:rPr>
        <w:t>índice alcanzado el año pasado</w:t>
      </w:r>
      <w:r>
        <w:rPr>
          <w:color w:val="000000" w:themeColor="text1"/>
          <w:lang w:val="es-ES_tradnl"/>
        </w:rPr>
        <w:t>”, dijo</w:t>
      </w:r>
      <w:r w:rsidR="006D7A4E" w:rsidRPr="006D7A4E">
        <w:rPr>
          <w:color w:val="000000" w:themeColor="text1"/>
          <w:lang w:val="es-ES_tradnl"/>
        </w:rPr>
        <w:t xml:space="preserve"> Detlev von </w:t>
      </w:r>
      <w:proofErr w:type="spellStart"/>
      <w:r w:rsidR="006D7A4E" w:rsidRPr="006D7A4E">
        <w:rPr>
          <w:color w:val="000000" w:themeColor="text1"/>
          <w:lang w:val="es-ES_tradnl"/>
        </w:rPr>
        <w:t>Platen</w:t>
      </w:r>
      <w:proofErr w:type="spellEnd"/>
      <w:r w:rsidR="006D7A4E" w:rsidRPr="006D7A4E">
        <w:rPr>
          <w:color w:val="000000" w:themeColor="text1"/>
          <w:lang w:val="es-ES_tradnl"/>
        </w:rPr>
        <w:t xml:space="preserve">, </w:t>
      </w:r>
      <w:r w:rsidRPr="00576483">
        <w:rPr>
          <w:color w:val="000000" w:themeColor="text1"/>
          <w:lang w:val="es-ES_tradnl"/>
        </w:rPr>
        <w:t>Miembro del Consejo Directivo de Porsche AG responsable de Ventas y Marketing</w:t>
      </w:r>
      <w:r w:rsidR="00E86054">
        <w:rPr>
          <w:color w:val="000000" w:themeColor="text1"/>
          <w:lang w:val="es-ES_tradnl"/>
        </w:rPr>
        <w:t xml:space="preserve">. </w:t>
      </w:r>
      <w:r>
        <w:rPr>
          <w:color w:val="000000" w:themeColor="text1"/>
          <w:lang w:val="es-ES_tradnl"/>
        </w:rPr>
        <w:t>“</w:t>
      </w:r>
      <w:r w:rsidR="00E86054" w:rsidRPr="00E86054">
        <w:rPr>
          <w:color w:val="000000" w:themeColor="text1"/>
          <w:lang w:val="es-ES_tradnl"/>
        </w:rPr>
        <w:t xml:space="preserve">La exclusividad es más importante para la marca Porsche que el </w:t>
      </w:r>
      <w:r w:rsidR="00E86054">
        <w:rPr>
          <w:color w:val="000000" w:themeColor="text1"/>
          <w:lang w:val="es-ES_tradnl"/>
        </w:rPr>
        <w:t>mero crecimiento</w:t>
      </w:r>
      <w:r w:rsidR="00E86054" w:rsidRPr="00E86054">
        <w:rPr>
          <w:color w:val="000000" w:themeColor="text1"/>
          <w:lang w:val="es-ES_tradnl"/>
        </w:rPr>
        <w:t>; con nue</w:t>
      </w:r>
      <w:r>
        <w:rPr>
          <w:color w:val="000000" w:themeColor="text1"/>
          <w:lang w:val="es-ES_tradnl"/>
        </w:rPr>
        <w:t>stra participación de mercado global de 0,3 por ciento</w:t>
      </w:r>
      <w:r w:rsidR="00E86054" w:rsidRPr="00E86054">
        <w:rPr>
          <w:color w:val="000000" w:themeColor="text1"/>
          <w:lang w:val="es-ES_tradnl"/>
        </w:rPr>
        <w:t xml:space="preserve"> </w:t>
      </w:r>
      <w:r w:rsidR="00E86054">
        <w:rPr>
          <w:color w:val="000000" w:themeColor="text1"/>
          <w:lang w:val="es-ES_tradnl"/>
        </w:rPr>
        <w:t>cumplimos con</w:t>
      </w:r>
      <w:r w:rsidR="00E86054" w:rsidRPr="00E86054">
        <w:rPr>
          <w:color w:val="000000" w:themeColor="text1"/>
          <w:lang w:val="es-ES_tradnl"/>
        </w:rPr>
        <w:t xml:space="preserve"> este requisito. </w:t>
      </w:r>
      <w:r w:rsidR="00E86054" w:rsidRPr="00E86054">
        <w:rPr>
          <w:color w:val="000000" w:themeColor="text1"/>
          <w:lang w:val="es-ES_tradnl"/>
        </w:rPr>
        <w:lastRenderedPageBreak/>
        <w:t xml:space="preserve">Además del desarrollo, producción y venta de autos deportivos exclusivos, Porsche aborda cada vez más </w:t>
      </w:r>
      <w:r w:rsidR="00F50892">
        <w:rPr>
          <w:color w:val="000000" w:themeColor="text1"/>
          <w:lang w:val="es-ES_tradnl"/>
        </w:rPr>
        <w:t>cuestiones como</w:t>
      </w:r>
      <w:r w:rsidR="00E86054" w:rsidRPr="00E86054">
        <w:rPr>
          <w:color w:val="000000" w:themeColor="text1"/>
          <w:lang w:val="es-ES_tradnl"/>
        </w:rPr>
        <w:t xml:space="preserve"> la electrificación, la digitalización y la conectividad.</w:t>
      </w:r>
      <w:r w:rsidR="00F50892">
        <w:rPr>
          <w:color w:val="000000" w:themeColor="text1"/>
          <w:lang w:val="es-ES_tradnl"/>
        </w:rPr>
        <w:t xml:space="preserve"> De esta manera</w:t>
      </w:r>
      <w:r w:rsidR="00F50892" w:rsidRPr="00F50892">
        <w:rPr>
          <w:color w:val="000000" w:themeColor="text1"/>
          <w:lang w:val="es-ES_tradnl"/>
        </w:rPr>
        <w:t>, es importante unir nuestros valores tradicionales con te</w:t>
      </w:r>
      <w:r w:rsidR="00F50892">
        <w:rPr>
          <w:color w:val="000000" w:themeColor="text1"/>
          <w:lang w:val="es-ES_tradnl"/>
        </w:rPr>
        <w:t>cnologías innovadoras. Este año</w:t>
      </w:r>
      <w:r w:rsidR="00F50892" w:rsidRPr="00F50892">
        <w:rPr>
          <w:color w:val="000000" w:themeColor="text1"/>
          <w:lang w:val="es-ES_tradnl"/>
        </w:rPr>
        <w:t xml:space="preserve"> volveremos a ofrecer nuevos productos y servicios diseñados para entusiasmar a nuestros clientes y aficionados </w:t>
      </w:r>
      <w:r w:rsidR="00F50892">
        <w:rPr>
          <w:color w:val="000000" w:themeColor="text1"/>
          <w:lang w:val="es-ES_tradnl"/>
        </w:rPr>
        <w:t>en todo el mundo</w:t>
      </w:r>
      <w:r>
        <w:rPr>
          <w:color w:val="000000" w:themeColor="text1"/>
          <w:lang w:val="es-ES_tradnl"/>
        </w:rPr>
        <w:t>”</w:t>
      </w:r>
      <w:r w:rsidR="00F50892" w:rsidRPr="00F50892">
        <w:rPr>
          <w:color w:val="000000" w:themeColor="text1"/>
          <w:lang w:val="es-ES_tradnl"/>
        </w:rPr>
        <w:t>.</w:t>
      </w:r>
    </w:p>
    <w:p w14:paraId="206930C7" w14:textId="77777777" w:rsidR="00954D48" w:rsidRDefault="00954D48" w:rsidP="00954D48">
      <w:pPr>
        <w:pStyle w:val="Presse-Standard"/>
        <w:rPr>
          <w:color w:val="000000" w:themeColor="text1"/>
          <w:lang w:val="es-ES_tradnl"/>
        </w:rPr>
      </w:pPr>
    </w:p>
    <w:p w14:paraId="0D6A7540" w14:textId="27D7B2B4" w:rsidR="00F50892" w:rsidRDefault="00F50892" w:rsidP="00954D48">
      <w:pPr>
        <w:pStyle w:val="Presse-Standard"/>
        <w:rPr>
          <w:color w:val="000000" w:themeColor="text1"/>
          <w:lang w:val="es-ES_tradnl"/>
        </w:rPr>
      </w:pPr>
      <w:r w:rsidRPr="00F50892">
        <w:rPr>
          <w:color w:val="000000" w:themeColor="text1"/>
          <w:lang w:val="es-ES_tradnl"/>
        </w:rPr>
        <w:t xml:space="preserve">En el Salón del Automóvil de Ginebra, Porsche demostró lo que significa un futuro puramente eléctrico para la marca con su </w:t>
      </w:r>
      <w:r w:rsidR="00576483">
        <w:rPr>
          <w:color w:val="000000" w:themeColor="text1"/>
          <w:lang w:val="es-ES_tradnl"/>
        </w:rPr>
        <w:t>auto concepto</w:t>
      </w:r>
      <w:r w:rsidR="00AF734A">
        <w:rPr>
          <w:color w:val="000000" w:themeColor="text1"/>
          <w:lang w:val="es-ES_tradnl"/>
        </w:rPr>
        <w:t xml:space="preserve"> </w:t>
      </w:r>
      <w:proofErr w:type="spellStart"/>
      <w:r w:rsidR="00AF734A">
        <w:rPr>
          <w:color w:val="000000" w:themeColor="text1"/>
          <w:lang w:val="es-ES_tradnl"/>
        </w:rPr>
        <w:t>Mission</w:t>
      </w:r>
      <w:proofErr w:type="spellEnd"/>
      <w:r w:rsidR="00AF734A">
        <w:rPr>
          <w:color w:val="000000" w:themeColor="text1"/>
          <w:lang w:val="es-ES_tradnl"/>
        </w:rPr>
        <w:t xml:space="preserve"> E Cross Turismo. Este ‘</w:t>
      </w:r>
      <w:r w:rsidRPr="00F50892">
        <w:rPr>
          <w:color w:val="000000" w:themeColor="text1"/>
          <w:lang w:val="es-ES_tradnl"/>
        </w:rPr>
        <w:t>Vehículo</w:t>
      </w:r>
      <w:r w:rsidR="00AF734A">
        <w:rPr>
          <w:color w:val="000000" w:themeColor="text1"/>
          <w:lang w:val="es-ES_tradnl"/>
        </w:rPr>
        <w:t xml:space="preserve"> Utilitario</w:t>
      </w:r>
      <w:r w:rsidRPr="00F50892">
        <w:rPr>
          <w:color w:val="000000" w:themeColor="text1"/>
          <w:lang w:val="es-ES_tradnl"/>
        </w:rPr>
        <w:t xml:space="preserve"> </w:t>
      </w:r>
      <w:r w:rsidR="00AF734A">
        <w:rPr>
          <w:color w:val="000000" w:themeColor="text1"/>
          <w:lang w:val="es-ES_tradnl"/>
        </w:rPr>
        <w:t>Crossover’ (CUV</w:t>
      </w:r>
      <w:r w:rsidR="00576483">
        <w:rPr>
          <w:color w:val="000000" w:themeColor="text1"/>
          <w:lang w:val="es-ES_tradnl"/>
        </w:rPr>
        <w:t>,</w:t>
      </w:r>
      <w:r w:rsidR="00AF734A">
        <w:rPr>
          <w:color w:val="000000" w:themeColor="text1"/>
          <w:lang w:val="es-ES_tradnl"/>
        </w:rPr>
        <w:t xml:space="preserve"> por sus siglas en inglés), </w:t>
      </w:r>
      <w:r w:rsidRPr="00F50892">
        <w:rPr>
          <w:color w:val="000000" w:themeColor="text1"/>
          <w:lang w:val="es-ES_tradnl"/>
        </w:rPr>
        <w:t xml:space="preserve">representa un </w:t>
      </w:r>
      <w:r w:rsidR="00576483">
        <w:rPr>
          <w:color w:val="000000" w:themeColor="text1"/>
          <w:lang w:val="es-ES_tradnl"/>
        </w:rPr>
        <w:t xml:space="preserve">potencial </w:t>
      </w:r>
      <w:r w:rsidRPr="00F50892">
        <w:rPr>
          <w:color w:val="000000" w:themeColor="text1"/>
          <w:lang w:val="es-ES_tradnl"/>
        </w:rPr>
        <w:t>derivado</w:t>
      </w:r>
      <w:r w:rsidR="00AF734A">
        <w:rPr>
          <w:color w:val="000000" w:themeColor="text1"/>
          <w:lang w:val="es-ES_tradnl"/>
        </w:rPr>
        <w:t xml:space="preserve"> </w:t>
      </w:r>
      <w:r w:rsidRPr="00F50892">
        <w:rPr>
          <w:color w:val="000000" w:themeColor="text1"/>
          <w:lang w:val="es-ES_tradnl"/>
        </w:rPr>
        <w:t>de la vers</w:t>
      </w:r>
      <w:r w:rsidR="00AF734A">
        <w:rPr>
          <w:color w:val="000000" w:themeColor="text1"/>
          <w:lang w:val="es-ES_tradnl"/>
        </w:rPr>
        <w:t xml:space="preserve">ión de fabricación en serie </w:t>
      </w:r>
      <w:r w:rsidRPr="00F50892">
        <w:rPr>
          <w:color w:val="000000" w:themeColor="text1"/>
          <w:lang w:val="es-ES_tradnl"/>
        </w:rPr>
        <w:t>Misión E de Porsche</w:t>
      </w:r>
      <w:r w:rsidR="00576483">
        <w:rPr>
          <w:color w:val="000000" w:themeColor="text1"/>
          <w:lang w:val="es-ES_tradnl"/>
        </w:rPr>
        <w:t xml:space="preserve">, auto que llegará al mercado </w:t>
      </w:r>
      <w:r w:rsidRPr="00F50892">
        <w:rPr>
          <w:color w:val="000000" w:themeColor="text1"/>
          <w:lang w:val="es-ES_tradnl"/>
        </w:rPr>
        <w:t>a fines de 2019.</w:t>
      </w:r>
      <w:r w:rsidR="00961EFE">
        <w:rPr>
          <w:color w:val="000000" w:themeColor="text1"/>
          <w:lang w:val="es-ES_tradnl"/>
        </w:rPr>
        <w:t xml:space="preserve"> Los clientes de Porsche exigen cada vez más</w:t>
      </w:r>
      <w:r w:rsidR="00961EFE" w:rsidRPr="00961EFE">
        <w:rPr>
          <w:color w:val="000000" w:themeColor="text1"/>
          <w:lang w:val="es-ES_tradnl"/>
        </w:rPr>
        <w:t xml:space="preserve"> tecnologías de </w:t>
      </w:r>
      <w:r w:rsidR="00961EFE">
        <w:rPr>
          <w:color w:val="000000" w:themeColor="text1"/>
          <w:lang w:val="es-ES_tradnl"/>
        </w:rPr>
        <w:t>propulsión</w:t>
      </w:r>
      <w:r w:rsidR="00961EFE" w:rsidRPr="00961EFE">
        <w:rPr>
          <w:color w:val="000000" w:themeColor="text1"/>
          <w:lang w:val="es-ES_tradnl"/>
        </w:rPr>
        <w:t xml:space="preserve"> </w:t>
      </w:r>
      <w:r w:rsidR="00961EFE">
        <w:rPr>
          <w:color w:val="000000" w:themeColor="text1"/>
          <w:lang w:val="es-ES_tradnl"/>
        </w:rPr>
        <w:t>innovadoras</w:t>
      </w:r>
      <w:r w:rsidR="00961EFE" w:rsidRPr="00961EFE">
        <w:rPr>
          <w:color w:val="000000" w:themeColor="text1"/>
          <w:lang w:val="es-ES_tradnl"/>
        </w:rPr>
        <w:t xml:space="preserve">. </w:t>
      </w:r>
      <w:r w:rsidR="00216963">
        <w:rPr>
          <w:color w:val="000000" w:themeColor="text1"/>
          <w:lang w:val="es-ES_tradnl"/>
        </w:rPr>
        <w:t>“</w:t>
      </w:r>
      <w:r w:rsidR="00961EFE" w:rsidRPr="00961EFE">
        <w:rPr>
          <w:color w:val="000000" w:themeColor="text1"/>
          <w:lang w:val="es-ES_tradnl"/>
        </w:rPr>
        <w:t>El éxito de nuestros modelos híbridos muestra que la aplicación de valores típicos de la marca Porsche a esta tecnología de accionamiento ha sido efectiva</w:t>
      </w:r>
      <w:r w:rsidR="00216963">
        <w:rPr>
          <w:color w:val="000000" w:themeColor="text1"/>
          <w:lang w:val="es-ES_tradnl"/>
        </w:rPr>
        <w:t>”</w:t>
      </w:r>
      <w:r w:rsidR="00961EFE" w:rsidRPr="00961EFE">
        <w:rPr>
          <w:color w:val="000000" w:themeColor="text1"/>
          <w:lang w:val="es-ES_tradnl"/>
        </w:rPr>
        <w:t xml:space="preserve">, </w:t>
      </w:r>
      <w:r w:rsidR="00216963">
        <w:rPr>
          <w:color w:val="000000" w:themeColor="text1"/>
          <w:lang w:val="es-ES_tradnl"/>
        </w:rPr>
        <w:t>dijo</w:t>
      </w:r>
      <w:r w:rsidR="00961EFE" w:rsidRPr="00961EFE">
        <w:rPr>
          <w:color w:val="000000" w:themeColor="text1"/>
          <w:lang w:val="es-ES_tradnl"/>
        </w:rPr>
        <w:t xml:space="preserve"> von </w:t>
      </w:r>
      <w:proofErr w:type="spellStart"/>
      <w:r w:rsidR="00961EFE" w:rsidRPr="00961EFE">
        <w:rPr>
          <w:color w:val="000000" w:themeColor="text1"/>
          <w:lang w:val="es-ES_tradnl"/>
        </w:rPr>
        <w:t>Platen</w:t>
      </w:r>
      <w:proofErr w:type="spellEnd"/>
      <w:r w:rsidR="00961EFE" w:rsidRPr="00961EFE">
        <w:rPr>
          <w:color w:val="000000" w:themeColor="text1"/>
          <w:lang w:val="es-ES_tradnl"/>
        </w:rPr>
        <w:t>.</w:t>
      </w:r>
    </w:p>
    <w:p w14:paraId="58E28F64" w14:textId="77777777" w:rsidR="00961EFE" w:rsidRDefault="00961EFE" w:rsidP="00954D48">
      <w:pPr>
        <w:pStyle w:val="Presse-Standard"/>
        <w:rPr>
          <w:color w:val="000000" w:themeColor="text1"/>
          <w:lang w:val="es-ES_tradnl"/>
        </w:rPr>
      </w:pPr>
    </w:p>
    <w:p w14:paraId="06A3CF2A" w14:textId="28FCBD01" w:rsidR="00961EFE" w:rsidRDefault="00961EFE" w:rsidP="00954D48">
      <w:pPr>
        <w:pStyle w:val="Presse-Standard"/>
        <w:rPr>
          <w:color w:val="000000" w:themeColor="text1"/>
          <w:lang w:val="es-ES_tradnl"/>
        </w:rPr>
      </w:pPr>
      <w:r w:rsidRPr="00961EFE">
        <w:rPr>
          <w:color w:val="000000" w:themeColor="text1"/>
          <w:lang w:val="es-ES_tradnl"/>
        </w:rPr>
        <w:t xml:space="preserve">En el primer trimestre </w:t>
      </w:r>
      <w:r w:rsidR="00216963">
        <w:rPr>
          <w:color w:val="000000" w:themeColor="text1"/>
          <w:lang w:val="es-ES_tradnl"/>
        </w:rPr>
        <w:t>de 2018</w:t>
      </w:r>
      <w:r w:rsidRPr="00961EFE">
        <w:rPr>
          <w:color w:val="000000" w:themeColor="text1"/>
          <w:lang w:val="es-ES_tradnl"/>
        </w:rPr>
        <w:t xml:space="preserve"> China volvió a ser el mayor mercado individ</w:t>
      </w:r>
      <w:r w:rsidR="00216963">
        <w:rPr>
          <w:color w:val="000000" w:themeColor="text1"/>
          <w:lang w:val="es-ES_tradnl"/>
        </w:rPr>
        <w:t>ual para Porsche. Con más de 18.</w:t>
      </w:r>
      <w:r w:rsidRPr="00961EFE">
        <w:rPr>
          <w:color w:val="000000" w:themeColor="text1"/>
          <w:lang w:val="es-ES_tradnl"/>
        </w:rPr>
        <w:t xml:space="preserve">600 vehículos entregados, el mercado chino superó </w:t>
      </w:r>
      <w:r w:rsidR="00216963">
        <w:rPr>
          <w:color w:val="000000" w:themeColor="text1"/>
          <w:lang w:val="es-ES_tradnl"/>
        </w:rPr>
        <w:t>su</w:t>
      </w:r>
      <w:r w:rsidRPr="00961EFE">
        <w:rPr>
          <w:color w:val="000000" w:themeColor="text1"/>
          <w:lang w:val="es-ES_tradnl"/>
        </w:rPr>
        <w:t xml:space="preserve"> resultado del año </w:t>
      </w:r>
      <w:r w:rsidR="001E10E7">
        <w:rPr>
          <w:color w:val="000000" w:themeColor="text1"/>
          <w:lang w:val="es-ES_tradnl"/>
        </w:rPr>
        <w:t>anterior</w:t>
      </w:r>
      <w:r w:rsidRPr="00961EFE">
        <w:rPr>
          <w:color w:val="000000" w:themeColor="text1"/>
          <w:lang w:val="es-ES_tradnl"/>
        </w:rPr>
        <w:t xml:space="preserve"> en un tres por ciento. En Europa, más de 20</w:t>
      </w:r>
      <w:r w:rsidR="00216963">
        <w:rPr>
          <w:color w:val="000000" w:themeColor="text1"/>
          <w:lang w:val="es-ES_tradnl"/>
        </w:rPr>
        <w:t>.</w:t>
      </w:r>
      <w:r w:rsidRPr="00961EFE">
        <w:rPr>
          <w:color w:val="000000" w:themeColor="text1"/>
          <w:lang w:val="es-ES_tradnl"/>
        </w:rPr>
        <w:t xml:space="preserve">600 vehículos fueron entregados a los clientes, lo que corresponde a un aumento de </w:t>
      </w:r>
      <w:r w:rsidR="00216963">
        <w:rPr>
          <w:color w:val="000000" w:themeColor="text1"/>
          <w:lang w:val="es-ES_tradnl"/>
        </w:rPr>
        <w:t>ocho</w:t>
      </w:r>
      <w:r w:rsidRPr="00961EFE">
        <w:rPr>
          <w:color w:val="000000" w:themeColor="text1"/>
          <w:lang w:val="es-ES_tradnl"/>
        </w:rPr>
        <w:t xml:space="preserve"> por ciento. También </w:t>
      </w:r>
      <w:r w:rsidR="00216963">
        <w:rPr>
          <w:color w:val="000000" w:themeColor="text1"/>
          <w:lang w:val="es-ES_tradnl"/>
        </w:rPr>
        <w:t>hubo</w:t>
      </w:r>
      <w:r w:rsidR="001E10E7">
        <w:rPr>
          <w:color w:val="000000" w:themeColor="text1"/>
          <w:lang w:val="es-ES_tradnl"/>
        </w:rPr>
        <w:t xml:space="preserve"> un crecimiento en Alemania, donde</w:t>
      </w:r>
      <w:r w:rsidRPr="00961EFE">
        <w:rPr>
          <w:color w:val="000000" w:themeColor="text1"/>
          <w:lang w:val="es-ES_tradnl"/>
        </w:rPr>
        <w:t xml:space="preserve"> con más de 7.700 vehícu</w:t>
      </w:r>
      <w:r w:rsidR="001E10E7">
        <w:rPr>
          <w:color w:val="000000" w:themeColor="text1"/>
          <w:lang w:val="es-ES_tradnl"/>
        </w:rPr>
        <w:t>los entregados, Porsche registr</w:t>
      </w:r>
      <w:r w:rsidR="00216963">
        <w:rPr>
          <w:color w:val="000000" w:themeColor="text1"/>
          <w:lang w:val="es-ES_tradnl"/>
        </w:rPr>
        <w:t>ó un aumento de ocho</w:t>
      </w:r>
      <w:r w:rsidRPr="00961EFE">
        <w:rPr>
          <w:color w:val="000000" w:themeColor="text1"/>
          <w:lang w:val="es-ES_tradnl"/>
        </w:rPr>
        <w:t xml:space="preserve"> por ciento en su mercado </w:t>
      </w:r>
      <w:r w:rsidR="001E10E7">
        <w:rPr>
          <w:color w:val="000000" w:themeColor="text1"/>
          <w:lang w:val="es-ES_tradnl"/>
        </w:rPr>
        <w:t>doméstico</w:t>
      </w:r>
      <w:r w:rsidRPr="00961EFE">
        <w:rPr>
          <w:color w:val="000000" w:themeColor="text1"/>
          <w:lang w:val="es-ES_tradnl"/>
        </w:rPr>
        <w:t>.</w:t>
      </w:r>
    </w:p>
    <w:p w14:paraId="5689F36D" w14:textId="77777777" w:rsidR="001E10E7" w:rsidRPr="00380794" w:rsidRDefault="001E10E7" w:rsidP="00954D48">
      <w:pPr>
        <w:pStyle w:val="Presse-Standard"/>
        <w:rPr>
          <w:color w:val="000000" w:themeColor="text1"/>
          <w:lang w:val="es-ES_tradnl"/>
        </w:rPr>
      </w:pPr>
    </w:p>
    <w:p w14:paraId="2EE58C4B" w14:textId="03F202A8" w:rsidR="00954D48" w:rsidRPr="00380794" w:rsidRDefault="001E10E7" w:rsidP="00954D48">
      <w:pPr>
        <w:pStyle w:val="Presse-Standard"/>
        <w:rPr>
          <w:color w:val="000000" w:themeColor="text1"/>
          <w:lang w:val="es-ES_tradnl"/>
        </w:rPr>
      </w:pPr>
      <w:r w:rsidRPr="001E10E7">
        <w:rPr>
          <w:color w:val="000000" w:themeColor="text1"/>
          <w:lang w:val="es-ES_tradnl"/>
        </w:rPr>
        <w:t xml:space="preserve">Una vez más, el modelo más exitoso </w:t>
      </w:r>
      <w:r w:rsidR="00216963">
        <w:rPr>
          <w:color w:val="000000" w:themeColor="text1"/>
          <w:lang w:val="es-ES_tradnl"/>
        </w:rPr>
        <w:t>fue</w:t>
      </w:r>
      <w:r w:rsidRPr="001E10E7">
        <w:rPr>
          <w:color w:val="000000" w:themeColor="text1"/>
          <w:lang w:val="es-ES_tradnl"/>
        </w:rPr>
        <w:t xml:space="preserve"> e</w:t>
      </w:r>
      <w:r w:rsidR="00216963">
        <w:rPr>
          <w:color w:val="000000" w:themeColor="text1"/>
          <w:lang w:val="es-ES_tradnl"/>
        </w:rPr>
        <w:t>l Macan: más de 23.</w:t>
      </w:r>
      <w:r w:rsidRPr="001E10E7">
        <w:rPr>
          <w:color w:val="000000" w:themeColor="text1"/>
          <w:lang w:val="es-ES_tradnl"/>
        </w:rPr>
        <w:t xml:space="preserve">000 de estos SUV deportivos </w:t>
      </w:r>
      <w:r w:rsidR="00216963">
        <w:rPr>
          <w:color w:val="000000" w:themeColor="text1"/>
          <w:lang w:val="es-ES_tradnl"/>
        </w:rPr>
        <w:t xml:space="preserve">fueron </w:t>
      </w:r>
      <w:r w:rsidRPr="001E10E7">
        <w:rPr>
          <w:color w:val="000000" w:themeColor="text1"/>
          <w:lang w:val="es-ES_tradnl"/>
        </w:rPr>
        <w:t>entregado</w:t>
      </w:r>
      <w:r w:rsidR="00216963">
        <w:rPr>
          <w:color w:val="000000" w:themeColor="text1"/>
          <w:lang w:val="es-ES_tradnl"/>
        </w:rPr>
        <w:t>s</w:t>
      </w:r>
      <w:r w:rsidRPr="001E10E7">
        <w:rPr>
          <w:color w:val="000000" w:themeColor="text1"/>
          <w:lang w:val="es-ES_tradnl"/>
        </w:rPr>
        <w:t xml:space="preserve"> </w:t>
      </w:r>
      <w:r w:rsidR="00216963">
        <w:rPr>
          <w:color w:val="000000" w:themeColor="text1"/>
          <w:lang w:val="es-ES_tradnl"/>
        </w:rPr>
        <w:t xml:space="preserve">en </w:t>
      </w:r>
      <w:r w:rsidRPr="001E10E7">
        <w:rPr>
          <w:color w:val="000000" w:themeColor="text1"/>
          <w:lang w:val="es-ES_tradnl"/>
        </w:rPr>
        <w:t>el mundo</w:t>
      </w:r>
      <w:r w:rsidR="00216963">
        <w:rPr>
          <w:color w:val="000000" w:themeColor="text1"/>
          <w:lang w:val="es-ES_tradnl"/>
        </w:rPr>
        <w:t xml:space="preserve"> durante el primer trimestre</w:t>
      </w:r>
      <w:r w:rsidRPr="001E10E7">
        <w:rPr>
          <w:color w:val="000000" w:themeColor="text1"/>
          <w:lang w:val="es-ES_tradnl"/>
        </w:rPr>
        <w:t xml:space="preserve">. La fascinación </w:t>
      </w:r>
      <w:r w:rsidR="004C62EB">
        <w:rPr>
          <w:color w:val="000000" w:themeColor="text1"/>
          <w:lang w:val="es-ES_tradnl"/>
        </w:rPr>
        <w:t>por</w:t>
      </w:r>
      <w:r w:rsidRPr="001E10E7">
        <w:rPr>
          <w:color w:val="000000" w:themeColor="text1"/>
          <w:lang w:val="es-ES_tradnl"/>
        </w:rPr>
        <w:t xml:space="preserve"> el 911 </w:t>
      </w:r>
      <w:r w:rsidR="00216963">
        <w:rPr>
          <w:color w:val="000000" w:themeColor="text1"/>
          <w:lang w:val="es-ES_tradnl"/>
        </w:rPr>
        <w:t>se mantiene más</w:t>
      </w:r>
      <w:r w:rsidRPr="001E10E7">
        <w:rPr>
          <w:color w:val="000000" w:themeColor="text1"/>
          <w:lang w:val="es-ES_tradnl"/>
        </w:rPr>
        <w:t xml:space="preserve"> viva</w:t>
      </w:r>
      <w:r w:rsidR="00216963">
        <w:rPr>
          <w:color w:val="000000" w:themeColor="text1"/>
          <w:lang w:val="es-ES_tradnl"/>
        </w:rPr>
        <w:t xml:space="preserve"> que nunca</w:t>
      </w:r>
      <w:r w:rsidRPr="001E10E7">
        <w:rPr>
          <w:color w:val="000000" w:themeColor="text1"/>
          <w:lang w:val="es-ES_tradnl"/>
        </w:rPr>
        <w:t xml:space="preserve">. </w:t>
      </w:r>
      <w:r w:rsidR="00216963">
        <w:rPr>
          <w:color w:val="000000" w:themeColor="text1"/>
          <w:lang w:val="es-ES_tradnl"/>
        </w:rPr>
        <w:t xml:space="preserve">De enero a marzo </w:t>
      </w:r>
      <w:r w:rsidRPr="001E10E7">
        <w:rPr>
          <w:color w:val="000000" w:themeColor="text1"/>
          <w:lang w:val="es-ES_tradnl"/>
        </w:rPr>
        <w:t>Porsche entregó más de 9</w:t>
      </w:r>
      <w:r w:rsidR="00216963">
        <w:rPr>
          <w:color w:val="000000" w:themeColor="text1"/>
          <w:lang w:val="es-ES_tradnl"/>
        </w:rPr>
        <w:t>.</w:t>
      </w:r>
      <w:r w:rsidRPr="001E10E7">
        <w:rPr>
          <w:color w:val="000000" w:themeColor="text1"/>
          <w:lang w:val="es-ES_tradnl"/>
        </w:rPr>
        <w:t xml:space="preserve">600 </w:t>
      </w:r>
      <w:r w:rsidR="00216963">
        <w:rPr>
          <w:color w:val="000000" w:themeColor="text1"/>
          <w:lang w:val="es-ES_tradnl"/>
        </w:rPr>
        <w:t>unidades del icónico deportivo</w:t>
      </w:r>
      <w:r w:rsidRPr="001E10E7">
        <w:rPr>
          <w:color w:val="000000" w:themeColor="text1"/>
          <w:lang w:val="es-ES_tradnl"/>
        </w:rPr>
        <w:t xml:space="preserve">, </w:t>
      </w:r>
      <w:r w:rsidR="00216963">
        <w:rPr>
          <w:color w:val="000000" w:themeColor="text1"/>
          <w:lang w:val="es-ES_tradnl"/>
        </w:rPr>
        <w:t>lo que representa un aumento de</w:t>
      </w:r>
      <w:r w:rsidRPr="001E10E7">
        <w:rPr>
          <w:color w:val="000000" w:themeColor="text1"/>
          <w:lang w:val="es-ES_tradnl"/>
        </w:rPr>
        <w:t xml:space="preserve"> 35 por ciento.</w:t>
      </w:r>
    </w:p>
    <w:p w14:paraId="41475CFA" w14:textId="36D427EB" w:rsidR="00954D48" w:rsidRDefault="00954D48" w:rsidP="00954D48">
      <w:pPr>
        <w:pStyle w:val="Presse-Standard"/>
        <w:rPr>
          <w:color w:val="000000" w:themeColor="text1"/>
          <w:lang w:val="es-ES_tradnl"/>
        </w:rPr>
      </w:pPr>
    </w:p>
    <w:p w14:paraId="6536E86A" w14:textId="77777777" w:rsidR="000B4F85" w:rsidRDefault="000B4F85" w:rsidP="00954D48">
      <w:pPr>
        <w:pStyle w:val="Presse-Standard"/>
        <w:rPr>
          <w:color w:val="000000" w:themeColor="text1"/>
          <w:lang w:val="es-ES_tradnl"/>
        </w:rPr>
      </w:pPr>
    </w:p>
    <w:p w14:paraId="067F1F66" w14:textId="77777777" w:rsidR="000B4F85" w:rsidRPr="00380794" w:rsidRDefault="000B4F85" w:rsidP="00954D48">
      <w:pPr>
        <w:pStyle w:val="Presse-Standard"/>
        <w:rPr>
          <w:color w:val="000000" w:themeColor="text1"/>
          <w:lang w:val="es-ES_tradnl"/>
        </w:rPr>
      </w:pPr>
    </w:p>
    <w:tbl>
      <w:tblPr>
        <w:tblW w:w="47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980"/>
        <w:gridCol w:w="975"/>
        <w:gridCol w:w="1108"/>
      </w:tblGrid>
      <w:tr w:rsidR="00954D48" w:rsidRPr="00380794" w14:paraId="2251AFA6" w14:textId="77777777" w:rsidTr="00380794">
        <w:trPr>
          <w:trHeight w:val="339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A84F7B3" w14:textId="77777777" w:rsidR="00216963" w:rsidRDefault="00216963" w:rsidP="00380794">
            <w:pPr>
              <w:rPr>
                <w:rFonts w:ascii="Arial" w:hAnsi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lastRenderedPageBreak/>
              <w:t>Entregas</w:t>
            </w:r>
            <w:r w:rsidRPr="00380794">
              <w:rPr>
                <w:rFonts w:ascii="Arial" w:hAnsi="Arial"/>
                <w:b/>
                <w:bCs/>
                <w:lang w:val="es-ES_tradnl"/>
              </w:rPr>
              <w:t xml:space="preserve"> </w:t>
            </w:r>
          </w:p>
          <w:p w14:paraId="41B496C7" w14:textId="29BDB8EA" w:rsidR="00954D48" w:rsidRPr="00380794" w:rsidRDefault="00954D48" w:rsidP="0038079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80794">
              <w:rPr>
                <w:rFonts w:ascii="Arial" w:hAnsi="Arial"/>
                <w:b/>
                <w:bCs/>
                <w:lang w:val="es-ES_tradnl"/>
              </w:rPr>
              <w:t>PORSCHE AG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092809" w14:textId="7BB2C5EA" w:rsidR="00954D48" w:rsidRPr="00380794" w:rsidRDefault="004C62EB" w:rsidP="00380794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Enero - Marzo</w:t>
            </w:r>
          </w:p>
        </w:tc>
      </w:tr>
      <w:tr w:rsidR="00954D48" w:rsidRPr="00380794" w14:paraId="2C58C164" w14:textId="77777777" w:rsidTr="00380794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C26A2" w14:textId="77777777" w:rsidR="00954D48" w:rsidRPr="00380794" w:rsidRDefault="00954D48" w:rsidP="00380794">
            <w:pPr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D896" w14:textId="77777777" w:rsidR="00954D48" w:rsidRPr="00380794" w:rsidRDefault="00954D48" w:rsidP="00380794">
            <w:pPr>
              <w:jc w:val="right"/>
              <w:rPr>
                <w:rFonts w:ascii="Arial" w:hAnsi="Arial" w:cs="Arial"/>
                <w:b/>
                <w:bCs/>
                <w:lang w:val="es-ES_tradnl"/>
              </w:rPr>
            </w:pPr>
            <w:r w:rsidRPr="00380794">
              <w:rPr>
                <w:rFonts w:ascii="Arial" w:hAnsi="Arial"/>
                <w:b/>
                <w:bCs/>
                <w:lang w:val="es-ES_tradnl"/>
              </w:rPr>
              <w:t>2018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BD41F" w14:textId="77777777" w:rsidR="00954D48" w:rsidRPr="00380794" w:rsidRDefault="00954D48" w:rsidP="00380794">
            <w:pPr>
              <w:jc w:val="right"/>
              <w:rPr>
                <w:rFonts w:ascii="Arial" w:hAnsi="Arial" w:cs="Arial"/>
                <w:b/>
                <w:bCs/>
                <w:lang w:val="es-ES_tradnl"/>
              </w:rPr>
            </w:pPr>
            <w:r w:rsidRPr="00380794">
              <w:rPr>
                <w:rFonts w:ascii="Arial" w:hAnsi="Arial"/>
                <w:b/>
                <w:bCs/>
                <w:lang w:val="es-ES_tradnl"/>
              </w:rPr>
              <w:t>2017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59D1A" w14:textId="31552098" w:rsidR="00954D48" w:rsidRPr="00380794" w:rsidRDefault="004C62EB" w:rsidP="00380794">
            <w:pPr>
              <w:jc w:val="right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Diferencia</w:t>
            </w:r>
            <w:r w:rsidR="00954D48" w:rsidRPr="00380794">
              <w:rPr>
                <w:rFonts w:ascii="Arial" w:hAnsi="Arial"/>
                <w:b/>
                <w:bCs/>
                <w:lang w:val="es-ES_tradnl"/>
              </w:rPr>
              <w:t xml:space="preserve"> </w:t>
            </w:r>
          </w:p>
        </w:tc>
      </w:tr>
      <w:tr w:rsidR="00954D48" w:rsidRPr="00380794" w14:paraId="4480F132" w14:textId="77777777" w:rsidTr="00380794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FF616" w14:textId="48ECDD5E" w:rsidR="00954D48" w:rsidRPr="00380794" w:rsidRDefault="00421A5B" w:rsidP="00380794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Mundiales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0A53F" w14:textId="1E28D3AB" w:rsidR="00954D48" w:rsidRPr="00380794" w:rsidRDefault="00954D48" w:rsidP="00216963">
            <w:pPr>
              <w:jc w:val="right"/>
              <w:rPr>
                <w:rFonts w:ascii="Arial" w:hAnsi="Arial" w:cs="Arial"/>
                <w:bCs/>
                <w:lang w:val="es-ES_tradnl"/>
              </w:rPr>
            </w:pPr>
            <w:r w:rsidRPr="00380794">
              <w:rPr>
                <w:rFonts w:ascii="Arial" w:hAnsi="Arial"/>
                <w:bCs/>
                <w:lang w:val="es-ES_tradnl"/>
              </w:rPr>
              <w:t>63</w:t>
            </w:r>
            <w:r w:rsidR="00216963">
              <w:rPr>
                <w:rFonts w:ascii="Arial" w:hAnsi="Arial"/>
                <w:bCs/>
                <w:lang w:val="es-ES_tradnl"/>
              </w:rPr>
              <w:t>.</w:t>
            </w:r>
            <w:r w:rsidRPr="00380794">
              <w:rPr>
                <w:rFonts w:ascii="Arial" w:hAnsi="Arial"/>
                <w:bCs/>
                <w:lang w:val="es-ES_tradnl"/>
              </w:rPr>
              <w:t>478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05A5F" w14:textId="6BC69F36" w:rsidR="00954D48" w:rsidRPr="00380794" w:rsidRDefault="00954D48" w:rsidP="00216963">
            <w:pPr>
              <w:jc w:val="right"/>
              <w:rPr>
                <w:rFonts w:ascii="Arial" w:hAnsi="Arial" w:cs="Arial"/>
                <w:bCs/>
                <w:lang w:val="es-ES_tradnl"/>
              </w:rPr>
            </w:pPr>
            <w:r w:rsidRPr="00380794">
              <w:rPr>
                <w:rFonts w:ascii="Arial" w:hAnsi="Arial"/>
                <w:bCs/>
                <w:lang w:val="es-ES_tradnl"/>
              </w:rPr>
              <w:t>59</w:t>
            </w:r>
            <w:r w:rsidR="00216963">
              <w:rPr>
                <w:rFonts w:ascii="Arial" w:hAnsi="Arial"/>
                <w:bCs/>
                <w:lang w:val="es-ES_tradnl"/>
              </w:rPr>
              <w:t>.</w:t>
            </w:r>
            <w:r w:rsidRPr="00380794">
              <w:rPr>
                <w:rFonts w:ascii="Arial" w:hAnsi="Arial"/>
                <w:bCs/>
                <w:lang w:val="es-ES_tradnl"/>
              </w:rPr>
              <w:t>689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7CB59" w14:textId="77777777" w:rsidR="00954D48" w:rsidRPr="00380794" w:rsidRDefault="00954D48" w:rsidP="00380794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+6%</w:t>
            </w:r>
          </w:p>
        </w:tc>
      </w:tr>
      <w:tr w:rsidR="00954D48" w:rsidRPr="00380794" w14:paraId="570EBF5D" w14:textId="77777777" w:rsidTr="00380794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1B1D92B" w14:textId="08128F84" w:rsidR="00954D48" w:rsidRPr="00380794" w:rsidRDefault="004C62EB" w:rsidP="00380794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Europa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EE4FD78" w14:textId="69F673FF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20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601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DCBCEE" w14:textId="576F2CFF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19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084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C48FC95" w14:textId="77777777" w:rsidR="00954D48" w:rsidRPr="00380794" w:rsidRDefault="00954D48" w:rsidP="00380794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+8%</w:t>
            </w:r>
          </w:p>
        </w:tc>
      </w:tr>
      <w:tr w:rsidR="00954D48" w:rsidRPr="00380794" w14:paraId="70297AC0" w14:textId="77777777" w:rsidTr="00380794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02774" w14:textId="01153D5F" w:rsidR="00954D48" w:rsidRPr="00380794" w:rsidRDefault="00954D48" w:rsidP="004C62EB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80794">
              <w:rPr>
                <w:rFonts w:ascii="Arial" w:hAnsi="Arial"/>
                <w:b/>
                <w:bCs/>
                <w:lang w:val="es-ES_tradnl"/>
              </w:rPr>
              <w:t xml:space="preserve">   </w:t>
            </w:r>
            <w:r w:rsidR="004C62EB">
              <w:rPr>
                <w:rFonts w:ascii="Arial" w:hAnsi="Arial"/>
                <w:b/>
                <w:bCs/>
                <w:lang w:val="es-ES_tradnl"/>
              </w:rPr>
              <w:t>Alemania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670B9" w14:textId="2441B39E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7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724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2C1E" w14:textId="09ED60A2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7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C5C9A" w14:textId="77777777" w:rsidR="00954D48" w:rsidRPr="00380794" w:rsidRDefault="00954D48" w:rsidP="00380794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+8%</w:t>
            </w:r>
          </w:p>
        </w:tc>
      </w:tr>
      <w:tr w:rsidR="00954D48" w:rsidRPr="00380794" w14:paraId="1E544ECB" w14:textId="77777777" w:rsidTr="00380794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2570CDE" w14:textId="0B12329D" w:rsidR="00954D48" w:rsidRPr="00380794" w:rsidRDefault="004C62EB" w:rsidP="004C62E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Amé</w:t>
            </w:r>
            <w:r w:rsidR="00954D48" w:rsidRPr="00380794">
              <w:rPr>
                <w:rFonts w:ascii="Arial" w:hAnsi="Arial"/>
                <w:b/>
                <w:bCs/>
                <w:lang w:val="es-ES_tradnl"/>
              </w:rPr>
              <w:t>rica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955087" w14:textId="03EA279B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16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598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B3F2781" w14:textId="72C81BDA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15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099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0DB7641" w14:textId="77777777" w:rsidR="00954D48" w:rsidRPr="00380794" w:rsidRDefault="00954D48" w:rsidP="00380794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+10%</w:t>
            </w:r>
          </w:p>
        </w:tc>
      </w:tr>
      <w:tr w:rsidR="00954D48" w:rsidRPr="00380794" w14:paraId="528705AC" w14:textId="77777777" w:rsidTr="00380794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F778C" w14:textId="4E229EAF" w:rsidR="00954D48" w:rsidRPr="00380794" w:rsidRDefault="00954D48" w:rsidP="004621FF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80794">
              <w:rPr>
                <w:rFonts w:ascii="Arial" w:hAnsi="Arial"/>
                <w:b/>
                <w:bCs/>
                <w:lang w:val="es-ES_tradnl"/>
              </w:rPr>
              <w:t xml:space="preserve">   </w:t>
            </w:r>
            <w:r w:rsidR="004621FF">
              <w:rPr>
                <w:rFonts w:ascii="Arial" w:hAnsi="Arial"/>
                <w:b/>
                <w:bCs/>
                <w:lang w:val="es-ES_tradnl"/>
              </w:rPr>
              <w:t>EE.UU.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9F95F" w14:textId="5831B20D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13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954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07E3E" w14:textId="334EAAA9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12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718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7C400" w14:textId="77777777" w:rsidR="00954D48" w:rsidRPr="00380794" w:rsidRDefault="00954D48" w:rsidP="00380794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+10%</w:t>
            </w:r>
          </w:p>
        </w:tc>
      </w:tr>
      <w:tr w:rsidR="00954D48" w:rsidRPr="00380794" w14:paraId="110D3246" w14:textId="77777777" w:rsidTr="00380794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0F187E1" w14:textId="25193F7A" w:rsidR="00954D48" w:rsidRPr="00380794" w:rsidRDefault="004C62EB" w:rsidP="004C62EB">
            <w:pPr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/>
                <w:b/>
                <w:bCs/>
                <w:lang w:val="es-ES_tradnl"/>
              </w:rPr>
              <w:t>Asia-Pací</w:t>
            </w:r>
            <w:r w:rsidR="00954D48" w:rsidRPr="00380794">
              <w:rPr>
                <w:rFonts w:ascii="Arial" w:hAnsi="Arial"/>
                <w:b/>
                <w:bCs/>
                <w:lang w:val="es-ES_tradnl"/>
              </w:rPr>
              <w:t>fic</w:t>
            </w:r>
            <w:r>
              <w:rPr>
                <w:rFonts w:ascii="Arial" w:hAnsi="Arial"/>
                <w:b/>
                <w:bCs/>
                <w:lang w:val="es-ES_tradnl"/>
              </w:rPr>
              <w:t>o</w:t>
            </w:r>
            <w:r w:rsidR="00954D48" w:rsidRPr="00380794">
              <w:rPr>
                <w:rFonts w:ascii="Arial" w:hAnsi="Arial"/>
                <w:b/>
                <w:bCs/>
                <w:lang w:val="es-ES_tradnl"/>
              </w:rPr>
              <w:t xml:space="preserve">, </w:t>
            </w:r>
            <w:r w:rsidRPr="00380794">
              <w:rPr>
                <w:rFonts w:ascii="Arial" w:hAnsi="Arial"/>
                <w:b/>
                <w:bCs/>
                <w:lang w:val="es-ES_tradnl"/>
              </w:rPr>
              <w:t>África</w:t>
            </w:r>
            <w:r w:rsidR="00954D48" w:rsidRPr="00380794">
              <w:rPr>
                <w:rFonts w:ascii="Arial" w:hAnsi="Arial"/>
                <w:b/>
                <w:bCs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bCs/>
                <w:lang w:val="es-ES_tradnl"/>
              </w:rPr>
              <w:t>y</w:t>
            </w:r>
            <w:r w:rsidR="00954D48" w:rsidRPr="00380794">
              <w:rPr>
                <w:rFonts w:ascii="Arial" w:hAnsi="Arial"/>
                <w:b/>
                <w:bCs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bCs/>
                <w:lang w:val="es-ES_tradnl"/>
              </w:rPr>
              <w:t>Medio Oriente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CF687E5" w14:textId="7824484B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26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279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C84F22" w14:textId="2EFA327A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25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506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7909767" w14:textId="77777777" w:rsidR="00954D48" w:rsidRPr="00380794" w:rsidRDefault="00954D48" w:rsidP="00380794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+3%</w:t>
            </w:r>
          </w:p>
        </w:tc>
      </w:tr>
      <w:tr w:rsidR="00954D48" w:rsidRPr="00380794" w14:paraId="16B5DD9D" w14:textId="77777777" w:rsidTr="00380794">
        <w:trPr>
          <w:trHeight w:val="288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E5177" w14:textId="77777777" w:rsidR="00954D48" w:rsidRPr="00380794" w:rsidRDefault="00954D48" w:rsidP="00380794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380794">
              <w:rPr>
                <w:rFonts w:ascii="Arial" w:hAnsi="Arial"/>
                <w:b/>
                <w:bCs/>
                <w:lang w:val="es-ES_tradnl"/>
              </w:rPr>
              <w:t xml:space="preserve">   China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183F" w14:textId="114C5288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18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672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716CE" w14:textId="6017755E" w:rsidR="00954D48" w:rsidRPr="00380794" w:rsidRDefault="00954D48" w:rsidP="00216963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18</w:t>
            </w:r>
            <w:r w:rsidR="00216963">
              <w:rPr>
                <w:rFonts w:ascii="Arial" w:hAnsi="Arial"/>
                <w:lang w:val="es-ES_tradnl"/>
              </w:rPr>
              <w:t>.</w:t>
            </w:r>
            <w:r w:rsidRPr="00380794">
              <w:rPr>
                <w:rFonts w:ascii="Arial" w:hAnsi="Arial"/>
                <w:lang w:val="es-ES_tradnl"/>
              </w:rPr>
              <w:t>126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2C896" w14:textId="77777777" w:rsidR="00954D48" w:rsidRPr="00380794" w:rsidRDefault="00954D48" w:rsidP="00380794">
            <w:pPr>
              <w:jc w:val="right"/>
              <w:rPr>
                <w:rFonts w:ascii="Arial" w:hAnsi="Arial" w:cs="Arial"/>
                <w:lang w:val="es-ES_tradnl"/>
              </w:rPr>
            </w:pPr>
            <w:r w:rsidRPr="00380794">
              <w:rPr>
                <w:rFonts w:ascii="Arial" w:hAnsi="Arial"/>
                <w:lang w:val="es-ES_tradnl"/>
              </w:rPr>
              <w:t>+3%</w:t>
            </w:r>
          </w:p>
        </w:tc>
      </w:tr>
    </w:tbl>
    <w:p w14:paraId="4038FE54" w14:textId="77777777" w:rsidR="00954D48" w:rsidRPr="00380794" w:rsidRDefault="00954D48" w:rsidP="00954D48">
      <w:pPr>
        <w:pStyle w:val="Presse-Standard"/>
        <w:rPr>
          <w:color w:val="000000" w:themeColor="text1"/>
          <w:lang w:val="es-ES_tradnl"/>
        </w:rPr>
      </w:pPr>
    </w:p>
    <w:p w14:paraId="4FAC2859" w14:textId="76A93EF9" w:rsidR="006A0AA5" w:rsidRPr="00380794" w:rsidRDefault="00216963" w:rsidP="00216963">
      <w:pPr>
        <w:pStyle w:val="Presse-Standard"/>
        <w:widowControl w:val="0"/>
        <w:suppressAutoHyphens/>
        <w:spacing w:line="240" w:lineRule="auto"/>
        <w:rPr>
          <w:color w:val="000000" w:themeColor="text1"/>
          <w:sz w:val="20"/>
          <w:lang w:val="es-ES_tradnl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</w:p>
    <w:sectPr w:rsidR="006A0AA5" w:rsidRPr="00380794" w:rsidSect="003E5E9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701" w:left="1418" w:header="964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2C5E" w14:textId="77777777" w:rsidR="000C1FD0" w:rsidRDefault="000C1FD0">
      <w:r>
        <w:separator/>
      </w:r>
    </w:p>
  </w:endnote>
  <w:endnote w:type="continuationSeparator" w:id="0">
    <w:p w14:paraId="79781DDF" w14:textId="77777777" w:rsidR="000C1FD0" w:rsidRDefault="000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charset w:val="00"/>
    <w:family w:val="swiss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3CB75C19" w:rsidR="00057135" w:rsidRPr="00576483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 xml:space="preserve">Porsche </w:t>
    </w:r>
    <w:proofErr w:type="spellStart"/>
    <w:r w:rsidRPr="00EA2FE8">
      <w:rPr>
        <w:rFonts w:ascii="Arial" w:hAnsi="Arial" w:cs="Arial"/>
        <w:lang w:val="es-CO"/>
      </w:rPr>
      <w:t>Latin</w:t>
    </w:r>
    <w:proofErr w:type="spellEnd"/>
    <w:r w:rsidRPr="00EA2FE8">
      <w:rPr>
        <w:rFonts w:ascii="Arial" w:hAnsi="Arial" w:cs="Arial"/>
        <w:lang w:val="es-CO"/>
      </w:rPr>
      <w:t xml:space="preserve"> </w:t>
    </w:r>
    <w:proofErr w:type="spellStart"/>
    <w:r w:rsidRPr="00EA2FE8">
      <w:rPr>
        <w:rFonts w:ascii="Arial" w:hAnsi="Arial" w:cs="Arial"/>
        <w:lang w:val="es-CO"/>
      </w:rPr>
      <w:t>America</w:t>
    </w:r>
    <w:proofErr w:type="spellEnd"/>
    <w:r w:rsidRPr="00EA2FE8">
      <w:rPr>
        <w:rFonts w:ascii="Arial" w:hAnsi="Arial" w:cs="Arial"/>
        <w:lang w:val="es-CO"/>
      </w:rPr>
      <w:t>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F74E67">
      <w:rPr>
        <w:rFonts w:ascii="Arial" w:hAnsi="Arial" w:cs="Arial"/>
        <w:noProof/>
        <w:lang w:val="es-CO"/>
      </w:rPr>
      <w:t>3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>
      <w:rPr>
        <w:rFonts w:ascii="Arial" w:hAnsi="Arial" w:cs="Arial"/>
      </w:rPr>
      <w:fldChar w:fldCharType="begin"/>
    </w:r>
    <w:r w:rsidRPr="00576483">
      <w:rPr>
        <w:rFonts w:ascii="Arial" w:hAnsi="Arial" w:cs="Arial"/>
        <w:lang w:val="es-CO"/>
      </w:rPr>
      <w:instrText xml:space="preserve"> NUMPAGES </w:instrText>
    </w:r>
    <w:r>
      <w:rPr>
        <w:rFonts w:ascii="Arial" w:hAnsi="Arial" w:cs="Arial"/>
      </w:rPr>
      <w:fldChar w:fldCharType="separate"/>
    </w:r>
    <w:r w:rsidR="00F74E67">
      <w:rPr>
        <w:rFonts w:ascii="Arial" w:hAnsi="Arial" w:cs="Arial"/>
        <w:noProof/>
        <w:lang w:val="es-CO"/>
      </w:rPr>
      <w:t>3</w:t>
    </w:r>
    <w:r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420962D" w:rsidR="00057135" w:rsidRPr="00EA2FE8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EA2FE8">
      <w:rPr>
        <w:rFonts w:ascii="Arial" w:hAnsi="Arial" w:cs="Arial"/>
        <w:lang w:val="en-US"/>
      </w:rPr>
      <w:t>200 S Biscayne Blvd. Suite 4620</w:t>
    </w:r>
    <w:r w:rsidRPr="00EA2FE8">
      <w:rPr>
        <w:rFonts w:ascii="Arial" w:hAnsi="Arial" w:cs="Arial"/>
        <w:lang w:val="en-US"/>
      </w:rPr>
      <w:tab/>
      <w:t>Tim Bravo</w:t>
    </w:r>
  </w:p>
  <w:p w14:paraId="55132E63" w14:textId="238B2816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>Miami, FL 33131</w:t>
    </w: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 xml:space="preserve">Teléfono </w:t>
    </w:r>
    <w:r w:rsidRPr="00576483">
      <w:rPr>
        <w:rFonts w:ascii="Arial" w:hAnsi="Arial" w:cs="Arial"/>
        <w:lang w:val="es-CO"/>
      </w:rPr>
      <w:t>+1 770 290 8305</w:t>
    </w:r>
  </w:p>
  <w:p w14:paraId="4C3C25E8" w14:textId="59E74F6F" w:rsidR="00057135" w:rsidRPr="00576483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CO"/>
      </w:rPr>
    </w:pPr>
    <w:r w:rsidRPr="00576483">
      <w:rPr>
        <w:rFonts w:ascii="Arial" w:hAnsi="Arial" w:cs="Arial"/>
        <w:lang w:val="es-CO"/>
      </w:rPr>
      <w:tab/>
    </w:r>
    <w:r w:rsidRPr="00070967">
      <w:rPr>
        <w:rFonts w:ascii="Arial" w:hAnsi="Arial" w:cs="Arial"/>
        <w:lang w:val="es-ES_tradnl"/>
      </w:rPr>
      <w:t>Correo electrónico</w:t>
    </w:r>
    <w:r w:rsidRPr="00576483">
      <w:rPr>
        <w:rFonts w:ascii="Arial" w:hAnsi="Arial" w:cs="Arial"/>
        <w:lang w:val="es-CO"/>
      </w:rPr>
      <w:t>: tim.bravo@porschelatinamerica.com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2F924416" w:rsidR="00057135" w:rsidRPr="00070967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 xml:space="preserve">Porsche </w:t>
    </w:r>
    <w:proofErr w:type="spellStart"/>
    <w:r w:rsidRPr="00070967">
      <w:rPr>
        <w:rFonts w:ascii="Arial" w:hAnsi="Arial" w:cs="Arial"/>
        <w:lang w:val="es-ES_tradnl"/>
      </w:rPr>
      <w:t>Latin</w:t>
    </w:r>
    <w:proofErr w:type="spellEnd"/>
    <w:r w:rsidRPr="00070967">
      <w:rPr>
        <w:rFonts w:ascii="Arial" w:hAnsi="Arial" w:cs="Arial"/>
        <w:lang w:val="es-ES_tradnl"/>
      </w:rPr>
      <w:t xml:space="preserve"> </w:t>
    </w:r>
    <w:proofErr w:type="spellStart"/>
    <w:r w:rsidRPr="00070967">
      <w:rPr>
        <w:rFonts w:ascii="Arial" w:hAnsi="Arial" w:cs="Arial"/>
        <w:lang w:val="es-ES_tradnl"/>
      </w:rPr>
      <w:t>America</w:t>
    </w:r>
    <w:proofErr w:type="spellEnd"/>
    <w:r w:rsidRPr="00070967">
      <w:rPr>
        <w:rFonts w:ascii="Arial" w:hAnsi="Arial" w:cs="Arial"/>
        <w:lang w:val="es-ES_tradnl"/>
      </w:rPr>
      <w:t>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F74E67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Pr="00070967">
      <w:rPr>
        <w:rFonts w:ascii="Arial" w:hAnsi="Arial" w:cs="Arial"/>
        <w:lang w:val="es-ES_tradnl"/>
      </w:rPr>
      <w:t xml:space="preserve"> 3</w:t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2FD00CB" w:rsidR="00057135" w:rsidRPr="00576483" w:rsidRDefault="00057135" w:rsidP="003E5E9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n-US"/>
      </w:rPr>
    </w:pPr>
    <w:r w:rsidRPr="00576483">
      <w:rPr>
        <w:rFonts w:ascii="Arial" w:hAnsi="Arial" w:cs="Arial"/>
        <w:lang w:val="en-US"/>
      </w:rPr>
      <w:t>200 S Biscayne Blvd. Suite 4620</w:t>
    </w:r>
    <w:r w:rsidRPr="00576483">
      <w:rPr>
        <w:rFonts w:ascii="Arial" w:hAnsi="Arial" w:cs="Arial"/>
        <w:lang w:val="en-US"/>
      </w:rPr>
      <w:tab/>
      <w:t>Tim Bravo</w:t>
    </w:r>
  </w:p>
  <w:p w14:paraId="1E6001D1" w14:textId="2AF7E7C7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Miami, FL 33131</w:t>
    </w:r>
    <w:r w:rsidRPr="00070967">
      <w:rPr>
        <w:rFonts w:ascii="Arial" w:hAnsi="Arial" w:cs="Arial"/>
        <w:lang w:val="es-ES_tradnl"/>
      </w:rPr>
      <w:tab/>
      <w:t>Teléfono +1 770 290 8305</w:t>
    </w:r>
  </w:p>
  <w:p w14:paraId="0B7704E2" w14:textId="640D209A" w:rsidR="00057135" w:rsidRPr="00070967" w:rsidRDefault="00057135" w:rsidP="003E5E96">
    <w:pPr>
      <w:pStyle w:val="Presse-Fuzeile"/>
      <w:pBdr>
        <w:bottom w:val="none" w:sz="0" w:space="0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ab/>
      <w:t>Correo electrónico: tim.bravo@porschelatinamerica.com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89FCA" w14:textId="77777777" w:rsidR="000C1FD0" w:rsidRDefault="000C1FD0">
      <w:r>
        <w:separator/>
      </w:r>
    </w:p>
  </w:footnote>
  <w:footnote w:type="continuationSeparator" w:id="0">
    <w:p w14:paraId="4FFAE964" w14:textId="77777777" w:rsidR="000C1FD0" w:rsidRDefault="000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52852E06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Pr="00070967">
      <w:rPr>
        <w:rFonts w:ascii="Arial" w:hAnsi="Arial"/>
        <w:b/>
        <w:sz w:val="24"/>
        <w:lang w:val="es-ES_tradnl"/>
      </w:rPr>
      <w:t>11 de abril</w:t>
    </w:r>
    <w:r w:rsidR="00B15DE2"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F74E6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1.35pt;height:70pt;z-index:251657728;visibility:visible;mso-wrap-edited:f">
          <v:imagedata r:id="rId1" o:title="" gain="1.25"/>
        </v:shape>
        <o:OLEObject Type="Embed" ProgID="Word.Picture.8" ShapeID="_x0000_s2049" DrawAspect="Content" ObjectID="_1584956676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6A9C59D4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B15DE2">
      <w:rPr>
        <w:rFonts w:ascii="Arial" w:hAnsi="Arial"/>
        <w:b/>
        <w:sz w:val="24"/>
        <w:lang w:val="es-ES_tradnl"/>
      </w:rPr>
      <w:t>11 de abril 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576483" w:rsidRDefault="00057135">
    <w:pPr>
      <w:pStyle w:val="Presse-Titel"/>
      <w:jc w:val="right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71E5"/>
    <w:rsid w:val="00077CBE"/>
    <w:rsid w:val="0008222F"/>
    <w:rsid w:val="00086115"/>
    <w:rsid w:val="000863B9"/>
    <w:rsid w:val="000868BC"/>
    <w:rsid w:val="000906A6"/>
    <w:rsid w:val="000944F1"/>
    <w:rsid w:val="000955E4"/>
    <w:rsid w:val="000A298C"/>
    <w:rsid w:val="000A75B2"/>
    <w:rsid w:val="000B15A3"/>
    <w:rsid w:val="000B4C5C"/>
    <w:rsid w:val="000B4E64"/>
    <w:rsid w:val="000B4F85"/>
    <w:rsid w:val="000C0F0D"/>
    <w:rsid w:val="000C1A6C"/>
    <w:rsid w:val="000C1FD0"/>
    <w:rsid w:val="000C3088"/>
    <w:rsid w:val="000E0A12"/>
    <w:rsid w:val="000E271F"/>
    <w:rsid w:val="000E388E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52B4"/>
    <w:rsid w:val="00137E8C"/>
    <w:rsid w:val="001400A7"/>
    <w:rsid w:val="00142DE8"/>
    <w:rsid w:val="00146BBB"/>
    <w:rsid w:val="001631C0"/>
    <w:rsid w:val="00163F23"/>
    <w:rsid w:val="001703EC"/>
    <w:rsid w:val="00175EF0"/>
    <w:rsid w:val="001769A7"/>
    <w:rsid w:val="001816C7"/>
    <w:rsid w:val="00182BE3"/>
    <w:rsid w:val="00190426"/>
    <w:rsid w:val="0019042A"/>
    <w:rsid w:val="00192971"/>
    <w:rsid w:val="001A286D"/>
    <w:rsid w:val="001A4621"/>
    <w:rsid w:val="001A72F1"/>
    <w:rsid w:val="001B0D08"/>
    <w:rsid w:val="001B6887"/>
    <w:rsid w:val="001B7983"/>
    <w:rsid w:val="001C1F89"/>
    <w:rsid w:val="001D5703"/>
    <w:rsid w:val="001D6E42"/>
    <w:rsid w:val="001E10E7"/>
    <w:rsid w:val="001E3B41"/>
    <w:rsid w:val="001E3F51"/>
    <w:rsid w:val="001E7B1C"/>
    <w:rsid w:val="001F3214"/>
    <w:rsid w:val="001F386E"/>
    <w:rsid w:val="001F3B14"/>
    <w:rsid w:val="00200A40"/>
    <w:rsid w:val="0020233C"/>
    <w:rsid w:val="0020247B"/>
    <w:rsid w:val="00202CBC"/>
    <w:rsid w:val="00202F11"/>
    <w:rsid w:val="002041C3"/>
    <w:rsid w:val="00205BD4"/>
    <w:rsid w:val="0020768C"/>
    <w:rsid w:val="00207EDC"/>
    <w:rsid w:val="00211531"/>
    <w:rsid w:val="00216963"/>
    <w:rsid w:val="00220E8D"/>
    <w:rsid w:val="0022108F"/>
    <w:rsid w:val="00222F58"/>
    <w:rsid w:val="00223612"/>
    <w:rsid w:val="0022519D"/>
    <w:rsid w:val="002372C2"/>
    <w:rsid w:val="00241DA6"/>
    <w:rsid w:val="00246650"/>
    <w:rsid w:val="0024783E"/>
    <w:rsid w:val="0025404B"/>
    <w:rsid w:val="002540BB"/>
    <w:rsid w:val="0025473D"/>
    <w:rsid w:val="00256814"/>
    <w:rsid w:val="002601E7"/>
    <w:rsid w:val="0026131F"/>
    <w:rsid w:val="00264051"/>
    <w:rsid w:val="00266980"/>
    <w:rsid w:val="00271E16"/>
    <w:rsid w:val="002752A9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F59"/>
    <w:rsid w:val="002C7D11"/>
    <w:rsid w:val="002D7607"/>
    <w:rsid w:val="002E09A1"/>
    <w:rsid w:val="002E23DF"/>
    <w:rsid w:val="002E2EF1"/>
    <w:rsid w:val="002E50D4"/>
    <w:rsid w:val="002E5326"/>
    <w:rsid w:val="002E7A11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607C8"/>
    <w:rsid w:val="0036243F"/>
    <w:rsid w:val="00362446"/>
    <w:rsid w:val="00364F4B"/>
    <w:rsid w:val="00372DDA"/>
    <w:rsid w:val="00373545"/>
    <w:rsid w:val="00373FA4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289E"/>
    <w:rsid w:val="003D3169"/>
    <w:rsid w:val="003D440B"/>
    <w:rsid w:val="003E078E"/>
    <w:rsid w:val="003E5520"/>
    <w:rsid w:val="003E5E96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54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4D4E"/>
    <w:rsid w:val="004D6068"/>
    <w:rsid w:val="004E0A75"/>
    <w:rsid w:val="004E26A9"/>
    <w:rsid w:val="004E2BB2"/>
    <w:rsid w:val="004E3B04"/>
    <w:rsid w:val="004E5FC4"/>
    <w:rsid w:val="004E7AC1"/>
    <w:rsid w:val="004F1D33"/>
    <w:rsid w:val="004F7B2A"/>
    <w:rsid w:val="00500E27"/>
    <w:rsid w:val="005019D2"/>
    <w:rsid w:val="00502BA4"/>
    <w:rsid w:val="00503F6C"/>
    <w:rsid w:val="005114D6"/>
    <w:rsid w:val="00517357"/>
    <w:rsid w:val="005179E4"/>
    <w:rsid w:val="005208E4"/>
    <w:rsid w:val="00521331"/>
    <w:rsid w:val="00522565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64E97"/>
    <w:rsid w:val="0056544B"/>
    <w:rsid w:val="00566FE7"/>
    <w:rsid w:val="00573218"/>
    <w:rsid w:val="00576483"/>
    <w:rsid w:val="00576869"/>
    <w:rsid w:val="0057688D"/>
    <w:rsid w:val="005807D8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B01CB"/>
    <w:rsid w:val="005B4339"/>
    <w:rsid w:val="005B54FA"/>
    <w:rsid w:val="005C49DB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605A3F"/>
    <w:rsid w:val="00606EB9"/>
    <w:rsid w:val="00606FDC"/>
    <w:rsid w:val="0061215B"/>
    <w:rsid w:val="0061303E"/>
    <w:rsid w:val="00631B2E"/>
    <w:rsid w:val="00640780"/>
    <w:rsid w:val="00640860"/>
    <w:rsid w:val="00640D9D"/>
    <w:rsid w:val="00642E6B"/>
    <w:rsid w:val="00643C3F"/>
    <w:rsid w:val="00647DE7"/>
    <w:rsid w:val="00650613"/>
    <w:rsid w:val="00650624"/>
    <w:rsid w:val="006509D6"/>
    <w:rsid w:val="006553BF"/>
    <w:rsid w:val="00656FBA"/>
    <w:rsid w:val="0066606F"/>
    <w:rsid w:val="00670F8E"/>
    <w:rsid w:val="0067418B"/>
    <w:rsid w:val="006746DD"/>
    <w:rsid w:val="006771ED"/>
    <w:rsid w:val="0067739A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68F9"/>
    <w:rsid w:val="006F7835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22B7A"/>
    <w:rsid w:val="007242EA"/>
    <w:rsid w:val="0072492E"/>
    <w:rsid w:val="0073191A"/>
    <w:rsid w:val="007352A1"/>
    <w:rsid w:val="00735F5A"/>
    <w:rsid w:val="00744C0D"/>
    <w:rsid w:val="00745BED"/>
    <w:rsid w:val="0075004A"/>
    <w:rsid w:val="007517C2"/>
    <w:rsid w:val="00751F3A"/>
    <w:rsid w:val="00752D90"/>
    <w:rsid w:val="00764330"/>
    <w:rsid w:val="00766EA0"/>
    <w:rsid w:val="0076785C"/>
    <w:rsid w:val="0077024B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7FD6"/>
    <w:rsid w:val="007F5799"/>
    <w:rsid w:val="00802785"/>
    <w:rsid w:val="0080496D"/>
    <w:rsid w:val="00807703"/>
    <w:rsid w:val="00811177"/>
    <w:rsid w:val="0081518D"/>
    <w:rsid w:val="00815759"/>
    <w:rsid w:val="00823BA5"/>
    <w:rsid w:val="0082449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B3132"/>
    <w:rsid w:val="008B4ECB"/>
    <w:rsid w:val="008B5BCB"/>
    <w:rsid w:val="008B70A8"/>
    <w:rsid w:val="008C025C"/>
    <w:rsid w:val="008C03A5"/>
    <w:rsid w:val="008C070C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506D"/>
    <w:rsid w:val="00923A99"/>
    <w:rsid w:val="00926177"/>
    <w:rsid w:val="00930416"/>
    <w:rsid w:val="009326F4"/>
    <w:rsid w:val="00933B1B"/>
    <w:rsid w:val="00942B4A"/>
    <w:rsid w:val="00943CD3"/>
    <w:rsid w:val="00946764"/>
    <w:rsid w:val="00950C9F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2D2D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C2D42"/>
    <w:rsid w:val="009D2456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44B73"/>
    <w:rsid w:val="00A47CCA"/>
    <w:rsid w:val="00A50DB3"/>
    <w:rsid w:val="00A51508"/>
    <w:rsid w:val="00A526B9"/>
    <w:rsid w:val="00A57E26"/>
    <w:rsid w:val="00A609E0"/>
    <w:rsid w:val="00A70716"/>
    <w:rsid w:val="00A72B18"/>
    <w:rsid w:val="00A75AB8"/>
    <w:rsid w:val="00A76620"/>
    <w:rsid w:val="00A84DD1"/>
    <w:rsid w:val="00A9433A"/>
    <w:rsid w:val="00A97486"/>
    <w:rsid w:val="00AA07DA"/>
    <w:rsid w:val="00AA35CC"/>
    <w:rsid w:val="00AA47C6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6C9D"/>
    <w:rsid w:val="00B37013"/>
    <w:rsid w:val="00B37B68"/>
    <w:rsid w:val="00B40106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B3D11"/>
    <w:rsid w:val="00BB4799"/>
    <w:rsid w:val="00BC0996"/>
    <w:rsid w:val="00BC09BC"/>
    <w:rsid w:val="00BC0FA2"/>
    <w:rsid w:val="00BC2916"/>
    <w:rsid w:val="00BC29EE"/>
    <w:rsid w:val="00BC4571"/>
    <w:rsid w:val="00BD1235"/>
    <w:rsid w:val="00BD3086"/>
    <w:rsid w:val="00BE191C"/>
    <w:rsid w:val="00BE2C99"/>
    <w:rsid w:val="00BE60CB"/>
    <w:rsid w:val="00BF0E7B"/>
    <w:rsid w:val="00BF0F17"/>
    <w:rsid w:val="00BF264C"/>
    <w:rsid w:val="00BF6162"/>
    <w:rsid w:val="00C033AC"/>
    <w:rsid w:val="00C03FD8"/>
    <w:rsid w:val="00C10D18"/>
    <w:rsid w:val="00C118B7"/>
    <w:rsid w:val="00C1236E"/>
    <w:rsid w:val="00C1272B"/>
    <w:rsid w:val="00C15666"/>
    <w:rsid w:val="00C22AE1"/>
    <w:rsid w:val="00C23C14"/>
    <w:rsid w:val="00C24C4B"/>
    <w:rsid w:val="00C279FE"/>
    <w:rsid w:val="00C3016E"/>
    <w:rsid w:val="00C31A05"/>
    <w:rsid w:val="00C3409D"/>
    <w:rsid w:val="00C34863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8047F"/>
    <w:rsid w:val="00C82CB1"/>
    <w:rsid w:val="00C82E3F"/>
    <w:rsid w:val="00C92FCA"/>
    <w:rsid w:val="00C93293"/>
    <w:rsid w:val="00C95E8B"/>
    <w:rsid w:val="00CA1225"/>
    <w:rsid w:val="00CA156E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C32C4"/>
    <w:rsid w:val="00CD3863"/>
    <w:rsid w:val="00CD51A3"/>
    <w:rsid w:val="00CD55AD"/>
    <w:rsid w:val="00CE1A6D"/>
    <w:rsid w:val="00CE23B0"/>
    <w:rsid w:val="00CE2A51"/>
    <w:rsid w:val="00CE37BB"/>
    <w:rsid w:val="00CE4D75"/>
    <w:rsid w:val="00CE602E"/>
    <w:rsid w:val="00CE731D"/>
    <w:rsid w:val="00CE75F2"/>
    <w:rsid w:val="00CE7E92"/>
    <w:rsid w:val="00CF5B78"/>
    <w:rsid w:val="00D00B48"/>
    <w:rsid w:val="00D03C29"/>
    <w:rsid w:val="00D04B15"/>
    <w:rsid w:val="00D07963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5849"/>
    <w:rsid w:val="00D8673D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C168C"/>
    <w:rsid w:val="00DC26EA"/>
    <w:rsid w:val="00DD3E5C"/>
    <w:rsid w:val="00DE1DFE"/>
    <w:rsid w:val="00DE6E77"/>
    <w:rsid w:val="00DF0A28"/>
    <w:rsid w:val="00DF2B09"/>
    <w:rsid w:val="00DF35F9"/>
    <w:rsid w:val="00DF37F6"/>
    <w:rsid w:val="00DF45DF"/>
    <w:rsid w:val="00DF4690"/>
    <w:rsid w:val="00DF4EA0"/>
    <w:rsid w:val="00DF796A"/>
    <w:rsid w:val="00E01E12"/>
    <w:rsid w:val="00E06C13"/>
    <w:rsid w:val="00E10466"/>
    <w:rsid w:val="00E10F0A"/>
    <w:rsid w:val="00E11278"/>
    <w:rsid w:val="00E11A5B"/>
    <w:rsid w:val="00E17147"/>
    <w:rsid w:val="00E17244"/>
    <w:rsid w:val="00E20C51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76AA"/>
    <w:rsid w:val="00E810D2"/>
    <w:rsid w:val="00E81F8D"/>
    <w:rsid w:val="00E86054"/>
    <w:rsid w:val="00E86B23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E53"/>
    <w:rsid w:val="00EE043F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454"/>
    <w:rsid w:val="00F057A6"/>
    <w:rsid w:val="00F05D81"/>
    <w:rsid w:val="00F1411A"/>
    <w:rsid w:val="00F14EF7"/>
    <w:rsid w:val="00F20C97"/>
    <w:rsid w:val="00F22879"/>
    <w:rsid w:val="00F22E6B"/>
    <w:rsid w:val="00F246DF"/>
    <w:rsid w:val="00F36375"/>
    <w:rsid w:val="00F417EE"/>
    <w:rsid w:val="00F46358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549E"/>
    <w:rsid w:val="00FC3326"/>
    <w:rsid w:val="00FD0A44"/>
    <w:rsid w:val="00FD57B2"/>
    <w:rsid w:val="00FD59E8"/>
    <w:rsid w:val="00FE0B5A"/>
    <w:rsid w:val="00FF049D"/>
    <w:rsid w:val="00FF13F4"/>
    <w:rsid w:val="00FF26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8C9E6874-99D2-46DB-AB2E-26452837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semiHidden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CC0A-AD41-41BE-9CB4-5B6C2623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607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3967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Carlos Munera</cp:lastModifiedBy>
  <cp:revision>6</cp:revision>
  <cp:lastPrinted>2017-01-10T13:18:00Z</cp:lastPrinted>
  <dcterms:created xsi:type="dcterms:W3CDTF">2018-04-11T16:24:00Z</dcterms:created>
  <dcterms:modified xsi:type="dcterms:W3CDTF">2018-04-11T16:57:00Z</dcterms:modified>
</cp:coreProperties>
</file>