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69" w:rsidRPr="00A24469" w:rsidRDefault="00A91378" w:rsidP="00A24469">
      <w:pPr>
        <w:jc w:val="center"/>
        <w:rPr>
          <w:sz w:val="28"/>
          <w:szCs w:val="28"/>
        </w:rPr>
      </w:pPr>
      <w:r w:rsidRPr="00A24469">
        <w:rPr>
          <w:sz w:val="28"/>
          <w:szCs w:val="28"/>
        </w:rPr>
        <w:t>De regering valt in begrotingsput die ze zelf heeft gegraven</w:t>
      </w:r>
    </w:p>
    <w:p w:rsidR="00702F60" w:rsidRPr="00A24469" w:rsidRDefault="00702F60" w:rsidP="00A24469">
      <w:pPr>
        <w:jc w:val="center"/>
      </w:pPr>
      <w:r w:rsidRPr="00A24469">
        <w:t>Johan Vande Lanotte en Karin Temmerman</w:t>
      </w:r>
    </w:p>
    <w:p w:rsidR="00736338" w:rsidRPr="00736338" w:rsidRDefault="00736338" w:rsidP="00736338">
      <w:pPr>
        <w:pStyle w:val="Tekstzonderopmaak"/>
        <w:rPr>
          <w:rFonts w:asciiTheme="minorHAnsi" w:hAnsiTheme="minorHAnsi"/>
          <w:sz w:val="24"/>
          <w:szCs w:val="24"/>
        </w:rPr>
      </w:pPr>
      <w:r w:rsidRPr="00736338">
        <w:rPr>
          <w:rFonts w:asciiTheme="minorHAnsi" w:hAnsiTheme="minorHAnsi"/>
          <w:sz w:val="24"/>
          <w:szCs w:val="24"/>
        </w:rPr>
        <w:t>De realiteit haalt de mooipraterij van deze regering in. De ontsporing van de begroting was meermaals aangekondigd, maar de regering wou niet luisteren. De kranten berichtten vandaag over een tekort in de begroting van bijna twee miljard.  De regering moet stoppen met cadeaus uit te delen</w:t>
      </w:r>
      <w:r>
        <w:rPr>
          <w:rFonts w:asciiTheme="minorHAnsi" w:hAnsiTheme="minorHAnsi"/>
          <w:sz w:val="24"/>
          <w:szCs w:val="24"/>
        </w:rPr>
        <w:t xml:space="preserve"> aan de diamantsector, de multi</w:t>
      </w:r>
      <w:r w:rsidRPr="00736338">
        <w:rPr>
          <w:rFonts w:asciiTheme="minorHAnsi" w:hAnsiTheme="minorHAnsi"/>
          <w:sz w:val="24"/>
          <w:szCs w:val="24"/>
        </w:rPr>
        <w:t>nationals en Electrab</w:t>
      </w:r>
      <w:r>
        <w:rPr>
          <w:rFonts w:asciiTheme="minorHAnsi" w:hAnsiTheme="minorHAnsi"/>
          <w:sz w:val="24"/>
          <w:szCs w:val="24"/>
        </w:rPr>
        <w:t>el en ondertussen de gezinnen</w:t>
      </w:r>
      <w:r w:rsidRPr="00736338">
        <w:rPr>
          <w:rFonts w:asciiTheme="minorHAnsi" w:hAnsiTheme="minorHAnsi"/>
          <w:sz w:val="24"/>
          <w:szCs w:val="24"/>
        </w:rPr>
        <w:t xml:space="preserve"> belasten waardoor hun koopkracht daalt”, zeggen Johan Vande Lanotte en Karin Temmerman. </w:t>
      </w:r>
    </w:p>
    <w:p w:rsidR="00736338" w:rsidRPr="00736338" w:rsidRDefault="00736338" w:rsidP="00736338">
      <w:pPr>
        <w:pStyle w:val="Tekstzonderopmaak"/>
        <w:rPr>
          <w:rFonts w:asciiTheme="minorHAnsi" w:hAnsiTheme="minorHAnsi"/>
          <w:sz w:val="24"/>
          <w:szCs w:val="24"/>
        </w:rPr>
      </w:pPr>
    </w:p>
    <w:p w:rsidR="00A24469" w:rsidRDefault="00A91378" w:rsidP="00A24469">
      <w:pPr>
        <w:pStyle w:val="Normaalweb"/>
        <w:jc w:val="both"/>
        <w:rPr>
          <w:rFonts w:asciiTheme="minorHAnsi" w:hAnsiTheme="minorHAnsi"/>
          <w:sz w:val="22"/>
          <w:szCs w:val="22"/>
        </w:rPr>
      </w:pPr>
      <w:bookmarkStart w:id="0" w:name="_GoBack"/>
      <w:bookmarkEnd w:id="0"/>
      <w:r w:rsidRPr="00736338">
        <w:rPr>
          <w:rFonts w:asciiTheme="minorHAnsi" w:hAnsiTheme="minorHAnsi"/>
        </w:rPr>
        <w:t xml:space="preserve">De ontsporing van de begroting </w:t>
      </w:r>
      <w:r w:rsidR="00702F60" w:rsidRPr="00736338">
        <w:rPr>
          <w:rFonts w:asciiTheme="minorHAnsi" w:hAnsiTheme="minorHAnsi"/>
        </w:rPr>
        <w:t>is al meermaals aangekondigd maar</w:t>
      </w:r>
      <w:r w:rsidRPr="00736338">
        <w:rPr>
          <w:rFonts w:asciiTheme="minorHAnsi" w:hAnsiTheme="minorHAnsi"/>
        </w:rPr>
        <w:t xml:space="preserve"> </w:t>
      </w:r>
      <w:r w:rsidR="00702F60" w:rsidRPr="00736338">
        <w:rPr>
          <w:rFonts w:asciiTheme="minorHAnsi" w:hAnsiTheme="minorHAnsi"/>
        </w:rPr>
        <w:t xml:space="preserve">de </w:t>
      </w:r>
      <w:r w:rsidRPr="00736338">
        <w:rPr>
          <w:rFonts w:asciiTheme="minorHAnsi" w:hAnsiTheme="minorHAnsi"/>
        </w:rPr>
        <w:t>regering</w:t>
      </w:r>
      <w:r w:rsidR="00702F60" w:rsidRPr="00736338">
        <w:rPr>
          <w:rFonts w:asciiTheme="minorHAnsi" w:hAnsiTheme="minorHAnsi"/>
        </w:rPr>
        <w:t xml:space="preserve"> Michel</w:t>
      </w:r>
      <w:r w:rsidRPr="00736338">
        <w:rPr>
          <w:rFonts w:asciiTheme="minorHAnsi" w:hAnsiTheme="minorHAnsi"/>
        </w:rPr>
        <w:t xml:space="preserve"> wou niet luisteren. Zowel het Rekenhof als de Europese Commissie hebben van in het begin gezegd dat de begroting niet deugt. </w:t>
      </w:r>
      <w:r w:rsidR="00D5587D" w:rsidRPr="00736338">
        <w:rPr>
          <w:rFonts w:asciiTheme="minorHAnsi" w:hAnsiTheme="minorHAnsi"/>
        </w:rPr>
        <w:t xml:space="preserve">De realiteit haalt </w:t>
      </w:r>
      <w:r w:rsidR="00702F60" w:rsidRPr="00736338">
        <w:rPr>
          <w:rFonts w:asciiTheme="minorHAnsi" w:hAnsiTheme="minorHAnsi"/>
        </w:rPr>
        <w:t xml:space="preserve">vandaag </w:t>
      </w:r>
      <w:r w:rsidR="00D5587D" w:rsidRPr="00736338">
        <w:rPr>
          <w:rFonts w:asciiTheme="minorHAnsi" w:hAnsiTheme="minorHAnsi"/>
        </w:rPr>
        <w:t xml:space="preserve">de mooipraterij van deze regering in. </w:t>
      </w:r>
      <w:r w:rsidR="00587F06" w:rsidRPr="00736338">
        <w:rPr>
          <w:rFonts w:asciiTheme="minorHAnsi" w:hAnsiTheme="minorHAnsi"/>
        </w:rPr>
        <w:t>De factuur van deze begrotingsronde dreigt opnieuw bij dezelfde gezinnen terecht</w:t>
      </w:r>
      <w:r w:rsidR="00587F06" w:rsidRPr="00736338">
        <w:rPr>
          <w:rFonts w:asciiTheme="minorHAnsi" w:hAnsiTheme="minorHAnsi"/>
          <w:sz w:val="22"/>
          <w:szCs w:val="22"/>
        </w:rPr>
        <w:t xml:space="preserve"> </w:t>
      </w:r>
      <w:r w:rsidR="00587F06" w:rsidRPr="00A24469">
        <w:rPr>
          <w:rFonts w:asciiTheme="minorHAnsi" w:hAnsiTheme="minorHAnsi"/>
          <w:sz w:val="22"/>
          <w:szCs w:val="22"/>
        </w:rPr>
        <w:t>te komen: opnieuw een indexsprong, nog eens meer BTW en accijnzen, weer hogere facturen.</w:t>
      </w:r>
      <w:r w:rsidR="00A24469">
        <w:rPr>
          <w:rFonts w:asciiTheme="minorHAnsi" w:hAnsiTheme="minorHAnsi"/>
          <w:sz w:val="22"/>
          <w:szCs w:val="22"/>
        </w:rPr>
        <w:t xml:space="preserve"> </w:t>
      </w:r>
    </w:p>
    <w:p w:rsidR="00A24469" w:rsidRDefault="00A24469" w:rsidP="00A24469">
      <w:pPr>
        <w:pStyle w:val="Normaalweb"/>
        <w:jc w:val="both"/>
        <w:rPr>
          <w:rFonts w:asciiTheme="minorHAnsi" w:hAnsiTheme="minorHAnsi"/>
          <w:sz w:val="22"/>
          <w:szCs w:val="22"/>
        </w:rPr>
      </w:pPr>
    </w:p>
    <w:p w:rsidR="00D5587D" w:rsidRDefault="008F376E" w:rsidP="00A24469">
      <w:pPr>
        <w:pStyle w:val="Normaalweb"/>
        <w:jc w:val="both"/>
        <w:rPr>
          <w:rFonts w:asciiTheme="minorHAnsi" w:hAnsiTheme="minorHAnsi"/>
          <w:sz w:val="22"/>
          <w:szCs w:val="22"/>
        </w:rPr>
      </w:pPr>
      <w:r w:rsidRPr="00A24469">
        <w:rPr>
          <w:rFonts w:asciiTheme="minorHAnsi" w:hAnsiTheme="minorHAnsi"/>
          <w:sz w:val="22"/>
          <w:szCs w:val="22"/>
        </w:rPr>
        <w:t>De begroting ontspoort voor het tweede jaar op rij. In 2015 slaagde de regering er in om het begrotingstekort nog te doen oplopen. In 2016 zit er opnieuw geen verbetering aan te komen.</w:t>
      </w:r>
    </w:p>
    <w:p w:rsidR="00A24469" w:rsidRPr="00A24469" w:rsidRDefault="00A24469" w:rsidP="00A24469">
      <w:pPr>
        <w:pStyle w:val="Normaalweb"/>
        <w:jc w:val="both"/>
        <w:rPr>
          <w:rFonts w:asciiTheme="minorHAnsi" w:hAnsiTheme="minorHAnsi"/>
          <w:sz w:val="22"/>
          <w:szCs w:val="22"/>
        </w:rPr>
      </w:pPr>
    </w:p>
    <w:tbl>
      <w:tblPr>
        <w:tblStyle w:val="Onopgemaaktetabel1"/>
        <w:tblW w:w="8341" w:type="dxa"/>
        <w:tblLook w:val="04A0" w:firstRow="1" w:lastRow="0" w:firstColumn="1" w:lastColumn="0" w:noHBand="0" w:noVBand="1"/>
      </w:tblPr>
      <w:tblGrid>
        <w:gridCol w:w="6067"/>
        <w:gridCol w:w="1137"/>
        <w:gridCol w:w="1137"/>
      </w:tblGrid>
      <w:tr w:rsidR="00D5587D" w:rsidRPr="00A24469" w:rsidTr="00CA5F1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67" w:type="dxa"/>
            <w:noWrap/>
            <w:hideMark/>
          </w:tcPr>
          <w:p w:rsidR="00D5587D" w:rsidRPr="00A24469" w:rsidRDefault="00D5587D" w:rsidP="00A24469">
            <w:pPr>
              <w:jc w:val="both"/>
              <w:rPr>
                <w:rFonts w:eastAsia="Times New Roman" w:cs="Times New Roman"/>
                <w:lang w:eastAsia="nl-BE"/>
              </w:rPr>
            </w:pPr>
          </w:p>
          <w:p w:rsidR="00D5587D" w:rsidRPr="00A24469" w:rsidRDefault="00D5587D" w:rsidP="00A24469">
            <w:pPr>
              <w:jc w:val="both"/>
              <w:rPr>
                <w:rFonts w:eastAsia="Times New Roman" w:cs="Times New Roman"/>
                <w:lang w:eastAsia="nl-BE"/>
              </w:rPr>
            </w:pPr>
          </w:p>
        </w:tc>
        <w:tc>
          <w:tcPr>
            <w:tcW w:w="1137" w:type="dxa"/>
            <w:noWrap/>
            <w:hideMark/>
          </w:tcPr>
          <w:p w:rsidR="00D5587D" w:rsidRPr="00A24469" w:rsidRDefault="00D5587D" w:rsidP="00A24469">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2015</w:t>
            </w:r>
          </w:p>
        </w:tc>
        <w:tc>
          <w:tcPr>
            <w:tcW w:w="1137" w:type="dxa"/>
            <w:noWrap/>
            <w:hideMark/>
          </w:tcPr>
          <w:p w:rsidR="00D5587D" w:rsidRPr="00A24469" w:rsidRDefault="00D5587D" w:rsidP="00A24469">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2016</w:t>
            </w:r>
          </w:p>
        </w:tc>
      </w:tr>
      <w:tr w:rsidR="00D5587D" w:rsidRPr="00A24469" w:rsidTr="00CA5F1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67" w:type="dxa"/>
            <w:noWrap/>
            <w:hideMark/>
          </w:tcPr>
          <w:p w:rsidR="00D5587D" w:rsidRPr="00A24469" w:rsidRDefault="00D5587D" w:rsidP="00A24469">
            <w:pPr>
              <w:jc w:val="both"/>
              <w:rPr>
                <w:rFonts w:eastAsia="Times New Roman" w:cs="Times New Roman"/>
                <w:color w:val="000000"/>
                <w:lang w:eastAsia="nl-BE"/>
              </w:rPr>
            </w:pPr>
            <w:r w:rsidRPr="00A24469">
              <w:rPr>
                <w:rFonts w:eastAsia="Times New Roman" w:cs="Times New Roman"/>
                <w:color w:val="000000"/>
                <w:lang w:eastAsia="nl-BE"/>
              </w:rPr>
              <w:t xml:space="preserve">Doelstelling regering (nominaal, gezamenlijke </w:t>
            </w:r>
            <w:proofErr w:type="spellStart"/>
            <w:r w:rsidRPr="00A24469">
              <w:rPr>
                <w:rFonts w:eastAsia="Times New Roman" w:cs="Times New Roman"/>
                <w:color w:val="000000"/>
                <w:lang w:eastAsia="nl-BE"/>
              </w:rPr>
              <w:t>ovhd</w:t>
            </w:r>
            <w:proofErr w:type="spellEnd"/>
            <w:r w:rsidRPr="00A24469">
              <w:rPr>
                <w:rFonts w:eastAsia="Times New Roman" w:cs="Times New Roman"/>
                <w:color w:val="000000"/>
                <w:lang w:eastAsia="nl-BE"/>
              </w:rPr>
              <w:t>)</w:t>
            </w:r>
          </w:p>
        </w:tc>
        <w:tc>
          <w:tcPr>
            <w:tcW w:w="1137" w:type="dxa"/>
            <w:noWrap/>
            <w:hideMark/>
          </w:tcPr>
          <w:p w:rsidR="00D5587D" w:rsidRPr="00A24469" w:rsidRDefault="00D5587D" w:rsidP="00A2446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-2,6</w:t>
            </w:r>
          </w:p>
        </w:tc>
        <w:tc>
          <w:tcPr>
            <w:tcW w:w="1137" w:type="dxa"/>
            <w:noWrap/>
            <w:hideMark/>
          </w:tcPr>
          <w:p w:rsidR="00D5587D" w:rsidRPr="00A24469" w:rsidRDefault="00D5587D" w:rsidP="00A2446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-2,1</w:t>
            </w:r>
          </w:p>
        </w:tc>
      </w:tr>
      <w:tr w:rsidR="00D5587D" w:rsidRPr="00A24469" w:rsidTr="00CA5F14">
        <w:trPr>
          <w:trHeight w:val="319"/>
        </w:trPr>
        <w:tc>
          <w:tcPr>
            <w:cnfStyle w:val="001000000000" w:firstRow="0" w:lastRow="0" w:firstColumn="1" w:lastColumn="0" w:oddVBand="0" w:evenVBand="0" w:oddHBand="0" w:evenHBand="0" w:firstRowFirstColumn="0" w:firstRowLastColumn="0" w:lastRowFirstColumn="0" w:lastRowLastColumn="0"/>
            <w:tcW w:w="6067" w:type="dxa"/>
            <w:noWrap/>
            <w:hideMark/>
          </w:tcPr>
          <w:p w:rsidR="00D5587D" w:rsidRPr="00A24469" w:rsidRDefault="00D5587D" w:rsidP="00A24469">
            <w:pPr>
              <w:jc w:val="both"/>
              <w:rPr>
                <w:rFonts w:eastAsia="Times New Roman" w:cs="Times New Roman"/>
                <w:color w:val="000000"/>
                <w:lang w:eastAsia="nl-BE"/>
              </w:rPr>
            </w:pPr>
            <w:r w:rsidRPr="00A24469">
              <w:rPr>
                <w:rFonts w:eastAsia="Times New Roman" w:cs="Times New Roman"/>
                <w:color w:val="000000"/>
                <w:lang w:eastAsia="nl-BE"/>
              </w:rPr>
              <w:t>Recentste raming EC</w:t>
            </w:r>
          </w:p>
        </w:tc>
        <w:tc>
          <w:tcPr>
            <w:tcW w:w="1137" w:type="dxa"/>
            <w:noWrap/>
            <w:hideMark/>
          </w:tcPr>
          <w:p w:rsidR="00D5587D" w:rsidRPr="00A24469" w:rsidRDefault="00D5587D" w:rsidP="00A2446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-2,9</w:t>
            </w:r>
          </w:p>
        </w:tc>
        <w:tc>
          <w:tcPr>
            <w:tcW w:w="1137" w:type="dxa"/>
            <w:noWrap/>
            <w:hideMark/>
          </w:tcPr>
          <w:p w:rsidR="00D5587D" w:rsidRPr="00A24469" w:rsidRDefault="00D5587D" w:rsidP="00A2446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-2,8</w:t>
            </w:r>
          </w:p>
        </w:tc>
      </w:tr>
      <w:tr w:rsidR="00D5587D" w:rsidRPr="00A24469" w:rsidTr="00CA5F1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67" w:type="dxa"/>
            <w:noWrap/>
            <w:hideMark/>
          </w:tcPr>
          <w:p w:rsidR="00D5587D" w:rsidRPr="00A24469" w:rsidRDefault="00D5587D" w:rsidP="00A24469">
            <w:pPr>
              <w:jc w:val="both"/>
              <w:rPr>
                <w:rFonts w:eastAsia="Times New Roman" w:cs="Times New Roman"/>
                <w:color w:val="000000"/>
                <w:lang w:eastAsia="nl-BE"/>
              </w:rPr>
            </w:pPr>
            <w:r w:rsidRPr="00A24469">
              <w:rPr>
                <w:rFonts w:eastAsia="Times New Roman" w:cs="Times New Roman"/>
                <w:color w:val="000000"/>
                <w:lang w:eastAsia="nl-BE"/>
              </w:rPr>
              <w:t>Planbureau raming</w:t>
            </w:r>
          </w:p>
        </w:tc>
        <w:tc>
          <w:tcPr>
            <w:tcW w:w="1137" w:type="dxa"/>
            <w:noWrap/>
            <w:hideMark/>
          </w:tcPr>
          <w:p w:rsidR="00D5587D" w:rsidRPr="00A24469" w:rsidRDefault="00D5587D" w:rsidP="00A2446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-2,9</w:t>
            </w:r>
          </w:p>
        </w:tc>
        <w:tc>
          <w:tcPr>
            <w:tcW w:w="1137" w:type="dxa"/>
            <w:noWrap/>
            <w:hideMark/>
          </w:tcPr>
          <w:p w:rsidR="00D5587D" w:rsidRPr="00A24469" w:rsidRDefault="00D5587D" w:rsidP="00A2446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-2,7</w:t>
            </w:r>
          </w:p>
        </w:tc>
      </w:tr>
      <w:tr w:rsidR="00D5587D" w:rsidRPr="00A24469" w:rsidTr="00CA5F14">
        <w:trPr>
          <w:trHeight w:val="319"/>
        </w:trPr>
        <w:tc>
          <w:tcPr>
            <w:cnfStyle w:val="001000000000" w:firstRow="0" w:lastRow="0" w:firstColumn="1" w:lastColumn="0" w:oddVBand="0" w:evenVBand="0" w:oddHBand="0" w:evenHBand="0" w:firstRowFirstColumn="0" w:firstRowLastColumn="0" w:lastRowFirstColumn="0" w:lastRowLastColumn="0"/>
            <w:tcW w:w="6067" w:type="dxa"/>
            <w:noWrap/>
            <w:hideMark/>
          </w:tcPr>
          <w:p w:rsidR="00D5587D" w:rsidRPr="00A24469" w:rsidRDefault="00D5587D" w:rsidP="00A24469">
            <w:pPr>
              <w:jc w:val="both"/>
              <w:rPr>
                <w:rFonts w:eastAsia="Times New Roman" w:cs="Times New Roman"/>
                <w:color w:val="000000"/>
                <w:lang w:eastAsia="nl-BE"/>
              </w:rPr>
            </w:pPr>
            <w:proofErr w:type="spellStart"/>
            <w:r w:rsidRPr="00A24469">
              <w:rPr>
                <w:rFonts w:eastAsia="Times New Roman" w:cs="Times New Roman"/>
                <w:color w:val="000000"/>
                <w:lang w:eastAsia="nl-BE"/>
              </w:rPr>
              <w:t>Monitoringcomite</w:t>
            </w:r>
            <w:proofErr w:type="spellEnd"/>
          </w:p>
        </w:tc>
        <w:tc>
          <w:tcPr>
            <w:tcW w:w="1137" w:type="dxa"/>
            <w:noWrap/>
            <w:hideMark/>
          </w:tcPr>
          <w:p w:rsidR="00D5587D" w:rsidRPr="00A24469" w:rsidRDefault="00D5587D" w:rsidP="00A2446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BE"/>
              </w:rPr>
            </w:pPr>
          </w:p>
        </w:tc>
        <w:tc>
          <w:tcPr>
            <w:tcW w:w="1137" w:type="dxa"/>
            <w:noWrap/>
            <w:hideMark/>
          </w:tcPr>
          <w:p w:rsidR="00D5587D" w:rsidRPr="00A24469" w:rsidRDefault="00D5587D" w:rsidP="00A2446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-2,5</w:t>
            </w:r>
          </w:p>
        </w:tc>
      </w:tr>
      <w:tr w:rsidR="00D5587D" w:rsidRPr="00A24469" w:rsidTr="00CA5F1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67" w:type="dxa"/>
            <w:noWrap/>
            <w:hideMark/>
          </w:tcPr>
          <w:p w:rsidR="00D5587D" w:rsidRPr="00A24469" w:rsidRDefault="00D5587D" w:rsidP="00A24469">
            <w:pPr>
              <w:jc w:val="both"/>
              <w:rPr>
                <w:rFonts w:eastAsia="Times New Roman" w:cs="Times New Roman"/>
                <w:color w:val="000000"/>
                <w:lang w:eastAsia="nl-BE"/>
              </w:rPr>
            </w:pPr>
            <w:r w:rsidRPr="00A24469">
              <w:rPr>
                <w:rFonts w:eastAsia="Times New Roman" w:cs="Times New Roman"/>
                <w:color w:val="000000"/>
                <w:lang w:eastAsia="nl-BE"/>
              </w:rPr>
              <w:t xml:space="preserve">Verschil gezamenlijke </w:t>
            </w:r>
            <w:proofErr w:type="spellStart"/>
            <w:r w:rsidRPr="00A24469">
              <w:rPr>
                <w:rFonts w:eastAsia="Times New Roman" w:cs="Times New Roman"/>
                <w:color w:val="000000"/>
                <w:lang w:eastAsia="nl-BE"/>
              </w:rPr>
              <w:t>ovhd</w:t>
            </w:r>
            <w:proofErr w:type="spellEnd"/>
            <w:r w:rsidRPr="00A24469">
              <w:rPr>
                <w:rFonts w:eastAsia="Times New Roman" w:cs="Times New Roman"/>
                <w:color w:val="000000"/>
                <w:lang w:eastAsia="nl-BE"/>
              </w:rPr>
              <w:t xml:space="preserve"> (EC/regering)</w:t>
            </w:r>
          </w:p>
        </w:tc>
        <w:tc>
          <w:tcPr>
            <w:tcW w:w="1137" w:type="dxa"/>
            <w:noWrap/>
            <w:hideMark/>
          </w:tcPr>
          <w:p w:rsidR="00D5587D" w:rsidRPr="00A24469" w:rsidRDefault="008F376E" w:rsidP="00A2446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-0,</w:t>
            </w:r>
            <w:r w:rsidR="003E6A91" w:rsidRPr="00A24469">
              <w:rPr>
                <w:rFonts w:eastAsia="Times New Roman" w:cs="Times New Roman"/>
                <w:color w:val="000000"/>
                <w:lang w:eastAsia="nl-BE"/>
              </w:rPr>
              <w:t>3</w:t>
            </w:r>
          </w:p>
        </w:tc>
        <w:tc>
          <w:tcPr>
            <w:tcW w:w="1137" w:type="dxa"/>
            <w:noWrap/>
            <w:hideMark/>
          </w:tcPr>
          <w:p w:rsidR="00D5587D" w:rsidRPr="00A24469" w:rsidRDefault="00D5587D" w:rsidP="00A2446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BE"/>
              </w:rPr>
            </w:pPr>
            <w:r w:rsidRPr="00A24469">
              <w:rPr>
                <w:rFonts w:eastAsia="Times New Roman" w:cs="Times New Roman"/>
                <w:color w:val="000000"/>
                <w:lang w:eastAsia="nl-BE"/>
              </w:rPr>
              <w:t>-0,7</w:t>
            </w:r>
          </w:p>
        </w:tc>
      </w:tr>
    </w:tbl>
    <w:p w:rsidR="00D5587D" w:rsidRPr="00A24469" w:rsidRDefault="008F376E" w:rsidP="00A24469">
      <w:pPr>
        <w:jc w:val="both"/>
        <w:rPr>
          <w:rFonts w:cs="Arial"/>
        </w:rPr>
      </w:pPr>
      <w:r w:rsidRPr="00A24469">
        <w:rPr>
          <w:rFonts w:cs="Arial"/>
        </w:rPr>
        <w:t>¨</w:t>
      </w:r>
    </w:p>
    <w:p w:rsidR="008F376E" w:rsidRPr="00A24469" w:rsidRDefault="008F376E" w:rsidP="00A24469">
      <w:pPr>
        <w:jc w:val="both"/>
      </w:pPr>
      <w:r w:rsidRPr="00A24469">
        <w:t xml:space="preserve">De Hoge Raad van Financiën </w:t>
      </w:r>
      <w:r w:rsidR="002D097C" w:rsidRPr="00A24469">
        <w:t xml:space="preserve">verwacht van ons land </w:t>
      </w:r>
      <w:r w:rsidRPr="00A24469">
        <w:t xml:space="preserve">een jaarlijkse verbetering van het structureel saldo met 0.6%. De regering Di </w:t>
      </w:r>
      <w:proofErr w:type="spellStart"/>
      <w:r w:rsidRPr="00A24469">
        <w:t>Rupo</w:t>
      </w:r>
      <w:proofErr w:type="spellEnd"/>
      <w:r w:rsidRPr="00A24469">
        <w:t xml:space="preserve"> haalde die doelstelling in 2012 en 2013. De regering Michel zal </w:t>
      </w:r>
      <w:r w:rsidR="002D097C" w:rsidRPr="00A24469">
        <w:t xml:space="preserve">op </w:t>
      </w:r>
      <w:r w:rsidR="00A31E34" w:rsidRPr="00A24469">
        <w:t xml:space="preserve">twee jaar tijd nog niet de helft </w:t>
      </w:r>
      <w:r w:rsidR="002D097C" w:rsidRPr="00A24469">
        <w:t xml:space="preserve">van de inspanningen leveren. </w:t>
      </w:r>
      <w:r w:rsidR="00A31E34" w:rsidRPr="00A24469">
        <w:t xml:space="preserve"> </w:t>
      </w:r>
    </w:p>
    <w:p w:rsidR="00A31E34" w:rsidRPr="00A24469" w:rsidRDefault="00A31E34" w:rsidP="00A24469">
      <w:pPr>
        <w:jc w:val="both"/>
      </w:pPr>
    </w:p>
    <w:p w:rsidR="008F376E" w:rsidRPr="00A24469" w:rsidRDefault="008F376E" w:rsidP="00A24469">
      <w:pPr>
        <w:jc w:val="both"/>
      </w:pPr>
      <w:r w:rsidRPr="00A24469">
        <w:rPr>
          <w:noProof/>
          <w:lang w:eastAsia="nl-BE"/>
        </w:rPr>
        <w:drawing>
          <wp:inline distT="0" distB="0" distL="0" distR="0" wp14:anchorId="5E371496" wp14:editId="021DB735">
            <wp:extent cx="4572000" cy="25527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F376E" w:rsidRPr="00A24469" w:rsidRDefault="008F376E" w:rsidP="00A24469">
      <w:pPr>
        <w:jc w:val="both"/>
        <w:rPr>
          <w:rFonts w:cs="Arial"/>
        </w:rPr>
      </w:pPr>
    </w:p>
    <w:p w:rsidR="00A91378" w:rsidRPr="00A24469" w:rsidRDefault="00A91378" w:rsidP="00A24469">
      <w:pPr>
        <w:jc w:val="both"/>
      </w:pPr>
      <w:r w:rsidRPr="00A24469">
        <w:t xml:space="preserve">De </w:t>
      </w:r>
      <w:r w:rsidRPr="00A24469">
        <w:rPr>
          <w:b/>
          <w:u w:val="single"/>
        </w:rPr>
        <w:t>Europese Commissie</w:t>
      </w:r>
      <w:r w:rsidRPr="00A24469">
        <w:t xml:space="preserve"> raam</w:t>
      </w:r>
      <w:r w:rsidR="00655A60" w:rsidRPr="00A24469">
        <w:t xml:space="preserve">de eind vorig jaar het tekort  al op </w:t>
      </w:r>
      <w:r w:rsidRPr="00A24469">
        <w:t xml:space="preserve"> -2,6% </w:t>
      </w:r>
      <w:r w:rsidR="008F376E" w:rsidRPr="00A24469">
        <w:t>van het b</w:t>
      </w:r>
      <w:r w:rsidR="00655A60" w:rsidRPr="00A24469">
        <w:t xml:space="preserve">ruto </w:t>
      </w:r>
      <w:r w:rsidR="008F376E" w:rsidRPr="00A24469">
        <w:t>b</w:t>
      </w:r>
      <w:r w:rsidR="00655A60" w:rsidRPr="00A24469">
        <w:t>inne</w:t>
      </w:r>
      <w:r w:rsidR="00A24469">
        <w:t>n</w:t>
      </w:r>
      <w:r w:rsidR="00655A60" w:rsidRPr="00A24469">
        <w:t xml:space="preserve">lands </w:t>
      </w:r>
      <w:r w:rsidR="008F376E" w:rsidRPr="00A24469">
        <w:t>p</w:t>
      </w:r>
      <w:r w:rsidR="00655A60" w:rsidRPr="00A24469">
        <w:t>roduct</w:t>
      </w:r>
      <w:r w:rsidR="008F376E" w:rsidRPr="00A24469">
        <w:t xml:space="preserve">, </w:t>
      </w:r>
      <w:r w:rsidRPr="00A24469">
        <w:t xml:space="preserve">in plaats van </w:t>
      </w:r>
      <w:r w:rsidR="00655A60" w:rsidRPr="00A24469">
        <w:t xml:space="preserve">het voorspelde tekort van </w:t>
      </w:r>
      <w:r w:rsidRPr="00A24469">
        <w:t xml:space="preserve">-2,1% </w:t>
      </w:r>
      <w:r w:rsidR="00655A60" w:rsidRPr="00A24469">
        <w:t xml:space="preserve">door </w:t>
      </w:r>
      <w:r w:rsidRPr="00A24469">
        <w:t xml:space="preserve">de regering ). </w:t>
      </w:r>
      <w:r w:rsidR="008F376E" w:rsidRPr="00A24469">
        <w:t xml:space="preserve">De </w:t>
      </w:r>
      <w:r w:rsidRPr="00A24469">
        <w:t>E</w:t>
      </w:r>
      <w:r w:rsidR="002D097C" w:rsidRPr="00A24469">
        <w:t xml:space="preserve">uropese </w:t>
      </w:r>
      <w:r w:rsidRPr="00A24469">
        <w:t>C</w:t>
      </w:r>
      <w:r w:rsidR="002D097C" w:rsidRPr="00A24469">
        <w:t>ommissie</w:t>
      </w:r>
      <w:r w:rsidRPr="00A24469">
        <w:t xml:space="preserve"> </w:t>
      </w:r>
      <w:r w:rsidR="008F376E" w:rsidRPr="00A24469">
        <w:t xml:space="preserve">verwierp de ramingen van de regering om </w:t>
      </w:r>
      <w:r w:rsidR="00655A60" w:rsidRPr="00A24469">
        <w:t xml:space="preserve">verschillende </w:t>
      </w:r>
      <w:r w:rsidR="008F376E" w:rsidRPr="00A24469">
        <w:t xml:space="preserve"> redenen:</w:t>
      </w:r>
      <w:r w:rsidRPr="00A24469">
        <w:t xml:space="preserve"> de effecten van de t</w:t>
      </w:r>
      <w:r w:rsidR="008F376E" w:rsidRPr="00A24469">
        <w:t>a</w:t>
      </w:r>
      <w:r w:rsidR="00655A60" w:rsidRPr="00A24469">
        <w:t>k</w:t>
      </w:r>
      <w:r w:rsidR="008F376E" w:rsidRPr="00A24469">
        <w:t>shift  werden volgens de E</w:t>
      </w:r>
      <w:r w:rsidR="002D097C" w:rsidRPr="00A24469">
        <w:t xml:space="preserve">uropese </w:t>
      </w:r>
      <w:r w:rsidR="008F376E" w:rsidRPr="00A24469">
        <w:t>C</w:t>
      </w:r>
      <w:r w:rsidR="002D097C" w:rsidRPr="00A24469">
        <w:t>ommissie</w:t>
      </w:r>
      <w:r w:rsidR="008F376E" w:rsidRPr="00A24469">
        <w:t xml:space="preserve"> dubbel meegerekend, </w:t>
      </w:r>
      <w:r w:rsidRPr="00A24469">
        <w:t xml:space="preserve">een aantal maatregelen </w:t>
      </w:r>
      <w:r w:rsidR="008F376E" w:rsidRPr="00A24469">
        <w:t>was</w:t>
      </w:r>
      <w:r w:rsidRPr="00A24469">
        <w:t xml:space="preserve"> onvoldoende </w:t>
      </w:r>
      <w:r w:rsidR="008F376E" w:rsidRPr="00A24469">
        <w:t xml:space="preserve">gespecificeerd, de </w:t>
      </w:r>
      <w:r w:rsidRPr="00A24469">
        <w:t>impact van een aantal fiscale maatregelen</w:t>
      </w:r>
      <w:r w:rsidR="008F376E" w:rsidRPr="00A24469">
        <w:t xml:space="preserve"> waren overschat</w:t>
      </w:r>
      <w:r w:rsidRPr="00A24469">
        <w:t>.</w:t>
      </w:r>
      <w:r w:rsidR="008F376E" w:rsidRPr="00A24469">
        <w:t xml:space="preserve"> De regering was de </w:t>
      </w:r>
      <w:r w:rsidRPr="00A24469">
        <w:t xml:space="preserve">indexering van de overheidslonen en uitkeringen in </w:t>
      </w:r>
      <w:r w:rsidR="008F376E" w:rsidRPr="00A24469">
        <w:t xml:space="preserve">de herfst ‘vergeten’.  </w:t>
      </w:r>
    </w:p>
    <w:p w:rsidR="00A91378" w:rsidRPr="00A24469" w:rsidRDefault="00A91378" w:rsidP="00A24469">
      <w:pPr>
        <w:jc w:val="both"/>
      </w:pPr>
      <w:r w:rsidRPr="00A24469">
        <w:t xml:space="preserve">Het </w:t>
      </w:r>
      <w:r w:rsidRPr="00A24469">
        <w:rPr>
          <w:b/>
          <w:u w:val="single"/>
        </w:rPr>
        <w:t>Rekenhof</w:t>
      </w:r>
      <w:r w:rsidRPr="00A24469">
        <w:t xml:space="preserve"> </w:t>
      </w:r>
      <w:r w:rsidR="00D5587D" w:rsidRPr="00A24469">
        <w:t xml:space="preserve">was in zijn rapport bij de begroting 2016 al heel duidelijk: </w:t>
      </w:r>
      <w:r w:rsidRPr="00A24469">
        <w:t xml:space="preserve">de </w:t>
      </w:r>
      <w:r w:rsidR="002D097C" w:rsidRPr="00A24469">
        <w:t xml:space="preserve">opbrengsten uit de </w:t>
      </w:r>
      <w:r w:rsidRPr="00A24469">
        <w:t xml:space="preserve">Karaattaks </w:t>
      </w:r>
      <w:r w:rsidR="00716C90" w:rsidRPr="00A24469">
        <w:t xml:space="preserve">(50m) </w:t>
      </w:r>
      <w:r w:rsidR="00D5587D" w:rsidRPr="00A24469">
        <w:t>wa</w:t>
      </w:r>
      <w:r w:rsidR="002D097C" w:rsidRPr="00A24469">
        <w:t>ren</w:t>
      </w:r>
      <w:r w:rsidR="00D5587D" w:rsidRPr="00A24469">
        <w:t xml:space="preserve"> </w:t>
      </w:r>
      <w:r w:rsidRPr="00A24469">
        <w:t xml:space="preserve">“onzeker”, de </w:t>
      </w:r>
      <w:r w:rsidR="00716C90" w:rsidRPr="00A24469">
        <w:t xml:space="preserve">berekeningen van de </w:t>
      </w:r>
      <w:r w:rsidRPr="00A24469">
        <w:t xml:space="preserve">opbrengst van  </w:t>
      </w:r>
      <w:r w:rsidR="00716C90" w:rsidRPr="00A24469">
        <w:t>de v</w:t>
      </w:r>
      <w:r w:rsidRPr="00A24469">
        <w:t xml:space="preserve">erhoging </w:t>
      </w:r>
      <w:r w:rsidR="002D097C" w:rsidRPr="00A24469">
        <w:t xml:space="preserve">van het </w:t>
      </w:r>
      <w:proofErr w:type="spellStart"/>
      <w:r w:rsidRPr="00A24469">
        <w:t>BTW-tarie</w:t>
      </w:r>
      <w:r w:rsidR="00716C90" w:rsidRPr="00A24469">
        <w:t>f</w:t>
      </w:r>
      <w:proofErr w:type="spellEnd"/>
      <w:r w:rsidR="00716C90" w:rsidRPr="00A24469">
        <w:t xml:space="preserve"> </w:t>
      </w:r>
      <w:r w:rsidR="002D097C" w:rsidRPr="00A24469">
        <w:t xml:space="preserve">op </w:t>
      </w:r>
      <w:r w:rsidR="00716C90" w:rsidRPr="00A24469">
        <w:t>elektriciteit van 6 naar 21% (</w:t>
      </w:r>
      <w:r w:rsidR="00A24469">
        <w:t>712</w:t>
      </w:r>
      <w:r w:rsidR="00254EF9">
        <w:t xml:space="preserve"> mio</w:t>
      </w:r>
      <w:r w:rsidR="00716C90" w:rsidRPr="00A24469">
        <w:t xml:space="preserve">) “niet gestaafd door verantwoordingsstukken”, de raming van de </w:t>
      </w:r>
      <w:r w:rsidRPr="00A24469">
        <w:t xml:space="preserve">Kaaimantaks </w:t>
      </w:r>
      <w:r w:rsidR="00A24469">
        <w:t xml:space="preserve">(460 </w:t>
      </w:r>
      <w:proofErr w:type="spellStart"/>
      <w:r w:rsidR="00A24469">
        <w:t>mio</w:t>
      </w:r>
      <w:proofErr w:type="spellEnd"/>
      <w:r w:rsidR="00716C90" w:rsidRPr="00A24469">
        <w:t xml:space="preserve">) </w:t>
      </w:r>
      <w:r w:rsidRPr="00A24469">
        <w:t xml:space="preserve">“hoogstens richtinggevend </w:t>
      </w:r>
      <w:r w:rsidR="00716C90" w:rsidRPr="00A24469">
        <w:t>en m</w:t>
      </w:r>
      <w:r w:rsidRPr="00A24469">
        <w:t>ogelijk ruim overschat”</w:t>
      </w:r>
      <w:r w:rsidR="00716C90" w:rsidRPr="00A24469">
        <w:t>, d</w:t>
      </w:r>
      <w:r w:rsidRPr="00A24469">
        <w:t>e</w:t>
      </w:r>
      <w:r w:rsidR="00716C90" w:rsidRPr="00A24469">
        <w:t xml:space="preserve"> raming van de</w:t>
      </w:r>
      <w:r w:rsidRPr="00A24469">
        <w:t xml:space="preserve"> fiscale regularisatie</w:t>
      </w:r>
      <w:r w:rsidR="00716C90" w:rsidRPr="00A24469">
        <w:t xml:space="preserve"> (250 </w:t>
      </w:r>
      <w:proofErr w:type="spellStart"/>
      <w:r w:rsidR="00716C90" w:rsidRPr="00A24469">
        <w:t>mio</w:t>
      </w:r>
      <w:proofErr w:type="spellEnd"/>
      <w:r w:rsidR="00716C90" w:rsidRPr="00A24469">
        <w:t xml:space="preserve">) </w:t>
      </w:r>
      <w:r w:rsidRPr="00A24469">
        <w:t>“precair”</w:t>
      </w:r>
      <w:r w:rsidR="00716C90" w:rsidRPr="00A24469">
        <w:t>, a</w:t>
      </w:r>
      <w:r w:rsidRPr="00A24469">
        <w:t>ccijnzen op diesel</w:t>
      </w:r>
      <w:r w:rsidR="00716C90" w:rsidRPr="00A24469">
        <w:t xml:space="preserve"> </w:t>
      </w:r>
      <w:r w:rsidRPr="00A24469">
        <w:t>“geen rekening gehouden met wijzigingen in het consumentengedrag”</w:t>
      </w:r>
      <w:r w:rsidR="00716C90" w:rsidRPr="00A24469">
        <w:t>, de s</w:t>
      </w:r>
      <w:r w:rsidRPr="00A24469">
        <w:t xml:space="preserve">peculatiebelasting (34 </w:t>
      </w:r>
      <w:proofErr w:type="spellStart"/>
      <w:r w:rsidRPr="00A24469">
        <w:t>mio</w:t>
      </w:r>
      <w:proofErr w:type="spellEnd"/>
      <w:r w:rsidRPr="00A24469">
        <w:t>)</w:t>
      </w:r>
      <w:r w:rsidR="00716C90" w:rsidRPr="00A24469">
        <w:t xml:space="preserve"> </w:t>
      </w:r>
      <w:r w:rsidRPr="00A24469">
        <w:t>“valt moeilijk te voorspellen</w:t>
      </w:r>
      <w:r w:rsidR="00716C90" w:rsidRPr="00A24469">
        <w:t>”, de v</w:t>
      </w:r>
      <w:r w:rsidRPr="00A24469">
        <w:t>erhoogde investeringsaftrek</w:t>
      </w:r>
      <w:r w:rsidR="00716C90" w:rsidRPr="00A24469">
        <w:t xml:space="preserve"> (40 </w:t>
      </w:r>
      <w:proofErr w:type="spellStart"/>
      <w:r w:rsidR="00716C90" w:rsidRPr="00A24469">
        <w:t>mio</w:t>
      </w:r>
      <w:proofErr w:type="spellEnd"/>
      <w:r w:rsidR="00716C90" w:rsidRPr="00A24469">
        <w:t>)</w:t>
      </w:r>
      <w:r w:rsidRPr="00A24469">
        <w:t xml:space="preserve"> “steunt op verouderde gegevens”</w:t>
      </w:r>
      <w:r w:rsidR="00716C90" w:rsidRPr="00A24469">
        <w:t xml:space="preserve">, de budgettaire neutraliteit van het </w:t>
      </w:r>
      <w:proofErr w:type="spellStart"/>
      <w:r w:rsidRPr="00A24469">
        <w:t>BTW-tarief</w:t>
      </w:r>
      <w:proofErr w:type="spellEnd"/>
      <w:r w:rsidRPr="00A24469">
        <w:t xml:space="preserve"> op scholenbouw</w:t>
      </w:r>
      <w:r w:rsidR="00716C90" w:rsidRPr="00A24469">
        <w:t xml:space="preserve"> </w:t>
      </w:r>
      <w:r w:rsidR="002D097C" w:rsidRPr="00A24469">
        <w:t>werd</w:t>
      </w:r>
      <w:r w:rsidR="00A24469">
        <w:t xml:space="preserve"> </w:t>
      </w:r>
      <w:r w:rsidR="00716C90" w:rsidRPr="00A24469">
        <w:t>“</w:t>
      </w:r>
      <w:r w:rsidRPr="00A24469">
        <w:t>onrealistisch</w:t>
      </w:r>
      <w:r w:rsidR="00716C90" w:rsidRPr="00A24469">
        <w:t>”</w:t>
      </w:r>
      <w:r w:rsidR="002D097C" w:rsidRPr="00A24469">
        <w:t xml:space="preserve"> genoemd</w:t>
      </w:r>
      <w:r w:rsidRPr="00A24469">
        <w:t>.</w:t>
      </w:r>
    </w:p>
    <w:p w:rsidR="00A91378" w:rsidRPr="00A24469" w:rsidRDefault="002D097C" w:rsidP="00A24469">
      <w:pPr>
        <w:jc w:val="both"/>
      </w:pPr>
      <w:r w:rsidRPr="00A24469">
        <w:t>“</w:t>
      </w:r>
      <w:r w:rsidR="00A91378" w:rsidRPr="00A24469">
        <w:t xml:space="preserve">Al </w:t>
      </w:r>
      <w:r w:rsidRPr="00A24469">
        <w:t>deze</w:t>
      </w:r>
      <w:r w:rsidR="00A24469">
        <w:t xml:space="preserve"> </w:t>
      </w:r>
      <w:r w:rsidR="00716C90" w:rsidRPr="00A24469">
        <w:t xml:space="preserve">voorspellingen </w:t>
      </w:r>
      <w:r w:rsidR="00A91378" w:rsidRPr="00A24469">
        <w:t xml:space="preserve">blijken </w:t>
      </w:r>
      <w:r w:rsidRPr="00A24469">
        <w:t xml:space="preserve">vandaag </w:t>
      </w:r>
      <w:r w:rsidR="00A91378" w:rsidRPr="00A24469">
        <w:t>uit te komen. Het gaat hier niet om rekenfouten van ambtenaren</w:t>
      </w:r>
      <w:r w:rsidRPr="00A24469">
        <w:t xml:space="preserve">, zoals de minister beweert. </w:t>
      </w:r>
      <w:r w:rsidR="00A91378" w:rsidRPr="00A24469">
        <w:t xml:space="preserve">Het gaat om politieke fouten van </w:t>
      </w:r>
      <w:r w:rsidRPr="00A24469">
        <w:t>de m</w:t>
      </w:r>
      <w:r w:rsidR="00A91378" w:rsidRPr="00A24469">
        <w:t>inisters van Financiën en Begroting</w:t>
      </w:r>
      <w:r w:rsidR="00D5587D" w:rsidRPr="00A24469">
        <w:t xml:space="preserve"> die beter zouden moeten weten</w:t>
      </w:r>
      <w:r w:rsidR="00A91378" w:rsidRPr="00A24469">
        <w:t>.</w:t>
      </w:r>
      <w:r w:rsidR="00D5587D" w:rsidRPr="00A24469">
        <w:t xml:space="preserve"> Hun </w:t>
      </w:r>
      <w:r w:rsidRPr="00A24469">
        <w:t xml:space="preserve">overschattingen van inkomsten </w:t>
      </w:r>
      <w:r w:rsidR="00D5587D" w:rsidRPr="00A24469">
        <w:t xml:space="preserve"> en </w:t>
      </w:r>
      <w:r w:rsidRPr="00A24469">
        <w:t xml:space="preserve">het </w:t>
      </w:r>
      <w:r w:rsidR="00D5587D" w:rsidRPr="00A24469">
        <w:t>ondermaats beleid bezorgen de</w:t>
      </w:r>
      <w:r w:rsidRPr="00A24469">
        <w:t>ze</w:t>
      </w:r>
      <w:r w:rsidR="00D5587D" w:rsidRPr="00A24469">
        <w:t xml:space="preserve"> regering een kater</w:t>
      </w:r>
      <w:r w:rsidRPr="00A24469">
        <w:t xml:space="preserve">. </w:t>
      </w:r>
      <w:r w:rsidR="00D5587D" w:rsidRPr="00A24469">
        <w:t xml:space="preserve"> </w:t>
      </w:r>
      <w:r w:rsidRPr="00A24469">
        <w:t xml:space="preserve"> </w:t>
      </w:r>
      <w:r w:rsidR="00D5587D" w:rsidRPr="00A24469">
        <w:t>D</w:t>
      </w:r>
      <w:r w:rsidR="00587F06" w:rsidRPr="00A24469">
        <w:t xml:space="preserve">e </w:t>
      </w:r>
      <w:r w:rsidRPr="00A24469">
        <w:t>m</w:t>
      </w:r>
      <w:r w:rsidR="00587F06" w:rsidRPr="00A24469">
        <w:t xml:space="preserve">inister van Financiën </w:t>
      </w:r>
      <w:r w:rsidR="00655A60" w:rsidRPr="00A24469">
        <w:t xml:space="preserve">valt in de begrotingsput die hij zelf heeft gegraven”, zeggen Johan Vande Lanotte en Karin Temmerman. </w:t>
      </w:r>
    </w:p>
    <w:p w:rsidR="00A31E34" w:rsidRPr="00A24469" w:rsidRDefault="00A31E34" w:rsidP="00A24469">
      <w:pPr>
        <w:jc w:val="both"/>
      </w:pPr>
      <w:r w:rsidRPr="00A24469">
        <w:t>Op de langere termijn ziet het er nog slechter uit. Het Rekenhof schat de ontsporing tegen 2020 op 8,5 miljard tegen 2020.</w:t>
      </w:r>
    </w:p>
    <w:p w:rsidR="00D5587D" w:rsidRPr="00A24469" w:rsidRDefault="00587F06" w:rsidP="00A24469">
      <w:pPr>
        <w:jc w:val="both"/>
      </w:pPr>
      <w:r w:rsidRPr="00A24469">
        <w:t>De regering saboteert het economische herstel met haar facturen en BTW maatregelen. D</w:t>
      </w:r>
      <w:r w:rsidR="00D5587D" w:rsidRPr="00A24469">
        <w:t xml:space="preserve">e Belgische economische groei </w:t>
      </w:r>
      <w:r w:rsidRPr="00A24469">
        <w:t xml:space="preserve">zakt </w:t>
      </w:r>
      <w:r w:rsidR="00D5587D" w:rsidRPr="00A24469">
        <w:t xml:space="preserve">naar de staart van het eurozonepeloton (enkel Griekenland en Finland doen slechter) en de facturen van de regering </w:t>
      </w:r>
      <w:r w:rsidRPr="00A24469">
        <w:t xml:space="preserve">zorgen </w:t>
      </w:r>
      <w:r w:rsidR="00D5587D" w:rsidRPr="00A24469">
        <w:t>voor een inflatiepiek (</w:t>
      </w:r>
      <w:r w:rsidRPr="00A24469">
        <w:t xml:space="preserve">België is opnieuw </w:t>
      </w:r>
      <w:r w:rsidR="00D5587D" w:rsidRPr="00A24469">
        <w:t>inflatiekampioen van de eurozone</w:t>
      </w:r>
      <w:r w:rsidRPr="00A24469">
        <w:t>)</w:t>
      </w:r>
      <w:r w:rsidR="00D5587D" w:rsidRPr="00A24469">
        <w:t>.</w:t>
      </w:r>
      <w:r w:rsidR="00655A60" w:rsidRPr="00A24469">
        <w:t xml:space="preserve"> “</w:t>
      </w:r>
      <w:r w:rsidR="00D5587D" w:rsidRPr="00A24469">
        <w:t>Het herstelbeleid van deze regering is enkel voelbaar in het hoofdkwartier van Electrabel/</w:t>
      </w:r>
      <w:proofErr w:type="spellStart"/>
      <w:r w:rsidR="00D5587D" w:rsidRPr="00A24469">
        <w:t>Engie</w:t>
      </w:r>
      <w:proofErr w:type="spellEnd"/>
      <w:r w:rsidR="00655A60" w:rsidRPr="00A24469">
        <w:t>”, zeggen Johan Vande Lanotte en Karin Temmerman</w:t>
      </w:r>
      <w:r w:rsidR="00A24469">
        <w:t>.</w:t>
      </w:r>
    </w:p>
    <w:p w:rsidR="00A31E34" w:rsidRPr="00A24469" w:rsidRDefault="00A31E34" w:rsidP="00A24469">
      <w:pPr>
        <w:jc w:val="both"/>
      </w:pPr>
    </w:p>
    <w:p w:rsidR="00A31E34" w:rsidRPr="00A24469" w:rsidRDefault="00A31E34" w:rsidP="00A24469">
      <w:pPr>
        <w:jc w:val="both"/>
      </w:pPr>
      <w:r w:rsidRPr="00A24469">
        <w:rPr>
          <w:noProof/>
          <w:lang w:eastAsia="nl-BE"/>
        </w:rPr>
        <w:lastRenderedPageBreak/>
        <w:drawing>
          <wp:inline distT="0" distB="0" distL="0" distR="0" wp14:anchorId="03E05ADE" wp14:editId="224712A0">
            <wp:extent cx="5000625" cy="3219450"/>
            <wp:effectExtent l="0" t="0" r="9525"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587D" w:rsidRPr="00A24469" w:rsidRDefault="009E36AA" w:rsidP="00A24469">
      <w:pPr>
        <w:jc w:val="both"/>
      </w:pPr>
      <w:r w:rsidRPr="00A24469">
        <w:t>“</w:t>
      </w:r>
      <w:r w:rsidR="00587F06" w:rsidRPr="00A24469">
        <w:t>D</w:t>
      </w:r>
      <w:r w:rsidR="00D5587D" w:rsidRPr="00A24469">
        <w:t>e regering weigert te luisteren naar de aanbevelingen van de OESO, het IMF en de EC voor een belastinghervorming weg van arbeid naar vermogen,</w:t>
      </w:r>
      <w:r w:rsidR="00587F06" w:rsidRPr="00A24469">
        <w:t xml:space="preserve"> blijft kortingen geven aan Electrabel en weigert de budgettaire meevaller door de beslissing van de Europese Commissie over de overwinsten van multinationals op te </w:t>
      </w:r>
      <w:r w:rsidRPr="00A24469">
        <w:t>strijken</w:t>
      </w:r>
      <w:r w:rsidR="00587F06" w:rsidRPr="00A24469">
        <w:t xml:space="preserve"> </w:t>
      </w:r>
      <w:r w:rsidR="00D5587D" w:rsidRPr="00A24469">
        <w:t xml:space="preserve"> </w:t>
      </w:r>
      <w:r w:rsidR="00587F06" w:rsidRPr="00A24469">
        <w:t>D</w:t>
      </w:r>
      <w:r w:rsidR="00D5587D" w:rsidRPr="00A24469">
        <w:t xml:space="preserve">e factuur van deze begrotingsronde </w:t>
      </w:r>
      <w:r w:rsidRPr="00A24469">
        <w:t xml:space="preserve">dreigt </w:t>
      </w:r>
      <w:r w:rsidR="00D5587D" w:rsidRPr="00A24469">
        <w:t>opnieuw bij dezelfde gezinnen terecht te komen: opnieuw een indexsprong, meer BTW en accijn</w:t>
      </w:r>
      <w:r w:rsidR="00A24469">
        <w:t xml:space="preserve">zen, hogere facturen allerhande”, besluiten Karin Temmerman en Johan Vande Lanotte. </w:t>
      </w:r>
    </w:p>
    <w:p w:rsidR="00D5587D" w:rsidRPr="00A24469" w:rsidRDefault="00D5587D" w:rsidP="00A24469">
      <w:pPr>
        <w:jc w:val="both"/>
      </w:pPr>
    </w:p>
    <w:p w:rsidR="00D5587D" w:rsidRPr="00A24469" w:rsidRDefault="00D5587D" w:rsidP="00A24469">
      <w:pPr>
        <w:jc w:val="both"/>
      </w:pPr>
    </w:p>
    <w:sectPr w:rsidR="00D5587D" w:rsidRPr="00A2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08C7"/>
    <w:multiLevelType w:val="hybridMultilevel"/>
    <w:tmpl w:val="1DA493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E324E83"/>
    <w:multiLevelType w:val="hybridMultilevel"/>
    <w:tmpl w:val="5C4EB9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78"/>
    <w:rsid w:val="00254EF9"/>
    <w:rsid w:val="002D097C"/>
    <w:rsid w:val="002D16AF"/>
    <w:rsid w:val="003E6A91"/>
    <w:rsid w:val="00587F06"/>
    <w:rsid w:val="00655A60"/>
    <w:rsid w:val="00702F60"/>
    <w:rsid w:val="00716C90"/>
    <w:rsid w:val="00736338"/>
    <w:rsid w:val="00851C2B"/>
    <w:rsid w:val="008F376E"/>
    <w:rsid w:val="009E36AA"/>
    <w:rsid w:val="00A24469"/>
    <w:rsid w:val="00A31E34"/>
    <w:rsid w:val="00A91378"/>
    <w:rsid w:val="00D5587D"/>
    <w:rsid w:val="00FB0F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DA55B-24A1-4399-922D-67F430D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378"/>
    <w:pPr>
      <w:spacing w:after="0" w:line="240" w:lineRule="auto"/>
      <w:ind w:left="720"/>
      <w:contextualSpacing/>
    </w:pPr>
    <w:rPr>
      <w:rFonts w:ascii="Times New Roman" w:eastAsia="Times New Roman" w:hAnsi="Times New Roman" w:cs="Times New Roman"/>
      <w:sz w:val="24"/>
      <w:szCs w:val="24"/>
      <w:lang w:val="nl-NL" w:eastAsia="nl-NL"/>
    </w:rPr>
  </w:style>
  <w:style w:type="table" w:styleId="Onopgemaaktetabel1">
    <w:name w:val="Plain Table 1"/>
    <w:basedOn w:val="Standaardtabel"/>
    <w:uiPriority w:val="41"/>
    <w:rsid w:val="00D558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702F60"/>
    <w:pPr>
      <w:spacing w:after="0" w:line="240" w:lineRule="auto"/>
    </w:pPr>
    <w:rPr>
      <w:rFonts w:ascii="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9E36AA"/>
    <w:rPr>
      <w:sz w:val="16"/>
      <w:szCs w:val="16"/>
    </w:rPr>
  </w:style>
  <w:style w:type="paragraph" w:styleId="Tekstopmerking">
    <w:name w:val="annotation text"/>
    <w:basedOn w:val="Standaard"/>
    <w:link w:val="TekstopmerkingChar"/>
    <w:uiPriority w:val="99"/>
    <w:semiHidden/>
    <w:unhideWhenUsed/>
    <w:rsid w:val="009E36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36AA"/>
    <w:rPr>
      <w:sz w:val="20"/>
      <w:szCs w:val="20"/>
    </w:rPr>
  </w:style>
  <w:style w:type="paragraph" w:styleId="Onderwerpvanopmerking">
    <w:name w:val="annotation subject"/>
    <w:basedOn w:val="Tekstopmerking"/>
    <w:next w:val="Tekstopmerking"/>
    <w:link w:val="OnderwerpvanopmerkingChar"/>
    <w:uiPriority w:val="99"/>
    <w:semiHidden/>
    <w:unhideWhenUsed/>
    <w:rsid w:val="009E36AA"/>
    <w:rPr>
      <w:b/>
      <w:bCs/>
    </w:rPr>
  </w:style>
  <w:style w:type="character" w:customStyle="1" w:styleId="OnderwerpvanopmerkingChar">
    <w:name w:val="Onderwerp van opmerking Char"/>
    <w:basedOn w:val="TekstopmerkingChar"/>
    <w:link w:val="Onderwerpvanopmerking"/>
    <w:uiPriority w:val="99"/>
    <w:semiHidden/>
    <w:rsid w:val="009E36AA"/>
    <w:rPr>
      <w:b/>
      <w:bCs/>
      <w:sz w:val="20"/>
      <w:szCs w:val="20"/>
    </w:rPr>
  </w:style>
  <w:style w:type="paragraph" w:styleId="Ballontekst">
    <w:name w:val="Balloon Text"/>
    <w:basedOn w:val="Standaard"/>
    <w:link w:val="BallontekstChar"/>
    <w:uiPriority w:val="99"/>
    <w:semiHidden/>
    <w:unhideWhenUsed/>
    <w:rsid w:val="009E36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36AA"/>
    <w:rPr>
      <w:rFonts w:ascii="Segoe UI" w:hAnsi="Segoe UI" w:cs="Segoe UI"/>
      <w:sz w:val="18"/>
      <w:szCs w:val="18"/>
    </w:rPr>
  </w:style>
  <w:style w:type="paragraph" w:styleId="Tekstzonderopmaak">
    <w:name w:val="Plain Text"/>
    <w:basedOn w:val="Standaard"/>
    <w:link w:val="TekstzonderopmaakChar"/>
    <w:uiPriority w:val="99"/>
    <w:semiHidden/>
    <w:unhideWhenUsed/>
    <w:rsid w:val="00736338"/>
    <w:pPr>
      <w:spacing w:after="0" w:line="240" w:lineRule="auto"/>
    </w:pPr>
    <w:rPr>
      <w:rFonts w:ascii="Arial" w:hAnsi="Arial"/>
      <w:szCs w:val="21"/>
    </w:rPr>
  </w:style>
  <w:style w:type="character" w:customStyle="1" w:styleId="TekstzonderopmaakChar">
    <w:name w:val="Tekst zonder opmaak Char"/>
    <w:basedOn w:val="Standaardalinea-lettertype"/>
    <w:link w:val="Tekstzonderopmaak"/>
    <w:uiPriority w:val="99"/>
    <w:semiHidden/>
    <w:rsid w:val="00736338"/>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5220">
      <w:bodyDiv w:val="1"/>
      <w:marLeft w:val="0"/>
      <w:marRight w:val="0"/>
      <w:marTop w:val="0"/>
      <w:marBottom w:val="0"/>
      <w:divBdr>
        <w:top w:val="none" w:sz="0" w:space="0" w:color="auto"/>
        <w:left w:val="none" w:sz="0" w:space="0" w:color="auto"/>
        <w:bottom w:val="none" w:sz="0" w:space="0" w:color="auto"/>
        <w:right w:val="none" w:sz="0" w:space="0" w:color="auto"/>
      </w:divBdr>
    </w:div>
    <w:div w:id="11601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rnillie_Jan\AppData\Local\Microsoft\Windows\Temporary%20Internet%20Files\Content.IE5\XFEZE4WU\20160204%20macro%20econ%20paramete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ornillie_Jan\AppData\Local\Microsoft\Windows\Temporary%20Internet%20Files\Content.IE5\XFEZE4WU\20160204%20macro%20econ%20parameter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Verbetering</a:t>
            </a:r>
            <a:r>
              <a:rPr lang="nl-BE" baseline="0"/>
              <a:t> structureel saldo</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'[20160204 macro econ parameters.xlsx]Groei saldo schuld werkloosheid'!$A$20</c:f>
              <c:strCache>
                <c:ptCount val="1"/>
                <c:pt idx="0">
                  <c:v>Structurele verbetering Bel</c:v>
                </c:pt>
              </c:strCache>
            </c:strRef>
          </c:tx>
          <c:spPr>
            <a:solidFill>
              <a:schemeClr val="accent1"/>
            </a:solidFill>
            <a:ln>
              <a:noFill/>
            </a:ln>
            <a:effectLst/>
          </c:spPr>
          <c:invertIfNegative val="0"/>
          <c:cat>
            <c:numRef>
              <c:f>'[20160204 macro econ parameters.xlsx]Groei saldo schuld werkloosheid'!$C$16:$G$16</c:f>
              <c:numCache>
                <c:formatCode>General</c:formatCode>
                <c:ptCount val="5"/>
                <c:pt idx="0">
                  <c:v>2012</c:v>
                </c:pt>
                <c:pt idx="1">
                  <c:v>2013</c:v>
                </c:pt>
                <c:pt idx="2">
                  <c:v>2014</c:v>
                </c:pt>
                <c:pt idx="3">
                  <c:v>2015</c:v>
                </c:pt>
                <c:pt idx="4">
                  <c:v>2016</c:v>
                </c:pt>
              </c:numCache>
            </c:numRef>
          </c:cat>
          <c:val>
            <c:numRef>
              <c:f>'[20160204 macro econ parameters.xlsx]Groei saldo schuld werkloosheid'!$C$20:$G$20</c:f>
              <c:numCache>
                <c:formatCode>0.00%</c:formatCode>
                <c:ptCount val="5"/>
                <c:pt idx="0">
                  <c:v>5.9999999999999984E-3</c:v>
                </c:pt>
                <c:pt idx="1">
                  <c:v>6.0000000000000019E-3</c:v>
                </c:pt>
                <c:pt idx="2">
                  <c:v>-1.0000000000000009E-3</c:v>
                </c:pt>
                <c:pt idx="3">
                  <c:v>2.0000000000000018E-3</c:v>
                </c:pt>
                <c:pt idx="4">
                  <c:v>2.9999999999999992E-3</c:v>
                </c:pt>
              </c:numCache>
            </c:numRef>
          </c:val>
        </c:ser>
        <c:dLbls>
          <c:showLegendKey val="0"/>
          <c:showVal val="0"/>
          <c:showCatName val="0"/>
          <c:showSerName val="0"/>
          <c:showPercent val="0"/>
          <c:showBubbleSize val="0"/>
        </c:dLbls>
        <c:gapWidth val="219"/>
        <c:overlap val="-27"/>
        <c:axId val="356209448"/>
        <c:axId val="356206312"/>
      </c:barChart>
      <c:catAx>
        <c:axId val="35620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6206312"/>
        <c:crosses val="autoZero"/>
        <c:auto val="1"/>
        <c:lblAlgn val="ctr"/>
        <c:lblOffset val="100"/>
        <c:noMultiLvlLbl val="0"/>
      </c:catAx>
      <c:valAx>
        <c:axId val="356206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6209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Belgische</a:t>
            </a:r>
            <a:r>
              <a:rPr lang="nl-BE" baseline="0"/>
              <a:t> economie doet het niet goed sinds 2015 </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'[20160204 macro econ parameters.xlsx]Groei saldo schuld werkloosheid'!$A$22</c:f>
              <c:strCache>
                <c:ptCount val="1"/>
                <c:pt idx="0">
                  <c:v>Verschil groei België - Eurozone</c:v>
                </c:pt>
              </c:strCache>
            </c:strRef>
          </c:tx>
          <c:spPr>
            <a:solidFill>
              <a:schemeClr val="accent1"/>
            </a:solidFill>
            <a:ln>
              <a:noFill/>
            </a:ln>
            <a:effectLst/>
          </c:spPr>
          <c:invertIfNegative val="0"/>
          <c:cat>
            <c:numRef>
              <c:f>'[20160204 macro econ parameters.xlsx]Groei saldo schuld werkloosheid'!$C$28:$G$28</c:f>
              <c:numCache>
                <c:formatCode>General</c:formatCode>
                <c:ptCount val="5"/>
                <c:pt idx="0">
                  <c:v>2012</c:v>
                </c:pt>
                <c:pt idx="1">
                  <c:v>2013</c:v>
                </c:pt>
                <c:pt idx="2">
                  <c:v>2014</c:v>
                </c:pt>
                <c:pt idx="3">
                  <c:v>2015</c:v>
                </c:pt>
                <c:pt idx="4">
                  <c:v>2016</c:v>
                </c:pt>
              </c:numCache>
            </c:numRef>
          </c:cat>
          <c:val>
            <c:numRef>
              <c:f>'[20160204 macro econ parameters.xlsx]Groei saldo schuld werkloosheid'!$C$31:$G$31</c:f>
              <c:numCache>
                <c:formatCode>0.00%</c:formatCode>
                <c:ptCount val="5"/>
                <c:pt idx="0">
                  <c:v>1.0999999999999999E-2</c:v>
                </c:pt>
                <c:pt idx="1">
                  <c:v>3.0000000000000001E-3</c:v>
                </c:pt>
                <c:pt idx="2">
                  <c:v>4.0000000000000001E-3</c:v>
                </c:pt>
                <c:pt idx="3">
                  <c:v>-2E-3</c:v>
                </c:pt>
                <c:pt idx="4">
                  <c:v>-5.000000000000001E-3</c:v>
                </c:pt>
              </c:numCache>
            </c:numRef>
          </c:val>
        </c:ser>
        <c:dLbls>
          <c:showLegendKey val="0"/>
          <c:showVal val="0"/>
          <c:showCatName val="0"/>
          <c:showSerName val="0"/>
          <c:showPercent val="0"/>
          <c:showBubbleSize val="0"/>
        </c:dLbls>
        <c:gapWidth val="219"/>
        <c:axId val="356206704"/>
        <c:axId val="438677072"/>
      </c:barChart>
      <c:lineChart>
        <c:grouping val="standard"/>
        <c:varyColors val="0"/>
        <c:ser>
          <c:idx val="1"/>
          <c:order val="1"/>
          <c:tx>
            <c:strRef>
              <c:f>'[20160204 macro econ parameters.xlsx]Groei saldo schuld werkloosheid'!$A$32</c:f>
              <c:strCache>
                <c:ptCount val="1"/>
                <c:pt idx="0">
                  <c:v>aantal landen met lagere groei dan Bel (in '16 enkel Griekenland en Finland)</c:v>
                </c:pt>
              </c:strCache>
            </c:strRef>
          </c:tx>
          <c:spPr>
            <a:ln w="28575" cap="rnd">
              <a:solidFill>
                <a:schemeClr val="accent2"/>
              </a:solidFill>
              <a:round/>
            </a:ln>
            <a:effectLst/>
          </c:spPr>
          <c:marker>
            <c:symbol val="none"/>
          </c:marker>
          <c:cat>
            <c:numRef>
              <c:f>'[20160204 macro econ parameters.xlsx]Groei saldo schuld werkloosheid'!$C$28:$G$28</c:f>
              <c:numCache>
                <c:formatCode>General</c:formatCode>
                <c:ptCount val="5"/>
                <c:pt idx="0">
                  <c:v>2012</c:v>
                </c:pt>
                <c:pt idx="1">
                  <c:v>2013</c:v>
                </c:pt>
                <c:pt idx="2">
                  <c:v>2014</c:v>
                </c:pt>
                <c:pt idx="3">
                  <c:v>2015</c:v>
                </c:pt>
                <c:pt idx="4">
                  <c:v>2016</c:v>
                </c:pt>
              </c:numCache>
            </c:numRef>
          </c:cat>
          <c:val>
            <c:numRef>
              <c:f>'[20160204 macro econ parameters.xlsx]Groei saldo schuld werkloosheid'!$C$32:$G$32</c:f>
              <c:numCache>
                <c:formatCode>General</c:formatCode>
                <c:ptCount val="5"/>
                <c:pt idx="0">
                  <c:v>18</c:v>
                </c:pt>
                <c:pt idx="1">
                  <c:v>12</c:v>
                </c:pt>
                <c:pt idx="2">
                  <c:v>12</c:v>
                </c:pt>
                <c:pt idx="3">
                  <c:v>9</c:v>
                </c:pt>
                <c:pt idx="4">
                  <c:v>2</c:v>
                </c:pt>
              </c:numCache>
            </c:numRef>
          </c:val>
          <c:smooth val="0"/>
        </c:ser>
        <c:dLbls>
          <c:showLegendKey val="0"/>
          <c:showVal val="0"/>
          <c:showCatName val="0"/>
          <c:showSerName val="0"/>
          <c:showPercent val="0"/>
          <c:showBubbleSize val="0"/>
        </c:dLbls>
        <c:marker val="1"/>
        <c:smooth val="0"/>
        <c:axId val="438678640"/>
        <c:axId val="438678248"/>
      </c:lineChart>
      <c:catAx>
        <c:axId val="35620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8677072"/>
        <c:crosses val="autoZero"/>
        <c:auto val="1"/>
        <c:lblAlgn val="ctr"/>
        <c:lblOffset val="100"/>
        <c:noMultiLvlLbl val="0"/>
      </c:catAx>
      <c:valAx>
        <c:axId val="43867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6206704"/>
        <c:crosses val="autoZero"/>
        <c:crossBetween val="between"/>
      </c:valAx>
      <c:valAx>
        <c:axId val="4386782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8678640"/>
        <c:crosses val="max"/>
        <c:crossBetween val="between"/>
      </c:valAx>
      <c:catAx>
        <c:axId val="438678640"/>
        <c:scaling>
          <c:orientation val="minMax"/>
        </c:scaling>
        <c:delete val="1"/>
        <c:axPos val="b"/>
        <c:numFmt formatCode="General" sourceLinked="1"/>
        <c:majorTickMark val="out"/>
        <c:minorTickMark val="none"/>
        <c:tickLblPos val="nextTo"/>
        <c:crossAx val="4386782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Cornillie</dc:creator>
  <cp:keywords/>
  <dc:description/>
  <cp:lastModifiedBy>Lot Wildemeersch</cp:lastModifiedBy>
  <cp:revision>3</cp:revision>
  <dcterms:created xsi:type="dcterms:W3CDTF">2016-03-04T10:56:00Z</dcterms:created>
  <dcterms:modified xsi:type="dcterms:W3CDTF">2016-03-04T10:56:00Z</dcterms:modified>
</cp:coreProperties>
</file>