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A6BA1" w14:textId="77777777" w:rsidR="00EC4781" w:rsidRPr="00EF7449" w:rsidRDefault="002B2860">
      <w:pPr>
        <w:rPr>
          <w:rFonts w:asciiTheme="minorHAnsi" w:hAnsiTheme="minorHAnsi" w:cstheme="minorHAnsi"/>
          <w:b/>
          <w:bCs/>
          <w:color w:val="000000" w:themeColor="text1"/>
          <w:sz w:val="32"/>
          <w:szCs w:val="32"/>
          <w:lang w:val="es-MX"/>
        </w:rPr>
      </w:pPr>
      <w:r w:rsidRPr="00EF7449">
        <w:rPr>
          <w:rFonts w:asciiTheme="minorHAnsi" w:hAnsiTheme="minorHAnsi" w:cstheme="minorHAnsi"/>
          <w:b/>
          <w:bCs/>
          <w:color w:val="000000" w:themeColor="text1"/>
          <w:sz w:val="32"/>
          <w:szCs w:val="32"/>
          <w:lang w:val="es-MX"/>
        </w:rPr>
        <w:t>Graves profundos con la máxima precisión: Neumann presenta el monitor de estudio KH 150 con tecnología DSP</w:t>
      </w:r>
    </w:p>
    <w:p w14:paraId="7EFE4905" w14:textId="77777777" w:rsidR="00683214" w:rsidRPr="00EF7449" w:rsidRDefault="00683214" w:rsidP="00AB6634">
      <w:pPr>
        <w:rPr>
          <w:rFonts w:asciiTheme="minorHAnsi" w:hAnsiTheme="minorHAnsi" w:cstheme="minorHAnsi"/>
          <w:b/>
          <w:bCs/>
          <w:color w:val="000000" w:themeColor="text1"/>
          <w:sz w:val="32"/>
          <w:szCs w:val="32"/>
          <w:lang w:val="es-MX"/>
        </w:rPr>
      </w:pPr>
    </w:p>
    <w:p w14:paraId="3C303890" w14:textId="2AFDDDA0" w:rsidR="00AB6634" w:rsidRPr="00C03836" w:rsidRDefault="00683214" w:rsidP="00451C28">
      <w:pPr>
        <w:rPr>
          <w:rFonts w:asciiTheme="minorHAnsi" w:hAnsiTheme="minorHAnsi" w:cstheme="minorHAnsi"/>
          <w:b/>
          <w:caps/>
          <w:color w:val="000000" w:themeColor="text1"/>
          <w:lang w:val="en-US" w:eastAsia="x-none"/>
        </w:rPr>
      </w:pPr>
      <w:r>
        <w:rPr>
          <w:rFonts w:asciiTheme="minorHAnsi" w:hAnsiTheme="minorHAnsi" w:cstheme="minorHAnsi"/>
          <w:b/>
          <w:caps/>
          <w:noProof/>
          <w:color w:val="000000" w:themeColor="text1"/>
          <w:lang w:val="en-US" w:eastAsia="x-none"/>
        </w:rPr>
        <w:drawing>
          <wp:inline distT="0" distB="0" distL="0" distR="0" wp14:anchorId="682C1146" wp14:editId="4D959A5E">
            <wp:extent cx="5220531" cy="331089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5234933" cy="3320024"/>
                    </a:xfrm>
                    <a:prstGeom prst="rect">
                      <a:avLst/>
                    </a:prstGeom>
                    <a:ln>
                      <a:noFill/>
                    </a:ln>
                    <a:extLst>
                      <a:ext uri="{53640926-AAD7-44D8-BBD7-CCE9431645EC}">
                        <a14:shadowObscured xmlns:a14="http://schemas.microsoft.com/office/drawing/2010/main"/>
                      </a:ext>
                    </a:extLst>
                  </pic:spPr>
                </pic:pic>
              </a:graphicData>
            </a:graphic>
          </wp:inline>
        </w:drawing>
      </w:r>
    </w:p>
    <w:p w14:paraId="6737FAA7" w14:textId="77777777" w:rsidR="003057A0" w:rsidRDefault="003057A0" w:rsidP="00AB6634">
      <w:pPr>
        <w:rPr>
          <w:rFonts w:asciiTheme="minorHAnsi" w:hAnsiTheme="minorHAnsi" w:cstheme="minorHAnsi"/>
          <w:b/>
          <w:bCs/>
          <w:color w:val="000000" w:themeColor="text1"/>
        </w:rPr>
      </w:pPr>
    </w:p>
    <w:p w14:paraId="406FE35E" w14:textId="77777777" w:rsidR="00EC4781" w:rsidRPr="00EF7449" w:rsidRDefault="002B2860">
      <w:pPr>
        <w:rPr>
          <w:rFonts w:asciiTheme="minorHAnsi" w:hAnsiTheme="minorHAnsi" w:cstheme="minorHAnsi"/>
          <w:b/>
          <w:bCs/>
          <w:color w:val="000000" w:themeColor="text1"/>
          <w:lang w:val="es-MX"/>
        </w:rPr>
      </w:pPr>
      <w:r w:rsidRPr="00EF7449">
        <w:rPr>
          <w:rFonts w:asciiTheme="minorHAnsi" w:hAnsiTheme="minorHAnsi" w:cstheme="minorHAnsi"/>
          <w:b/>
          <w:bCs/>
          <w:i/>
          <w:iCs/>
          <w:color w:val="000000" w:themeColor="text1"/>
          <w:lang w:val="es-MX"/>
        </w:rPr>
        <w:t xml:space="preserve">Berlín, Alemania, 22 de agosto de 2022 </w:t>
      </w:r>
      <w:r w:rsidRPr="00EF7449">
        <w:rPr>
          <w:rFonts w:asciiTheme="minorHAnsi" w:hAnsiTheme="minorHAnsi" w:cstheme="minorHAnsi"/>
          <w:b/>
          <w:bCs/>
          <w:color w:val="000000" w:themeColor="text1"/>
          <w:lang w:val="es-MX"/>
        </w:rPr>
        <w:t xml:space="preserve">- El especialista alemán en estudios </w:t>
      </w:r>
      <w:proofErr w:type="spellStart"/>
      <w:r w:rsidRPr="00EF7449">
        <w:rPr>
          <w:rFonts w:asciiTheme="minorHAnsi" w:hAnsiTheme="minorHAnsi" w:cstheme="minorHAnsi"/>
          <w:b/>
          <w:bCs/>
          <w:color w:val="000000" w:themeColor="text1"/>
          <w:lang w:val="es-MX"/>
        </w:rPr>
        <w:t>Neumann.Berlin</w:t>
      </w:r>
      <w:proofErr w:type="spellEnd"/>
      <w:r w:rsidRPr="00EF7449">
        <w:rPr>
          <w:rFonts w:asciiTheme="minorHAnsi" w:hAnsiTheme="minorHAnsi" w:cstheme="minorHAnsi"/>
          <w:b/>
          <w:bCs/>
          <w:color w:val="000000" w:themeColor="text1"/>
          <w:lang w:val="es-MX"/>
        </w:rPr>
        <w:t xml:space="preserve"> </w:t>
      </w:r>
      <w:r w:rsidRPr="00EF7449">
        <w:rPr>
          <w:rFonts w:asciiTheme="minorHAnsi" w:hAnsiTheme="minorHAnsi" w:cstheme="minorHAnsi"/>
          <w:b/>
          <w:bCs/>
          <w:color w:val="000000" w:themeColor="text1"/>
          <w:lang w:val="es-MX"/>
        </w:rPr>
        <w:t xml:space="preserve">amplía su línea de monitores de estudio de referencia con el KH 150. El altavoz </w:t>
      </w:r>
      <w:proofErr w:type="spellStart"/>
      <w:r w:rsidRPr="00EF7449">
        <w:rPr>
          <w:rFonts w:asciiTheme="minorHAnsi" w:hAnsiTheme="minorHAnsi" w:cstheme="minorHAnsi"/>
          <w:b/>
          <w:bCs/>
          <w:color w:val="000000" w:themeColor="text1"/>
          <w:lang w:val="es-MX"/>
        </w:rPr>
        <w:t>bi-amplificado</w:t>
      </w:r>
      <w:proofErr w:type="spellEnd"/>
      <w:r w:rsidRPr="00EF7449">
        <w:rPr>
          <w:rFonts w:asciiTheme="minorHAnsi" w:hAnsiTheme="minorHAnsi" w:cstheme="minorHAnsi"/>
          <w:b/>
          <w:bCs/>
          <w:color w:val="000000" w:themeColor="text1"/>
          <w:lang w:val="es-MX"/>
        </w:rPr>
        <w:t xml:space="preserve"> y controlado por DSP cuenta con el mismo </w:t>
      </w:r>
      <w:proofErr w:type="spellStart"/>
      <w:r w:rsidRPr="00EF7449">
        <w:rPr>
          <w:rFonts w:asciiTheme="minorHAnsi" w:hAnsiTheme="minorHAnsi" w:cstheme="minorHAnsi"/>
          <w:b/>
          <w:bCs/>
          <w:color w:val="000000" w:themeColor="text1"/>
          <w:lang w:val="es-MX"/>
        </w:rPr>
        <w:t>tweeter</w:t>
      </w:r>
      <w:proofErr w:type="spellEnd"/>
      <w:r w:rsidRPr="00EF7449">
        <w:rPr>
          <w:rFonts w:asciiTheme="minorHAnsi" w:hAnsiTheme="minorHAnsi" w:cstheme="minorHAnsi"/>
          <w:b/>
          <w:bCs/>
          <w:color w:val="000000" w:themeColor="text1"/>
          <w:lang w:val="es-MX"/>
        </w:rPr>
        <w:t xml:space="preserve"> de alta resolución que todos los monitores de estudio Neumann y un </w:t>
      </w:r>
      <w:proofErr w:type="spellStart"/>
      <w:r w:rsidRPr="00EF7449">
        <w:rPr>
          <w:rFonts w:asciiTheme="minorHAnsi" w:hAnsiTheme="minorHAnsi" w:cstheme="minorHAnsi"/>
          <w:b/>
          <w:bCs/>
          <w:color w:val="000000" w:themeColor="text1"/>
          <w:lang w:val="es-MX"/>
        </w:rPr>
        <w:t>woofer</w:t>
      </w:r>
      <w:proofErr w:type="spellEnd"/>
      <w:r w:rsidRPr="00EF7449">
        <w:rPr>
          <w:rFonts w:asciiTheme="minorHAnsi" w:hAnsiTheme="minorHAnsi" w:cstheme="minorHAnsi"/>
          <w:b/>
          <w:bCs/>
          <w:color w:val="000000" w:themeColor="text1"/>
          <w:lang w:val="es-MX"/>
        </w:rPr>
        <w:t xml:space="preserve"> de 6,5" de nuevo desarrollo con una di</w:t>
      </w:r>
      <w:r w:rsidRPr="00EF7449">
        <w:rPr>
          <w:rFonts w:asciiTheme="minorHAnsi" w:hAnsiTheme="minorHAnsi" w:cstheme="minorHAnsi"/>
          <w:b/>
          <w:bCs/>
          <w:color w:val="000000" w:themeColor="text1"/>
          <w:lang w:val="es-MX"/>
        </w:rPr>
        <w:t xml:space="preserve">storsión </w:t>
      </w:r>
      <w:proofErr w:type="spellStart"/>
      <w:r w:rsidRPr="00EF7449">
        <w:rPr>
          <w:rFonts w:asciiTheme="minorHAnsi" w:hAnsiTheme="minorHAnsi" w:cstheme="minorHAnsi"/>
          <w:b/>
          <w:bCs/>
          <w:color w:val="000000" w:themeColor="text1"/>
          <w:lang w:val="es-MX"/>
        </w:rPr>
        <w:t>ultrabaja</w:t>
      </w:r>
      <w:proofErr w:type="spellEnd"/>
      <w:r w:rsidRPr="00EF7449">
        <w:rPr>
          <w:rFonts w:asciiTheme="minorHAnsi" w:hAnsiTheme="minorHAnsi" w:cstheme="minorHAnsi"/>
          <w:b/>
          <w:bCs/>
          <w:color w:val="000000" w:themeColor="text1"/>
          <w:lang w:val="es-MX"/>
        </w:rPr>
        <w:t xml:space="preserve"> y una gran capacidad de SPL. A pesar de su formato más bien compacto, el KH 150 sorprende por su extraordinaria claridad, incluso a alto volumen, y por sus amplios graves. El KH 150 tiene una respuesta en frecuencia excepcionalmente plan</w:t>
      </w:r>
      <w:r w:rsidRPr="00EF7449">
        <w:rPr>
          <w:rFonts w:asciiTheme="minorHAnsi" w:hAnsiTheme="minorHAnsi" w:cstheme="minorHAnsi"/>
          <w:b/>
          <w:bCs/>
          <w:color w:val="000000" w:themeColor="text1"/>
          <w:lang w:val="es-MX"/>
        </w:rPr>
        <w:t xml:space="preserve">a de 39 Hz a 21 kHz (±3 dB) y se recomienda para todas las aplicaciones, desde la radiodifusión hasta la producción musical. Incluye estilos que requieren una gama baja potente y profunda y/o niveles de escucha elevados, como la música urbana, la EDM y la </w:t>
      </w:r>
      <w:r w:rsidRPr="00EF7449">
        <w:rPr>
          <w:rFonts w:asciiTheme="minorHAnsi" w:hAnsiTheme="minorHAnsi" w:cstheme="minorHAnsi"/>
          <w:b/>
          <w:bCs/>
          <w:color w:val="000000" w:themeColor="text1"/>
          <w:lang w:val="es-MX"/>
        </w:rPr>
        <w:t xml:space="preserve">puntuación de películas. </w:t>
      </w:r>
    </w:p>
    <w:p w14:paraId="1F726BDC" w14:textId="34F2774B" w:rsidR="00EC4781" w:rsidRPr="00EF7449" w:rsidRDefault="002B2860">
      <w:pPr>
        <w:rPr>
          <w:rFonts w:asciiTheme="minorHAnsi" w:hAnsiTheme="minorHAnsi" w:cstheme="minorHAnsi"/>
          <w:color w:val="000000" w:themeColor="text1"/>
          <w:lang w:val="es-MX"/>
        </w:rPr>
      </w:pPr>
      <w:r w:rsidRPr="00EF7449">
        <w:rPr>
          <w:rFonts w:asciiTheme="minorHAnsi" w:hAnsiTheme="minorHAnsi" w:cstheme="minorHAnsi"/>
          <w:b/>
          <w:bCs/>
          <w:color w:val="000000" w:themeColor="text1"/>
          <w:lang w:val="es-MX"/>
        </w:rPr>
        <w:br/>
      </w:r>
      <w:r w:rsidR="00FB6442" w:rsidRPr="00EF7449">
        <w:rPr>
          <w:rFonts w:asciiTheme="minorHAnsi" w:hAnsiTheme="minorHAnsi" w:cstheme="minorHAnsi"/>
          <w:color w:val="000000" w:themeColor="text1"/>
          <w:lang w:val="es-MX"/>
        </w:rPr>
        <w:t xml:space="preserve">"El KH 150 cierra la brecha entre el KH 120 y el KH 310, pero hace mucho más que eso", explica el director de </w:t>
      </w:r>
      <w:r w:rsidR="006C18F9">
        <w:rPr>
          <w:rFonts w:asciiTheme="minorHAnsi" w:hAnsiTheme="minorHAnsi" w:cstheme="minorHAnsi"/>
          <w:color w:val="000000" w:themeColor="text1"/>
          <w:lang w:val="es-MX"/>
        </w:rPr>
        <w:t xml:space="preserve">este portafolio de productos </w:t>
      </w:r>
      <w:r w:rsidR="00FB6442" w:rsidRPr="00EF7449">
        <w:rPr>
          <w:rFonts w:asciiTheme="minorHAnsi" w:hAnsiTheme="minorHAnsi" w:cstheme="minorHAnsi"/>
          <w:color w:val="000000" w:themeColor="text1"/>
          <w:lang w:val="es-MX"/>
        </w:rPr>
        <w:t xml:space="preserve">Stephan Mauer. "Su motor DSP interno ofrece muchas ventajas, como un crossover de fase linealizada y un nuevo nivel de </w:t>
      </w:r>
      <w:r w:rsidR="00FB6442" w:rsidRPr="00EF7449">
        <w:rPr>
          <w:rFonts w:asciiTheme="minorHAnsi" w:hAnsiTheme="minorHAnsi" w:cstheme="minorHAnsi"/>
          <w:color w:val="000000" w:themeColor="text1"/>
          <w:lang w:val="es-MX"/>
        </w:rPr>
        <w:lastRenderedPageBreak/>
        <w:t xml:space="preserve">consistencia tonal. El KH 150 está fabricado con unas tolerancias extremadamente bajas, ¡de no más de ± 0,8 dB!  Y </w:t>
      </w:r>
      <w:r w:rsidR="00955816">
        <w:rPr>
          <w:rFonts w:asciiTheme="minorHAnsi" w:hAnsiTheme="minorHAnsi" w:cstheme="minorHAnsi"/>
          <w:color w:val="000000" w:themeColor="text1"/>
          <w:lang w:val="es-MX"/>
        </w:rPr>
        <w:t>tú</w:t>
      </w:r>
      <w:r w:rsidR="00FB6442" w:rsidRPr="00EF7449">
        <w:rPr>
          <w:rFonts w:asciiTheme="minorHAnsi" w:hAnsiTheme="minorHAnsi" w:cstheme="minorHAnsi"/>
          <w:color w:val="000000" w:themeColor="text1"/>
          <w:lang w:val="es-MX"/>
        </w:rPr>
        <w:t xml:space="preserve"> también puede</w:t>
      </w:r>
      <w:r w:rsidR="00955816">
        <w:rPr>
          <w:rFonts w:asciiTheme="minorHAnsi" w:hAnsiTheme="minorHAnsi" w:cstheme="minorHAnsi"/>
          <w:color w:val="000000" w:themeColor="text1"/>
          <w:lang w:val="es-MX"/>
        </w:rPr>
        <w:t>s</w:t>
      </w:r>
      <w:r w:rsidR="00FB6442" w:rsidRPr="00EF7449">
        <w:rPr>
          <w:rFonts w:asciiTheme="minorHAnsi" w:hAnsiTheme="minorHAnsi" w:cstheme="minorHAnsi"/>
          <w:color w:val="000000" w:themeColor="text1"/>
          <w:lang w:val="es-MX"/>
        </w:rPr>
        <w:t xml:space="preserve"> oírlo: La imagen estéreo es muy nítida".</w:t>
      </w:r>
    </w:p>
    <w:p w14:paraId="082B4BC9" w14:textId="77777777" w:rsidR="00FB6442" w:rsidRPr="00EF7449" w:rsidRDefault="00FB6442" w:rsidP="00FB6442">
      <w:pPr>
        <w:rPr>
          <w:rFonts w:asciiTheme="minorHAnsi" w:hAnsiTheme="minorHAnsi" w:cstheme="minorHAnsi"/>
          <w:color w:val="000000" w:themeColor="text1"/>
          <w:lang w:val="es-MX"/>
        </w:rPr>
      </w:pPr>
    </w:p>
    <w:p w14:paraId="03A0A12E" w14:textId="77777777" w:rsidR="00EC4781" w:rsidRPr="00EF7449" w:rsidRDefault="002B2860">
      <w:pPr>
        <w:rPr>
          <w:rFonts w:asciiTheme="minorHAnsi" w:hAnsiTheme="minorHAnsi" w:cstheme="minorHAnsi"/>
          <w:color w:val="000000" w:themeColor="text1"/>
          <w:lang w:val="es-MX"/>
        </w:rPr>
      </w:pPr>
      <w:r w:rsidRPr="00EF7449">
        <w:rPr>
          <w:rFonts w:asciiTheme="minorHAnsi" w:hAnsiTheme="minorHAnsi" w:cstheme="minorHAnsi"/>
          <w:color w:val="000000" w:themeColor="text1"/>
          <w:lang w:val="es-MX"/>
        </w:rPr>
        <w:t>La electrónica digital también permite calibrar el KH 150 mediante la alineación automática de mon</w:t>
      </w:r>
      <w:r w:rsidRPr="00EF7449">
        <w:rPr>
          <w:rFonts w:asciiTheme="minorHAnsi" w:hAnsiTheme="minorHAnsi" w:cstheme="minorHAnsi"/>
          <w:color w:val="000000" w:themeColor="text1"/>
          <w:lang w:val="es-MX"/>
        </w:rPr>
        <w:t>itores MA 1 de Neumann (se vende por separado). "El KH 150 sigue la misma filosofía que todos los monitores de estudio Neumann: máxima linealidad, mínima distorsión, ausencia de coloración y perfecta adaptabilidad a cualquier entorno acústico", afirma el d</w:t>
      </w:r>
      <w:r w:rsidRPr="00EF7449">
        <w:rPr>
          <w:rFonts w:asciiTheme="minorHAnsi" w:hAnsiTheme="minorHAnsi" w:cstheme="minorHAnsi"/>
          <w:color w:val="000000" w:themeColor="text1"/>
          <w:lang w:val="es-MX"/>
        </w:rPr>
        <w:t>irector general de Neumann, Ralf Oehl. "En nuestra búsqueda de la perfección sónica, no sólo optimizamos cada parámetro del propio altavoz, sino que también incluimos la mayor variable: el entorno de escucha. El motor DSP del KH 150 se integra perfectament</w:t>
      </w:r>
      <w:r w:rsidRPr="00EF7449">
        <w:rPr>
          <w:rFonts w:asciiTheme="minorHAnsi" w:hAnsiTheme="minorHAnsi" w:cstheme="minorHAnsi"/>
          <w:color w:val="000000" w:themeColor="text1"/>
          <w:lang w:val="es-MX"/>
        </w:rPr>
        <w:t>e con la revolucionaria alineación automática de monitores MA 1 de Neumann para obtener el mejor sonido posible en cualquier sala."</w:t>
      </w:r>
    </w:p>
    <w:p w14:paraId="2D2DE4AB" w14:textId="77777777" w:rsidR="00FB6442" w:rsidRPr="00EF7449" w:rsidRDefault="00FB6442" w:rsidP="00FB6442">
      <w:pPr>
        <w:rPr>
          <w:rFonts w:asciiTheme="minorHAnsi" w:hAnsiTheme="minorHAnsi" w:cstheme="minorHAnsi"/>
          <w:color w:val="000000" w:themeColor="text1"/>
          <w:lang w:val="es-MX"/>
        </w:rPr>
      </w:pPr>
    </w:p>
    <w:p w14:paraId="44541569" w14:textId="77777777" w:rsidR="00EC4781" w:rsidRPr="00EF7449" w:rsidRDefault="002B2860">
      <w:pPr>
        <w:rPr>
          <w:rFonts w:asciiTheme="minorHAnsi" w:hAnsiTheme="minorHAnsi" w:cstheme="minorHAnsi"/>
          <w:color w:val="000000" w:themeColor="text1"/>
          <w:lang w:val="es-MX"/>
        </w:rPr>
      </w:pPr>
      <w:r w:rsidRPr="00EF7449">
        <w:rPr>
          <w:rFonts w:asciiTheme="minorHAnsi" w:hAnsiTheme="minorHAnsi" w:cstheme="minorHAnsi"/>
          <w:color w:val="000000" w:themeColor="text1"/>
          <w:lang w:val="es-MX"/>
        </w:rPr>
        <w:t>Además, el KH 150 es extremadamente eficiente desde el punto de vista energético. Los ingenieros de Neumann se esmeraron en</w:t>
      </w:r>
      <w:r w:rsidRPr="00EF7449">
        <w:rPr>
          <w:rFonts w:asciiTheme="minorHAnsi" w:hAnsiTheme="minorHAnsi" w:cstheme="minorHAnsi"/>
          <w:color w:val="000000" w:themeColor="text1"/>
          <w:lang w:val="es-MX"/>
        </w:rPr>
        <w:t xml:space="preserve"> desarrollar una tecnología de amplificación pendiente de patente que combina un rendimiento de audio superior con la eficiencia energética de la clase D. Aunque los amplificadores del KH 150 suministran hasta 145 W al </w:t>
      </w:r>
      <w:proofErr w:type="spellStart"/>
      <w:r w:rsidRPr="00EF7449">
        <w:rPr>
          <w:rFonts w:asciiTheme="minorHAnsi" w:hAnsiTheme="minorHAnsi" w:cstheme="minorHAnsi"/>
          <w:color w:val="000000" w:themeColor="text1"/>
          <w:lang w:val="es-MX"/>
        </w:rPr>
        <w:t>woofer</w:t>
      </w:r>
      <w:proofErr w:type="spellEnd"/>
      <w:r w:rsidRPr="00EF7449">
        <w:rPr>
          <w:rFonts w:asciiTheme="minorHAnsi" w:hAnsiTheme="minorHAnsi" w:cstheme="minorHAnsi"/>
          <w:color w:val="000000" w:themeColor="text1"/>
          <w:lang w:val="es-MX"/>
        </w:rPr>
        <w:t xml:space="preserve"> de 6,5" y 100 W al </w:t>
      </w:r>
      <w:proofErr w:type="spellStart"/>
      <w:r w:rsidRPr="00EF7449">
        <w:rPr>
          <w:rFonts w:asciiTheme="minorHAnsi" w:hAnsiTheme="minorHAnsi" w:cstheme="minorHAnsi"/>
          <w:color w:val="000000" w:themeColor="text1"/>
          <w:lang w:val="es-MX"/>
        </w:rPr>
        <w:t>tweeter</w:t>
      </w:r>
      <w:proofErr w:type="spellEnd"/>
      <w:r w:rsidRPr="00EF7449">
        <w:rPr>
          <w:rFonts w:asciiTheme="minorHAnsi" w:hAnsiTheme="minorHAnsi" w:cstheme="minorHAnsi"/>
          <w:color w:val="000000" w:themeColor="text1"/>
          <w:lang w:val="es-MX"/>
        </w:rPr>
        <w:t xml:space="preserve"> de </w:t>
      </w:r>
      <w:r w:rsidRPr="00EF7449">
        <w:rPr>
          <w:rFonts w:asciiTheme="minorHAnsi" w:hAnsiTheme="minorHAnsi" w:cstheme="minorHAnsi"/>
          <w:color w:val="000000" w:themeColor="text1"/>
          <w:lang w:val="es-MX"/>
        </w:rPr>
        <w:t xml:space="preserve">1", sólo consumen 17 W en reposo. El modo de espera automático reduce el consumo de energía a 0,3 W cuando el KH 150 no se ha utilizado durante un tiempo, pero puede desactivarse. </w:t>
      </w:r>
    </w:p>
    <w:p w14:paraId="225B8E40" w14:textId="77777777" w:rsidR="00FB6442" w:rsidRPr="00EF7449" w:rsidRDefault="00FB6442" w:rsidP="00FB6442">
      <w:pPr>
        <w:rPr>
          <w:rFonts w:asciiTheme="minorHAnsi" w:hAnsiTheme="minorHAnsi" w:cstheme="minorHAnsi"/>
          <w:color w:val="000000" w:themeColor="text1"/>
          <w:lang w:val="es-MX"/>
        </w:rPr>
      </w:pPr>
    </w:p>
    <w:p w14:paraId="68C643B8" w14:textId="77777777" w:rsidR="00EC4781" w:rsidRPr="00EF7449" w:rsidRDefault="002B2860">
      <w:pPr>
        <w:rPr>
          <w:rFonts w:asciiTheme="minorHAnsi" w:hAnsiTheme="minorHAnsi" w:cstheme="minorHAnsi"/>
          <w:b/>
          <w:bCs/>
          <w:color w:val="000000" w:themeColor="text1"/>
          <w:lang w:val="es-MX"/>
        </w:rPr>
      </w:pPr>
      <w:r w:rsidRPr="00EF7449">
        <w:rPr>
          <w:rFonts w:asciiTheme="minorHAnsi" w:hAnsiTheme="minorHAnsi" w:cstheme="minorHAnsi"/>
          <w:color w:val="000000" w:themeColor="text1"/>
          <w:lang w:val="es-MX"/>
        </w:rPr>
        <w:t xml:space="preserve">El KH 150 ofrece entradas analógicas y digitales (S/PDIF). También estará </w:t>
      </w:r>
      <w:r w:rsidRPr="00EF7449">
        <w:rPr>
          <w:rFonts w:asciiTheme="minorHAnsi" w:hAnsiTheme="minorHAnsi" w:cstheme="minorHAnsi"/>
          <w:color w:val="000000" w:themeColor="text1"/>
          <w:lang w:val="es-MX"/>
        </w:rPr>
        <w:t>disponible en una variante AES67 con puertos de red de audio AES67 redundantes que cumplen totalmente con los estándares de difusión como ST 2110, redundancia ST 2022-7 y RAVENNA. Al mismo tiempo, el KH 150 AES67 es compatible con los flujos de red AES67 g</w:t>
      </w:r>
      <w:r w:rsidRPr="00EF7449">
        <w:rPr>
          <w:rFonts w:asciiTheme="minorHAnsi" w:hAnsiTheme="minorHAnsi" w:cstheme="minorHAnsi"/>
          <w:color w:val="000000" w:themeColor="text1"/>
          <w:lang w:val="es-MX"/>
        </w:rPr>
        <w:t>enerados por DANTE®.</w:t>
      </w:r>
    </w:p>
    <w:p w14:paraId="53C93C72" w14:textId="707C7EAB" w:rsidR="00187E45" w:rsidRPr="00EF7449" w:rsidRDefault="00187E45" w:rsidP="00D43A74">
      <w:pPr>
        <w:rPr>
          <w:rFonts w:asciiTheme="minorHAnsi" w:hAnsiTheme="minorHAnsi" w:cstheme="minorHAnsi"/>
          <w:color w:val="000000" w:themeColor="text1"/>
          <w:lang w:val="es-MX"/>
        </w:rPr>
      </w:pPr>
    </w:p>
    <w:p w14:paraId="1920DD3C" w14:textId="009B0035" w:rsidR="00EC4781" w:rsidRPr="00EF7449" w:rsidRDefault="002B2860">
      <w:pPr>
        <w:rPr>
          <w:rFonts w:asciiTheme="minorHAnsi" w:hAnsiTheme="minorHAnsi" w:cstheme="minorHAnsi"/>
          <w:color w:val="000000" w:themeColor="text1"/>
          <w:lang w:val="es-MX"/>
        </w:rPr>
      </w:pPr>
      <w:r w:rsidRPr="00EF7449">
        <w:rPr>
          <w:rFonts w:asciiTheme="minorHAnsi" w:hAnsiTheme="minorHAnsi" w:cstheme="minorHAnsi"/>
          <w:color w:val="000000" w:themeColor="text1"/>
          <w:lang w:val="es-MX"/>
        </w:rPr>
        <w:t xml:space="preserve">El KH 150 y el KH 150 AES67 estarán disponibles </w:t>
      </w:r>
      <w:r w:rsidR="00457A42">
        <w:rPr>
          <w:rFonts w:asciiTheme="minorHAnsi" w:hAnsiTheme="minorHAnsi" w:cstheme="minorHAnsi"/>
          <w:color w:val="000000" w:themeColor="text1"/>
          <w:lang w:val="es-MX"/>
        </w:rPr>
        <w:t>a partir de</w:t>
      </w:r>
      <w:r w:rsidRPr="00EF7449">
        <w:rPr>
          <w:rFonts w:asciiTheme="minorHAnsi" w:hAnsiTheme="minorHAnsi" w:cstheme="minorHAnsi"/>
          <w:color w:val="000000" w:themeColor="text1"/>
          <w:lang w:val="es-MX"/>
        </w:rPr>
        <w:t xml:space="preserve"> </w:t>
      </w:r>
      <w:r w:rsidRPr="00EF7449">
        <w:rPr>
          <w:rFonts w:asciiTheme="minorHAnsi" w:hAnsiTheme="minorHAnsi" w:cstheme="minorHAnsi"/>
          <w:color w:val="000000" w:themeColor="text1"/>
          <w:lang w:val="es-MX"/>
        </w:rPr>
        <w:t xml:space="preserve">septiembre </w:t>
      </w:r>
      <w:r w:rsidRPr="00EF7449">
        <w:rPr>
          <w:rFonts w:asciiTheme="minorHAnsi" w:hAnsiTheme="minorHAnsi" w:cstheme="minorHAnsi"/>
          <w:color w:val="000000" w:themeColor="text1"/>
          <w:lang w:val="es-MX"/>
        </w:rPr>
        <w:t xml:space="preserve">de 2022. </w:t>
      </w:r>
      <w:r w:rsidR="00457A42">
        <w:rPr>
          <w:rFonts w:asciiTheme="minorHAnsi" w:hAnsiTheme="minorHAnsi" w:cstheme="minorHAnsi"/>
          <w:color w:val="000000" w:themeColor="text1"/>
          <w:lang w:val="es-MX"/>
        </w:rPr>
        <w:t xml:space="preserve">Más </w:t>
      </w:r>
      <w:r w:rsidR="00C03836" w:rsidRPr="00EF7449">
        <w:rPr>
          <w:rFonts w:asciiTheme="minorHAnsi" w:hAnsiTheme="minorHAnsi" w:cstheme="minorHAnsi"/>
          <w:color w:val="000000" w:themeColor="text1"/>
          <w:lang w:val="es-MX"/>
        </w:rPr>
        <w:t xml:space="preserve">información en </w:t>
      </w:r>
      <w:hyperlink r:id="rId9" w:history="1">
        <w:r w:rsidR="004A3382" w:rsidRPr="00EF7449">
          <w:rPr>
            <w:rStyle w:val="Hyperlink"/>
            <w:rFonts w:asciiTheme="minorHAnsi" w:hAnsiTheme="minorHAnsi" w:cstheme="minorHAnsi"/>
            <w:lang w:val="es-MX"/>
          </w:rPr>
          <w:t>https://en-de.neumann.com/kh-150</w:t>
        </w:r>
      </w:hyperlink>
    </w:p>
    <w:p w14:paraId="2DB7C1B0" w14:textId="7B1E0753" w:rsidR="00154CF8" w:rsidRPr="00EF7449" w:rsidRDefault="00154CF8" w:rsidP="00D43A74">
      <w:pPr>
        <w:rPr>
          <w:rFonts w:asciiTheme="minorHAnsi" w:hAnsiTheme="minorHAnsi" w:cstheme="minorHAnsi"/>
          <w:color w:val="000000" w:themeColor="text1"/>
          <w:lang w:val="es-MX"/>
        </w:rPr>
      </w:pPr>
    </w:p>
    <w:p w14:paraId="1CD41626" w14:textId="77777777" w:rsidR="00EC4781" w:rsidRPr="00EF7449" w:rsidRDefault="002B2860">
      <w:pPr>
        <w:pStyle w:val="ListParagraph"/>
        <w:numPr>
          <w:ilvl w:val="0"/>
          <w:numId w:val="14"/>
        </w:numPr>
        <w:spacing w:line="240" w:lineRule="auto"/>
        <w:ind w:left="567" w:hanging="283"/>
        <w:rPr>
          <w:rFonts w:cstheme="minorHAnsi"/>
          <w:lang w:val="es-MX"/>
        </w:rPr>
      </w:pPr>
      <w:r w:rsidRPr="00EF7449">
        <w:rPr>
          <w:rFonts w:cstheme="minorHAnsi"/>
          <w:lang w:val="es-MX"/>
        </w:rPr>
        <w:t>Respuesta lineal en frecuencia y fase</w:t>
      </w:r>
    </w:p>
    <w:p w14:paraId="0F6270FF" w14:textId="77777777" w:rsidR="00EC4781" w:rsidRPr="00EF7449" w:rsidRDefault="002B2860">
      <w:pPr>
        <w:pStyle w:val="ListParagraph"/>
        <w:numPr>
          <w:ilvl w:val="0"/>
          <w:numId w:val="14"/>
        </w:numPr>
        <w:spacing w:line="240" w:lineRule="auto"/>
        <w:ind w:left="567" w:hanging="283"/>
        <w:rPr>
          <w:lang w:val="es-MX"/>
        </w:rPr>
      </w:pPr>
      <w:r w:rsidRPr="00EF7449">
        <w:rPr>
          <w:lang w:val="es-MX"/>
        </w:rPr>
        <w:t xml:space="preserve">Motor DSP para un rendimiento extraordinario y alineación automática de la sala </w:t>
      </w:r>
      <w:r w:rsidRPr="00EF7449">
        <w:rPr>
          <w:lang w:val="es-MX"/>
        </w:rPr>
        <w:t>mediante MA 1</w:t>
      </w:r>
    </w:p>
    <w:p w14:paraId="4E959B29" w14:textId="77777777" w:rsidR="00EC4781" w:rsidRPr="00EF7449" w:rsidRDefault="002B2860">
      <w:pPr>
        <w:pStyle w:val="ListParagraph"/>
        <w:numPr>
          <w:ilvl w:val="0"/>
          <w:numId w:val="14"/>
        </w:numPr>
        <w:spacing w:line="240" w:lineRule="auto"/>
        <w:ind w:left="567" w:hanging="283"/>
        <w:rPr>
          <w:lang w:val="es-MX"/>
        </w:rPr>
      </w:pPr>
      <w:r w:rsidRPr="00EF7449">
        <w:rPr>
          <w:rFonts w:cstheme="minorHAnsi"/>
          <w:lang w:val="es-MX"/>
        </w:rPr>
        <w:t xml:space="preserve">Bajos profundos </w:t>
      </w:r>
      <w:r w:rsidRPr="00EF7449">
        <w:rPr>
          <w:lang w:val="es-MX"/>
        </w:rPr>
        <w:t xml:space="preserve">hasta 39 Hz y gran capacidad de SPL </w:t>
      </w:r>
    </w:p>
    <w:p w14:paraId="5C6E5A65" w14:textId="77777777" w:rsidR="00EC4781" w:rsidRPr="00EF7449" w:rsidRDefault="002B2860">
      <w:pPr>
        <w:pStyle w:val="ListParagraph"/>
        <w:numPr>
          <w:ilvl w:val="0"/>
          <w:numId w:val="14"/>
        </w:numPr>
        <w:spacing w:line="240" w:lineRule="auto"/>
        <w:ind w:left="567" w:hanging="283"/>
        <w:rPr>
          <w:lang w:val="es-MX"/>
        </w:rPr>
      </w:pPr>
      <w:r w:rsidRPr="00EF7449">
        <w:rPr>
          <w:lang w:val="es-MX"/>
        </w:rPr>
        <w:t>Conectividad analógica y S/PDIF, opcionalmente con AES67</w:t>
      </w:r>
    </w:p>
    <w:p w14:paraId="183AB98A" w14:textId="77777777" w:rsidR="005C2BE1" w:rsidRPr="00EF7449" w:rsidRDefault="005C2BE1" w:rsidP="005C2BE1">
      <w:pPr>
        <w:pStyle w:val="ListParagraph"/>
        <w:spacing w:line="240" w:lineRule="auto"/>
        <w:ind w:left="1080"/>
        <w:rPr>
          <w:rFonts w:asciiTheme="minorHAnsi" w:hAnsiTheme="minorHAnsi" w:cstheme="minorHAnsi"/>
          <w:color w:val="000000" w:themeColor="text1"/>
          <w:sz w:val="16"/>
          <w:szCs w:val="16"/>
          <w:lang w:val="es-MX"/>
        </w:rPr>
      </w:pPr>
    </w:p>
    <w:p w14:paraId="1F301DD8" w14:textId="77777777" w:rsidR="004A3382" w:rsidRPr="00EF7449" w:rsidRDefault="004A3382" w:rsidP="004A3382">
      <w:pPr>
        <w:pStyle w:val="ListParagraph"/>
        <w:spacing w:line="240" w:lineRule="auto"/>
        <w:ind w:left="1080"/>
        <w:rPr>
          <w:rFonts w:asciiTheme="minorHAnsi" w:hAnsiTheme="minorHAnsi" w:cstheme="minorHAnsi"/>
          <w:color w:val="000000" w:themeColor="text1"/>
          <w:sz w:val="16"/>
          <w:szCs w:val="16"/>
          <w:lang w:val="es-MX"/>
        </w:rPr>
      </w:pPr>
    </w:p>
    <w:p w14:paraId="108EC11E" w14:textId="77777777" w:rsidR="00EC4781" w:rsidRPr="00EF7449" w:rsidRDefault="002B2860">
      <w:pPr>
        <w:spacing w:line="240" w:lineRule="auto"/>
        <w:rPr>
          <w:rFonts w:asciiTheme="minorHAnsi" w:hAnsiTheme="minorHAnsi" w:cstheme="minorHAnsi"/>
          <w:color w:val="000000" w:themeColor="text1"/>
          <w:sz w:val="16"/>
          <w:szCs w:val="16"/>
          <w:lang w:val="es-MX"/>
        </w:rPr>
      </w:pPr>
      <w:r w:rsidRPr="00EF7449">
        <w:rPr>
          <w:rFonts w:asciiTheme="minorHAnsi" w:hAnsiTheme="minorHAnsi" w:cstheme="minorHAnsi"/>
          <w:b/>
          <w:color w:val="000000" w:themeColor="text1"/>
          <w:sz w:val="16"/>
          <w:szCs w:val="16"/>
          <w:lang w:val="es-MX"/>
        </w:rPr>
        <w:t xml:space="preserve">Acerca de </w:t>
      </w:r>
      <w:r w:rsidR="00FA0FA1" w:rsidRPr="00EF7449">
        <w:rPr>
          <w:rFonts w:asciiTheme="minorHAnsi" w:hAnsiTheme="minorHAnsi" w:cstheme="minorHAnsi"/>
          <w:b/>
          <w:color w:val="000000" w:themeColor="text1"/>
          <w:sz w:val="16"/>
          <w:szCs w:val="16"/>
          <w:lang w:val="es-MX"/>
        </w:rPr>
        <w:t>Neumann</w:t>
      </w:r>
      <w:r w:rsidR="008C6634" w:rsidRPr="00EF7449">
        <w:rPr>
          <w:rFonts w:asciiTheme="minorHAnsi" w:hAnsiTheme="minorHAnsi" w:cstheme="minorHAnsi"/>
          <w:color w:val="000000" w:themeColor="text1"/>
          <w:sz w:val="16"/>
          <w:szCs w:val="16"/>
          <w:lang w:val="es-MX"/>
        </w:rPr>
        <w:br/>
      </w:r>
      <w:r w:rsidRPr="00EF7449">
        <w:rPr>
          <w:rFonts w:asciiTheme="majorHAnsi" w:hAnsiTheme="majorHAnsi" w:cstheme="majorHAnsi"/>
          <w:sz w:val="16"/>
          <w:szCs w:val="16"/>
          <w:lang w:val="es-MX"/>
        </w:rPr>
        <w:t xml:space="preserve">Georg Neumann </w:t>
      </w:r>
      <w:proofErr w:type="spellStart"/>
      <w:r w:rsidRPr="00EF7449">
        <w:rPr>
          <w:rFonts w:asciiTheme="majorHAnsi" w:hAnsiTheme="majorHAnsi" w:cstheme="majorHAnsi"/>
          <w:sz w:val="16"/>
          <w:szCs w:val="16"/>
          <w:lang w:val="es-MX"/>
        </w:rPr>
        <w:t>GmbH</w:t>
      </w:r>
      <w:proofErr w:type="spellEnd"/>
      <w:r w:rsidRPr="00EF7449">
        <w:rPr>
          <w:rFonts w:asciiTheme="majorHAnsi" w:hAnsiTheme="majorHAnsi" w:cstheme="majorHAnsi"/>
          <w:sz w:val="16"/>
          <w:szCs w:val="16"/>
          <w:lang w:val="es-MX"/>
        </w:rPr>
        <w:t>, conocida como "</w:t>
      </w:r>
      <w:proofErr w:type="spellStart"/>
      <w:r w:rsidRPr="00EF7449">
        <w:rPr>
          <w:rFonts w:asciiTheme="majorHAnsi" w:hAnsiTheme="majorHAnsi" w:cstheme="majorHAnsi"/>
          <w:sz w:val="16"/>
          <w:szCs w:val="16"/>
          <w:lang w:val="es-MX"/>
        </w:rPr>
        <w:t>Neumann.Berlin</w:t>
      </w:r>
      <w:proofErr w:type="spellEnd"/>
      <w:r w:rsidRPr="00EF7449">
        <w:rPr>
          <w:rFonts w:asciiTheme="majorHAnsi" w:hAnsiTheme="majorHAnsi" w:cstheme="majorHAnsi"/>
          <w:sz w:val="16"/>
          <w:szCs w:val="16"/>
          <w:lang w:val="es-MX"/>
        </w:rPr>
        <w:t>", es uno de los principales fabricantes del mundo de equipos de audio de estudio y el creador de leyendas de la microfonía de grabación como el U 47, M 49, U 67 y U 87. Fundada en 1928, la empresa ha sido r</w:t>
      </w:r>
      <w:r w:rsidRPr="00EF7449">
        <w:rPr>
          <w:rFonts w:asciiTheme="majorHAnsi" w:hAnsiTheme="majorHAnsi" w:cstheme="majorHAnsi"/>
          <w:sz w:val="16"/>
          <w:szCs w:val="16"/>
          <w:lang w:val="es-MX"/>
        </w:rPr>
        <w:t xml:space="preserve">econocida con numerosos premios internacionales por sus innovaciones tecnológicas. Desde 2010, </w:t>
      </w:r>
      <w:proofErr w:type="spellStart"/>
      <w:r w:rsidRPr="00EF7449">
        <w:rPr>
          <w:rFonts w:asciiTheme="majorHAnsi" w:hAnsiTheme="majorHAnsi" w:cstheme="majorHAnsi"/>
          <w:sz w:val="16"/>
          <w:szCs w:val="16"/>
          <w:lang w:val="es-MX"/>
        </w:rPr>
        <w:t>Neumann.Berlin</w:t>
      </w:r>
      <w:proofErr w:type="spellEnd"/>
      <w:r w:rsidRPr="00EF7449">
        <w:rPr>
          <w:rFonts w:asciiTheme="majorHAnsi" w:hAnsiTheme="majorHAnsi" w:cstheme="majorHAnsi"/>
          <w:sz w:val="16"/>
          <w:szCs w:val="16"/>
          <w:lang w:val="es-MX"/>
        </w:rPr>
        <w:t xml:space="preserve"> ha ampliado su experiencia en el diseño de transductores electroacústicos para incluir también el mercado de monitores de estudio, dirigido princi</w:t>
      </w:r>
      <w:r w:rsidRPr="00EF7449">
        <w:rPr>
          <w:rFonts w:asciiTheme="majorHAnsi" w:hAnsiTheme="majorHAnsi" w:cstheme="majorHAnsi"/>
          <w:sz w:val="16"/>
          <w:szCs w:val="16"/>
          <w:lang w:val="es-MX"/>
        </w:rPr>
        <w:t>palmente a la radiodifusión, la grabación y la producción de audio. Los primeros auriculares de estudio Neumann se introdujeron en 2019, y desde 2022, la compañía ha puesto un mayor enfoque en las soluciones de referencia para el audio en vivo. Georg Neuma</w:t>
      </w:r>
      <w:r w:rsidRPr="00EF7449">
        <w:rPr>
          <w:rFonts w:asciiTheme="majorHAnsi" w:hAnsiTheme="majorHAnsi" w:cstheme="majorHAnsi"/>
          <w:sz w:val="16"/>
          <w:szCs w:val="16"/>
          <w:lang w:val="es-MX"/>
        </w:rPr>
        <w:t xml:space="preserve">nn </w:t>
      </w:r>
      <w:proofErr w:type="spellStart"/>
      <w:r w:rsidRPr="00EF7449">
        <w:rPr>
          <w:rFonts w:asciiTheme="majorHAnsi" w:hAnsiTheme="majorHAnsi" w:cstheme="majorHAnsi"/>
          <w:sz w:val="16"/>
          <w:szCs w:val="16"/>
          <w:lang w:val="es-MX"/>
        </w:rPr>
        <w:t>GmbH</w:t>
      </w:r>
      <w:proofErr w:type="spellEnd"/>
      <w:r w:rsidRPr="00EF7449">
        <w:rPr>
          <w:rFonts w:asciiTheme="majorHAnsi" w:hAnsiTheme="majorHAnsi" w:cstheme="majorHAnsi"/>
          <w:sz w:val="16"/>
          <w:szCs w:val="16"/>
          <w:lang w:val="es-MX"/>
        </w:rPr>
        <w:t xml:space="preserve"> forma parte del Grupo Sennheiser desde 1991, y está representada en todo el mundo por la red de filiales y socios comerciales de Sennheiser desde hace tiempo.</w:t>
      </w:r>
    </w:p>
    <w:p w14:paraId="4A7A834B" w14:textId="77777777" w:rsidR="00154CF8" w:rsidRPr="00EF7449" w:rsidRDefault="00154CF8" w:rsidP="00154CF8">
      <w:pPr>
        <w:spacing w:after="120" w:line="276" w:lineRule="auto"/>
        <w:rPr>
          <w:rFonts w:asciiTheme="minorHAnsi" w:hAnsiTheme="minorHAnsi" w:cstheme="minorHAnsi"/>
          <w:b/>
          <w:color w:val="000000" w:themeColor="text1"/>
          <w:lang w:val="es-MX"/>
        </w:rPr>
      </w:pPr>
    </w:p>
    <w:p w14:paraId="4F934901" w14:textId="77777777" w:rsidR="00EC4781" w:rsidRPr="00EF7449" w:rsidRDefault="002B2860">
      <w:pPr>
        <w:pStyle w:val="Contact"/>
        <w:rPr>
          <w:rFonts w:asciiTheme="minorHAnsi" w:hAnsiTheme="minorHAnsi" w:cstheme="minorHAnsi"/>
          <w:b/>
          <w:color w:val="000000" w:themeColor="text1"/>
          <w:lang w:val="es-MX"/>
        </w:rPr>
      </w:pPr>
      <w:r w:rsidRPr="00EF7449">
        <w:rPr>
          <w:rFonts w:asciiTheme="minorHAnsi" w:hAnsiTheme="minorHAnsi" w:cstheme="minorHAnsi"/>
          <w:b/>
          <w:color w:val="000000" w:themeColor="text1"/>
          <w:lang w:val="es-MX"/>
        </w:rPr>
        <w:t xml:space="preserve">Contacto con </w:t>
      </w:r>
      <w:r w:rsidR="00E60DE4" w:rsidRPr="00EF7449">
        <w:rPr>
          <w:rFonts w:asciiTheme="minorHAnsi" w:hAnsiTheme="minorHAnsi" w:cstheme="minorHAnsi"/>
          <w:b/>
          <w:color w:val="000000" w:themeColor="text1"/>
          <w:lang w:val="es-MX"/>
        </w:rPr>
        <w:t xml:space="preserve">la prensa </w:t>
      </w:r>
      <w:r w:rsidR="007506CE" w:rsidRPr="00EF7449">
        <w:rPr>
          <w:rFonts w:asciiTheme="minorHAnsi" w:hAnsiTheme="minorHAnsi" w:cstheme="minorHAnsi"/>
          <w:b/>
          <w:color w:val="000000" w:themeColor="text1"/>
          <w:lang w:val="es-MX"/>
        </w:rPr>
        <w:t>Neumann</w:t>
      </w:r>
      <w:r w:rsidR="00FA0FA1" w:rsidRPr="00EF7449">
        <w:rPr>
          <w:rFonts w:asciiTheme="minorHAnsi" w:hAnsiTheme="minorHAnsi" w:cstheme="minorHAnsi"/>
          <w:b/>
          <w:color w:val="000000" w:themeColor="text1"/>
          <w:lang w:val="es-MX"/>
        </w:rPr>
        <w:t>:</w:t>
      </w:r>
    </w:p>
    <w:p w14:paraId="4DDA273D" w14:textId="148FCA9B" w:rsidR="00EC4781" w:rsidRDefault="00EF7449">
      <w:pPr>
        <w:pStyle w:val="Contact"/>
        <w:rPr>
          <w:rFonts w:asciiTheme="minorHAnsi" w:hAnsiTheme="minorHAnsi" w:cstheme="minorHAnsi"/>
          <w:color w:val="000000" w:themeColor="text1"/>
          <w:lang w:val="en-US"/>
        </w:rPr>
      </w:pPr>
      <w:r>
        <w:rPr>
          <w:rFonts w:asciiTheme="minorHAnsi" w:hAnsiTheme="minorHAnsi" w:cstheme="minorHAnsi"/>
          <w:color w:val="000000" w:themeColor="text1"/>
          <w:lang w:val="en-US"/>
        </w:rPr>
        <w:t>Mara Guillen</w:t>
      </w:r>
    </w:p>
    <w:p w14:paraId="6B5C4957" w14:textId="3E6F248F" w:rsidR="00EF7449" w:rsidRDefault="00EF7449">
      <w:pPr>
        <w:pStyle w:val="Contact"/>
        <w:rPr>
          <w:rFonts w:asciiTheme="minorHAnsi" w:hAnsiTheme="minorHAnsi" w:cstheme="minorHAnsi"/>
          <w:color w:val="000000" w:themeColor="text1"/>
          <w:lang w:val="en-US"/>
        </w:rPr>
      </w:pPr>
      <w:hyperlink r:id="rId10" w:history="1">
        <w:r w:rsidRPr="00C05D4F">
          <w:rPr>
            <w:rStyle w:val="Hyperlink"/>
            <w:rFonts w:asciiTheme="minorHAnsi" w:hAnsiTheme="minorHAnsi" w:cstheme="minorHAnsi"/>
            <w:lang w:val="en-US"/>
          </w:rPr>
          <w:t>Mara.guillen@sennheiser.com</w:t>
        </w:r>
      </w:hyperlink>
    </w:p>
    <w:p w14:paraId="31F2B973" w14:textId="631BB408" w:rsidR="00EF7449" w:rsidRDefault="00EF7449">
      <w:pPr>
        <w:pStyle w:val="Contact"/>
        <w:rPr>
          <w:rFonts w:asciiTheme="minorHAnsi" w:hAnsiTheme="minorHAnsi" w:cstheme="minorHAnsi"/>
          <w:lang w:val="en-US"/>
        </w:rPr>
      </w:pPr>
      <w:r>
        <w:rPr>
          <w:rFonts w:asciiTheme="minorHAnsi" w:hAnsiTheme="minorHAnsi" w:cstheme="minorHAnsi"/>
          <w:color w:val="000000" w:themeColor="text1"/>
          <w:lang w:val="en-US"/>
        </w:rPr>
        <w:t>+52 55 4352 2381</w:t>
      </w:r>
    </w:p>
    <w:sectPr w:rsidR="00EF7449" w:rsidSect="007F4BB7">
      <w:headerReference w:type="default" r:id="rId11"/>
      <w:headerReference w:type="first" r:id="rId12"/>
      <w:pgSz w:w="11906" w:h="16838" w:code="9"/>
      <w:pgMar w:top="2530"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AE98E" w14:textId="77777777" w:rsidR="002B2860" w:rsidRDefault="002B2860" w:rsidP="00CF26E7">
      <w:pPr>
        <w:spacing w:line="240" w:lineRule="auto"/>
      </w:pPr>
      <w:r>
        <w:separator/>
      </w:r>
    </w:p>
  </w:endnote>
  <w:endnote w:type="continuationSeparator" w:id="0">
    <w:p w14:paraId="1A504845" w14:textId="77777777" w:rsidR="002B2860" w:rsidRDefault="002B2860"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2647610-8585-4C1B-9ECC-1986AA267CE8}"/>
    <w:embedBold r:id="rId2" w:fontKey="{272CFDE2-DB90-40E8-B531-90CA6B6A7DA7}"/>
    <w:embedBoldItalic r:id="rId3" w:fontKey="{4D1DE1E3-265E-45D7-98A1-97A401ECE6FC}"/>
  </w:font>
  <w:font w:name="Segoe UI">
    <w:panose1 w:val="020B0502040204020203"/>
    <w:charset w:val="00"/>
    <w:family w:val="swiss"/>
    <w:pitch w:val="variable"/>
    <w:sig w:usb0="E4002EFF" w:usb1="C000E47F" w:usb2="00000009" w:usb3="00000000" w:csb0="000001FF" w:csb1="00000000"/>
    <w:embedRegular r:id="rId4" w:fontKey="{4113D596-29EE-45AE-B521-2375774FE48D}"/>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1049E67E-E6F3-4079-AF3B-D25D78907876}"/>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F7E44" w14:textId="77777777" w:rsidR="002B2860" w:rsidRDefault="002B2860" w:rsidP="00CF26E7">
      <w:pPr>
        <w:spacing w:line="240" w:lineRule="auto"/>
      </w:pPr>
      <w:r>
        <w:separator/>
      </w:r>
    </w:p>
  </w:footnote>
  <w:footnote w:type="continuationSeparator" w:id="0">
    <w:p w14:paraId="457A3419" w14:textId="77777777" w:rsidR="002B2860" w:rsidRDefault="002B2860"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B9D6" w14:textId="77777777" w:rsidR="00EC4781" w:rsidRDefault="002B2860">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FE5D1" w14:textId="77777777" w:rsidR="00EC4781" w:rsidRDefault="001B34F2">
    <w:pPr>
      <w:pStyle w:val="Header"/>
      <w:rPr>
        <w:rFonts w:asciiTheme="minorHAnsi" w:hAnsiTheme="minorHAnsi" w:cstheme="minorHAnsi"/>
        <w:color w:val="414141" w:themeColor="accent2"/>
      </w:rPr>
    </w:pPr>
    <w:r>
      <w:rPr>
        <w:rFonts w:asciiTheme="minorHAnsi" w:hAnsiTheme="minorHAnsi" w:cstheme="minorHAnsi"/>
        <w:color w:val="414141" w:themeColor="accent2"/>
      </w:rPr>
      <w:t>COMUNICADO DE PRENSA</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414141" w:themeColor="accent2"/>
      </w:rPr>
      <w:t xml:space="preserve"> </w:t>
    </w:r>
  </w:p>
  <w:p w14:paraId="6630715B" w14:textId="77777777" w:rsidR="00EC4781" w:rsidRDefault="002B2860">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3543B8"/>
    <w:multiLevelType w:val="hybridMultilevel"/>
    <w:tmpl w:val="51EC623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3F433C"/>
    <w:multiLevelType w:val="hybridMultilevel"/>
    <w:tmpl w:val="2384D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1B747F"/>
    <w:multiLevelType w:val="hybridMultilevel"/>
    <w:tmpl w:val="DDB2B4A4"/>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13"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8"/>
  </w:num>
  <w:num w:numId="4">
    <w:abstractNumId w:val="3"/>
  </w:num>
  <w:num w:numId="5">
    <w:abstractNumId w:val="7"/>
  </w:num>
  <w:num w:numId="6">
    <w:abstractNumId w:val="9"/>
  </w:num>
  <w:num w:numId="7">
    <w:abstractNumId w:val="4"/>
  </w:num>
  <w:num w:numId="8">
    <w:abstractNumId w:val="11"/>
  </w:num>
  <w:num w:numId="9">
    <w:abstractNumId w:val="2"/>
  </w:num>
  <w:num w:numId="10">
    <w:abstractNumId w:val="5"/>
  </w:num>
  <w:num w:numId="11">
    <w:abstractNumId w:val="13"/>
  </w:num>
  <w:num w:numId="12">
    <w:abstractNumId w:val="10"/>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5D49"/>
    <w:rsid w:val="000D0839"/>
    <w:rsid w:val="000D49C1"/>
    <w:rsid w:val="000D66DA"/>
    <w:rsid w:val="000E3661"/>
    <w:rsid w:val="000E4907"/>
    <w:rsid w:val="000E6D9B"/>
    <w:rsid w:val="000F18C2"/>
    <w:rsid w:val="000F4E31"/>
    <w:rsid w:val="000F7E1C"/>
    <w:rsid w:val="001064F7"/>
    <w:rsid w:val="001107BC"/>
    <w:rsid w:val="0011643F"/>
    <w:rsid w:val="0014028C"/>
    <w:rsid w:val="00154CF8"/>
    <w:rsid w:val="00157C98"/>
    <w:rsid w:val="00162582"/>
    <w:rsid w:val="00166A53"/>
    <w:rsid w:val="00174D2F"/>
    <w:rsid w:val="0017502A"/>
    <w:rsid w:val="00184E77"/>
    <w:rsid w:val="001869E9"/>
    <w:rsid w:val="00187E45"/>
    <w:rsid w:val="001A3791"/>
    <w:rsid w:val="001A6703"/>
    <w:rsid w:val="001B05C7"/>
    <w:rsid w:val="001B34F2"/>
    <w:rsid w:val="001C0401"/>
    <w:rsid w:val="001D0CC3"/>
    <w:rsid w:val="001E6BD7"/>
    <w:rsid w:val="001F0467"/>
    <w:rsid w:val="001F0B18"/>
    <w:rsid w:val="001F275C"/>
    <w:rsid w:val="0020279E"/>
    <w:rsid w:val="002053BA"/>
    <w:rsid w:val="00210EFD"/>
    <w:rsid w:val="00213C61"/>
    <w:rsid w:val="00217744"/>
    <w:rsid w:val="0022377B"/>
    <w:rsid w:val="00227AB1"/>
    <w:rsid w:val="002354A9"/>
    <w:rsid w:val="00243C61"/>
    <w:rsid w:val="00245058"/>
    <w:rsid w:val="002611B4"/>
    <w:rsid w:val="00262CA7"/>
    <w:rsid w:val="00266FEB"/>
    <w:rsid w:val="002744A8"/>
    <w:rsid w:val="00275C2D"/>
    <w:rsid w:val="00280534"/>
    <w:rsid w:val="002919D0"/>
    <w:rsid w:val="002938E4"/>
    <w:rsid w:val="00293F7D"/>
    <w:rsid w:val="002949AA"/>
    <w:rsid w:val="00297733"/>
    <w:rsid w:val="002A7771"/>
    <w:rsid w:val="002B2860"/>
    <w:rsid w:val="002C629A"/>
    <w:rsid w:val="002C69B6"/>
    <w:rsid w:val="002C6BE7"/>
    <w:rsid w:val="002D26EF"/>
    <w:rsid w:val="002D2D00"/>
    <w:rsid w:val="002E1B40"/>
    <w:rsid w:val="002E6443"/>
    <w:rsid w:val="002F7F4D"/>
    <w:rsid w:val="00301CB7"/>
    <w:rsid w:val="00304106"/>
    <w:rsid w:val="003057A0"/>
    <w:rsid w:val="00311826"/>
    <w:rsid w:val="00311D5F"/>
    <w:rsid w:val="00312A53"/>
    <w:rsid w:val="003154D6"/>
    <w:rsid w:val="00315E38"/>
    <w:rsid w:val="0031695F"/>
    <w:rsid w:val="00334743"/>
    <w:rsid w:val="00336916"/>
    <w:rsid w:val="00343A56"/>
    <w:rsid w:val="00350C01"/>
    <w:rsid w:val="00351AEC"/>
    <w:rsid w:val="00362CAF"/>
    <w:rsid w:val="00367FEB"/>
    <w:rsid w:val="0037587A"/>
    <w:rsid w:val="00375D35"/>
    <w:rsid w:val="00376FB3"/>
    <w:rsid w:val="00382963"/>
    <w:rsid w:val="00393969"/>
    <w:rsid w:val="00393996"/>
    <w:rsid w:val="00395731"/>
    <w:rsid w:val="00397338"/>
    <w:rsid w:val="003A3466"/>
    <w:rsid w:val="003B0AE2"/>
    <w:rsid w:val="003B39A1"/>
    <w:rsid w:val="003C141C"/>
    <w:rsid w:val="003C165F"/>
    <w:rsid w:val="003D792B"/>
    <w:rsid w:val="00400525"/>
    <w:rsid w:val="00401154"/>
    <w:rsid w:val="00410A68"/>
    <w:rsid w:val="0041111F"/>
    <w:rsid w:val="0044297D"/>
    <w:rsid w:val="00443762"/>
    <w:rsid w:val="00446FB3"/>
    <w:rsid w:val="00451C28"/>
    <w:rsid w:val="00454EB2"/>
    <w:rsid w:val="00457A42"/>
    <w:rsid w:val="004620AA"/>
    <w:rsid w:val="00462EDE"/>
    <w:rsid w:val="0046468F"/>
    <w:rsid w:val="004649EB"/>
    <w:rsid w:val="00471F51"/>
    <w:rsid w:val="00474914"/>
    <w:rsid w:val="00485E2F"/>
    <w:rsid w:val="00490BEA"/>
    <w:rsid w:val="00491BAC"/>
    <w:rsid w:val="0049211B"/>
    <w:rsid w:val="004A18E8"/>
    <w:rsid w:val="004A3382"/>
    <w:rsid w:val="004A3713"/>
    <w:rsid w:val="004A402E"/>
    <w:rsid w:val="004B0A2B"/>
    <w:rsid w:val="004B22D2"/>
    <w:rsid w:val="004B61E2"/>
    <w:rsid w:val="004B7CE3"/>
    <w:rsid w:val="004C32C6"/>
    <w:rsid w:val="004C425C"/>
    <w:rsid w:val="004E3C5C"/>
    <w:rsid w:val="004F3796"/>
    <w:rsid w:val="00500A75"/>
    <w:rsid w:val="00507C89"/>
    <w:rsid w:val="005250F0"/>
    <w:rsid w:val="00530E48"/>
    <w:rsid w:val="00532511"/>
    <w:rsid w:val="00532FF8"/>
    <w:rsid w:val="0055283C"/>
    <w:rsid w:val="005615DB"/>
    <w:rsid w:val="00566061"/>
    <w:rsid w:val="00566C47"/>
    <w:rsid w:val="00582A3B"/>
    <w:rsid w:val="00583FA1"/>
    <w:rsid w:val="00593B57"/>
    <w:rsid w:val="005B0D2E"/>
    <w:rsid w:val="005B4459"/>
    <w:rsid w:val="005B553B"/>
    <w:rsid w:val="005C2BE1"/>
    <w:rsid w:val="005C35A8"/>
    <w:rsid w:val="005C492C"/>
    <w:rsid w:val="005C6B3A"/>
    <w:rsid w:val="005D630D"/>
    <w:rsid w:val="005E7014"/>
    <w:rsid w:val="005E77A0"/>
    <w:rsid w:val="005F2F1F"/>
    <w:rsid w:val="00603D0C"/>
    <w:rsid w:val="00613BFA"/>
    <w:rsid w:val="00627C37"/>
    <w:rsid w:val="00633C4E"/>
    <w:rsid w:val="00634DA6"/>
    <w:rsid w:val="00635799"/>
    <w:rsid w:val="00641321"/>
    <w:rsid w:val="006419E7"/>
    <w:rsid w:val="006428F7"/>
    <w:rsid w:val="006655D2"/>
    <w:rsid w:val="00683214"/>
    <w:rsid w:val="006A160D"/>
    <w:rsid w:val="006A34D9"/>
    <w:rsid w:val="006A6042"/>
    <w:rsid w:val="006B350F"/>
    <w:rsid w:val="006B76B5"/>
    <w:rsid w:val="006C18F9"/>
    <w:rsid w:val="006C343F"/>
    <w:rsid w:val="006C4144"/>
    <w:rsid w:val="006D2617"/>
    <w:rsid w:val="006D33FC"/>
    <w:rsid w:val="006D45CF"/>
    <w:rsid w:val="006E15A8"/>
    <w:rsid w:val="006F3C27"/>
    <w:rsid w:val="007069FD"/>
    <w:rsid w:val="007074A3"/>
    <w:rsid w:val="00714A7F"/>
    <w:rsid w:val="00730659"/>
    <w:rsid w:val="007330F5"/>
    <w:rsid w:val="007356C0"/>
    <w:rsid w:val="00735A9F"/>
    <w:rsid w:val="00737521"/>
    <w:rsid w:val="00740E2A"/>
    <w:rsid w:val="00743192"/>
    <w:rsid w:val="00745BA5"/>
    <w:rsid w:val="007506CE"/>
    <w:rsid w:val="0075278A"/>
    <w:rsid w:val="007676A2"/>
    <w:rsid w:val="00773590"/>
    <w:rsid w:val="0078333B"/>
    <w:rsid w:val="007904C2"/>
    <w:rsid w:val="0079791B"/>
    <w:rsid w:val="007A5E9A"/>
    <w:rsid w:val="007A6246"/>
    <w:rsid w:val="007B3825"/>
    <w:rsid w:val="007B383C"/>
    <w:rsid w:val="007B792D"/>
    <w:rsid w:val="007C00CC"/>
    <w:rsid w:val="007C1FBF"/>
    <w:rsid w:val="007C3958"/>
    <w:rsid w:val="007C6E88"/>
    <w:rsid w:val="007D1C4F"/>
    <w:rsid w:val="007E012D"/>
    <w:rsid w:val="007E72A1"/>
    <w:rsid w:val="007F03AE"/>
    <w:rsid w:val="007F1132"/>
    <w:rsid w:val="007F4BB7"/>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7812"/>
    <w:rsid w:val="00933C79"/>
    <w:rsid w:val="0093523C"/>
    <w:rsid w:val="00945A95"/>
    <w:rsid w:val="00946244"/>
    <w:rsid w:val="0094700A"/>
    <w:rsid w:val="0095228D"/>
    <w:rsid w:val="00955816"/>
    <w:rsid w:val="00957D7D"/>
    <w:rsid w:val="00961899"/>
    <w:rsid w:val="009635C9"/>
    <w:rsid w:val="00980325"/>
    <w:rsid w:val="0099477D"/>
    <w:rsid w:val="0099594C"/>
    <w:rsid w:val="009A798D"/>
    <w:rsid w:val="009B2A4F"/>
    <w:rsid w:val="009B6181"/>
    <w:rsid w:val="009C1D53"/>
    <w:rsid w:val="009D0EAD"/>
    <w:rsid w:val="009E221C"/>
    <w:rsid w:val="009E71F2"/>
    <w:rsid w:val="009F37BB"/>
    <w:rsid w:val="00A02855"/>
    <w:rsid w:val="00A047AB"/>
    <w:rsid w:val="00A05282"/>
    <w:rsid w:val="00A10121"/>
    <w:rsid w:val="00A17779"/>
    <w:rsid w:val="00A20B43"/>
    <w:rsid w:val="00A22F27"/>
    <w:rsid w:val="00A22FA5"/>
    <w:rsid w:val="00A23FD8"/>
    <w:rsid w:val="00A24E64"/>
    <w:rsid w:val="00A2523F"/>
    <w:rsid w:val="00A35E1E"/>
    <w:rsid w:val="00A379C6"/>
    <w:rsid w:val="00A42F9D"/>
    <w:rsid w:val="00A45AF0"/>
    <w:rsid w:val="00A6247D"/>
    <w:rsid w:val="00A70D7D"/>
    <w:rsid w:val="00A76A65"/>
    <w:rsid w:val="00A801AE"/>
    <w:rsid w:val="00A803D0"/>
    <w:rsid w:val="00A86D48"/>
    <w:rsid w:val="00A91C60"/>
    <w:rsid w:val="00A93FF5"/>
    <w:rsid w:val="00A96558"/>
    <w:rsid w:val="00A9668E"/>
    <w:rsid w:val="00AA0134"/>
    <w:rsid w:val="00AA37A8"/>
    <w:rsid w:val="00AB3A56"/>
    <w:rsid w:val="00AB6634"/>
    <w:rsid w:val="00AE51D7"/>
    <w:rsid w:val="00AE5652"/>
    <w:rsid w:val="00B02778"/>
    <w:rsid w:val="00B10B1E"/>
    <w:rsid w:val="00B12BF8"/>
    <w:rsid w:val="00B143E1"/>
    <w:rsid w:val="00B2011D"/>
    <w:rsid w:val="00B31624"/>
    <w:rsid w:val="00B336BB"/>
    <w:rsid w:val="00B539E3"/>
    <w:rsid w:val="00B55377"/>
    <w:rsid w:val="00B61B25"/>
    <w:rsid w:val="00B8122B"/>
    <w:rsid w:val="00B97EA0"/>
    <w:rsid w:val="00BA1D72"/>
    <w:rsid w:val="00BA698C"/>
    <w:rsid w:val="00BA6E2E"/>
    <w:rsid w:val="00BB2808"/>
    <w:rsid w:val="00BB7EEE"/>
    <w:rsid w:val="00BC01FF"/>
    <w:rsid w:val="00BC13F5"/>
    <w:rsid w:val="00BC30EA"/>
    <w:rsid w:val="00BD16C7"/>
    <w:rsid w:val="00BE1B81"/>
    <w:rsid w:val="00BE3406"/>
    <w:rsid w:val="00BE5EA1"/>
    <w:rsid w:val="00BE7925"/>
    <w:rsid w:val="00BF00EF"/>
    <w:rsid w:val="00BF131D"/>
    <w:rsid w:val="00BF537B"/>
    <w:rsid w:val="00BF6469"/>
    <w:rsid w:val="00BF6D7D"/>
    <w:rsid w:val="00BF72CE"/>
    <w:rsid w:val="00C02E3C"/>
    <w:rsid w:val="00C03836"/>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77E85"/>
    <w:rsid w:val="00C82199"/>
    <w:rsid w:val="00C82305"/>
    <w:rsid w:val="00C90C90"/>
    <w:rsid w:val="00C92F6C"/>
    <w:rsid w:val="00C964A3"/>
    <w:rsid w:val="00CA1EB9"/>
    <w:rsid w:val="00CC2ED0"/>
    <w:rsid w:val="00CC6FA2"/>
    <w:rsid w:val="00CD2505"/>
    <w:rsid w:val="00CE58AE"/>
    <w:rsid w:val="00CE6936"/>
    <w:rsid w:val="00CF26E7"/>
    <w:rsid w:val="00CF2CE6"/>
    <w:rsid w:val="00CF338D"/>
    <w:rsid w:val="00D10DA4"/>
    <w:rsid w:val="00D1289A"/>
    <w:rsid w:val="00D12AB9"/>
    <w:rsid w:val="00D12F53"/>
    <w:rsid w:val="00D130A7"/>
    <w:rsid w:val="00D145F9"/>
    <w:rsid w:val="00D179A5"/>
    <w:rsid w:val="00D33BCC"/>
    <w:rsid w:val="00D34FB2"/>
    <w:rsid w:val="00D43A74"/>
    <w:rsid w:val="00D45D0D"/>
    <w:rsid w:val="00D54E6A"/>
    <w:rsid w:val="00D604AF"/>
    <w:rsid w:val="00D64556"/>
    <w:rsid w:val="00D7470D"/>
    <w:rsid w:val="00D76E5F"/>
    <w:rsid w:val="00D839EA"/>
    <w:rsid w:val="00D9317B"/>
    <w:rsid w:val="00DA1385"/>
    <w:rsid w:val="00DB2515"/>
    <w:rsid w:val="00DB5521"/>
    <w:rsid w:val="00DB6648"/>
    <w:rsid w:val="00DC5B64"/>
    <w:rsid w:val="00DD43E2"/>
    <w:rsid w:val="00DE1922"/>
    <w:rsid w:val="00E000F6"/>
    <w:rsid w:val="00E03696"/>
    <w:rsid w:val="00E12CE2"/>
    <w:rsid w:val="00E162FE"/>
    <w:rsid w:val="00E243F0"/>
    <w:rsid w:val="00E31B4F"/>
    <w:rsid w:val="00E320EB"/>
    <w:rsid w:val="00E321F1"/>
    <w:rsid w:val="00E3345E"/>
    <w:rsid w:val="00E44C31"/>
    <w:rsid w:val="00E46D95"/>
    <w:rsid w:val="00E560CE"/>
    <w:rsid w:val="00E60DE4"/>
    <w:rsid w:val="00E70B1B"/>
    <w:rsid w:val="00E73767"/>
    <w:rsid w:val="00E854C0"/>
    <w:rsid w:val="00E87357"/>
    <w:rsid w:val="00E87532"/>
    <w:rsid w:val="00E93487"/>
    <w:rsid w:val="00EA06DF"/>
    <w:rsid w:val="00EA3FEC"/>
    <w:rsid w:val="00EB5F2A"/>
    <w:rsid w:val="00EB7EB2"/>
    <w:rsid w:val="00EC4781"/>
    <w:rsid w:val="00EC50FC"/>
    <w:rsid w:val="00ED0FF3"/>
    <w:rsid w:val="00ED230F"/>
    <w:rsid w:val="00EE3DCA"/>
    <w:rsid w:val="00EE71C7"/>
    <w:rsid w:val="00EF7449"/>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862DB"/>
    <w:rsid w:val="00FA0FA1"/>
    <w:rsid w:val="00FA353C"/>
    <w:rsid w:val="00FA4739"/>
    <w:rsid w:val="00FB2B6D"/>
    <w:rsid w:val="00FB3795"/>
    <w:rsid w:val="00FB6442"/>
    <w:rsid w:val="00FC65B8"/>
    <w:rsid w:val="00FC663A"/>
    <w:rsid w:val="00FC772E"/>
    <w:rsid w:val="00FD0DF3"/>
    <w:rsid w:val="00FE05F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uiPriority w:val="34"/>
    <w:qFormat/>
    <w:rsid w:val="00633C4E"/>
    <w:pPr>
      <w:ind w:left="720"/>
      <w:contextualSpacing/>
    </w:pPr>
  </w:style>
  <w:style w:type="character" w:styleId="UnresolvedMention">
    <w:name w:val="Unresolved Mention"/>
    <w:basedOn w:val="DefaultParagraphFont"/>
    <w:uiPriority w:val="99"/>
    <w:semiHidden/>
    <w:unhideWhenUsed/>
    <w:rsid w:val="00F45D82"/>
    <w:rPr>
      <w:color w:val="605E5C"/>
      <w:shd w:val="clear" w:color="auto" w:fill="E1DFDD"/>
    </w:rPr>
  </w:style>
  <w:style w:type="paragraph" w:styleId="Revision">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ara.guillen@sennheiser.com" TargetMode="External"/><Relationship Id="rId4" Type="http://schemas.openxmlformats.org/officeDocument/2006/relationships/settings" Target="settings.xml"/><Relationship Id="rId9" Type="http://schemas.openxmlformats.org/officeDocument/2006/relationships/hyperlink" Target="https://en-de.neumann.com/kh-15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687</Words>
  <Characters>3920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keywords>, docId:778BD9FEF7B000882F51B649BF982FAC</cp:keywords>
  <cp:lastModifiedBy>Guillen, Mara</cp:lastModifiedBy>
  <cp:revision>20</cp:revision>
  <cp:lastPrinted>2022-08-22T17:00:00Z</cp:lastPrinted>
  <dcterms:created xsi:type="dcterms:W3CDTF">2022-08-15T14:27:00Z</dcterms:created>
  <dcterms:modified xsi:type="dcterms:W3CDTF">2022-08-22T17:00:00Z</dcterms:modified>
</cp:coreProperties>
</file>