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B76" w14:textId="1FFA1CEE" w:rsidR="00B936B3" w:rsidRPr="0087440E" w:rsidRDefault="0074773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747733">
        <w:rPr>
          <w:rFonts w:asciiTheme="minorHAnsi" w:eastAsiaTheme="minorEastAsia" w:hAnsiTheme="minorHAnsi" w:cstheme="minorHAnsi"/>
          <w:b/>
          <w:bCs/>
          <w:color w:val="C3001E"/>
          <w:sz w:val="32"/>
          <w:szCs w:val="32"/>
          <w:lang w:val="es-ES" w:eastAsia="zh-CN"/>
        </w:rPr>
        <w:t>Artículo de prensa</w:t>
      </w: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3F3FD672" w14:textId="5C34F6AA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val="es-ES" w:eastAsia="en-GB"/>
        </w:rPr>
      </w:pPr>
      <w:r w:rsidRPr="00747733">
        <w:rPr>
          <w:b/>
          <w:color w:val="2C363A"/>
          <w:sz w:val="20"/>
          <w:szCs w:val="20"/>
          <w:lang w:val="es-ES" w:eastAsia="en-GB"/>
        </w:rPr>
        <w:br/>
      </w:r>
      <w:proofErr w:type="spellStart"/>
      <w:r w:rsidRPr="00747733">
        <w:rPr>
          <w:b/>
          <w:color w:val="2C363A"/>
          <w:sz w:val="20"/>
          <w:szCs w:val="20"/>
          <w:lang w:val="es-ES" w:eastAsia="en-GB"/>
        </w:rPr>
        <w:t>Mex</w:t>
      </w:r>
      <w:proofErr w:type="spellEnd"/>
      <w:r w:rsidRPr="00747733">
        <w:rPr>
          <w:b/>
          <w:color w:val="2C363A"/>
          <w:sz w:val="20"/>
          <w:szCs w:val="20"/>
          <w:lang w:val="es-ES" w:eastAsia="en-GB"/>
        </w:rPr>
        <w:t xml:space="preserve"> (Suiza), </w:t>
      </w:r>
      <w:r w:rsidRPr="00747733">
        <w:rPr>
          <w:b/>
          <w:color w:val="2C363A"/>
          <w:sz w:val="20"/>
          <w:szCs w:val="20"/>
          <w:lang w:val="es-ES" w:eastAsia="en-GB"/>
        </w:rPr>
        <w:t>16</w:t>
      </w:r>
      <w:r w:rsidRPr="00747733">
        <w:rPr>
          <w:b/>
          <w:color w:val="2C363A"/>
          <w:sz w:val="20"/>
          <w:szCs w:val="20"/>
          <w:lang w:val="es-ES" w:eastAsia="en-GB"/>
        </w:rPr>
        <w:t xml:space="preserve"> de febrero de 2021</w:t>
      </w:r>
      <w:r w:rsidRPr="00747733">
        <w:rPr>
          <w:b/>
          <w:color w:val="2C363A"/>
          <w:sz w:val="20"/>
          <w:szCs w:val="20"/>
          <w:lang w:val="es-ES" w:eastAsia="en-GB"/>
        </w:rPr>
        <w:br/>
      </w:r>
    </w:p>
    <w:p w14:paraId="0F129E92" w14:textId="77777777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val="es-ES" w:eastAsia="en-GB"/>
        </w:rPr>
      </w:pPr>
      <w:r w:rsidRPr="00747733">
        <w:rPr>
          <w:b/>
          <w:color w:val="2C363A"/>
          <w:sz w:val="20"/>
          <w:szCs w:val="20"/>
          <w:lang w:val="es-ES" w:eastAsia="en-GB"/>
        </w:rPr>
        <w:t xml:space="preserve">Conectando todas las piezas: cómo BOBST </w:t>
      </w:r>
      <w:proofErr w:type="spellStart"/>
      <w:r w:rsidRPr="00747733">
        <w:rPr>
          <w:b/>
          <w:color w:val="2C363A"/>
          <w:sz w:val="20"/>
          <w:szCs w:val="20"/>
          <w:lang w:val="es-ES" w:eastAsia="en-GB"/>
        </w:rPr>
        <w:t>Connect</w:t>
      </w:r>
      <w:proofErr w:type="spellEnd"/>
      <w:r w:rsidRPr="00747733">
        <w:rPr>
          <w:b/>
          <w:color w:val="2C363A"/>
          <w:sz w:val="20"/>
          <w:szCs w:val="20"/>
          <w:lang w:val="es-ES" w:eastAsia="en-GB"/>
        </w:rPr>
        <w:t xml:space="preserve"> da forma al futuro del mundo de los embalajes </w:t>
      </w:r>
    </w:p>
    <w:p w14:paraId="585A01A2" w14:textId="77777777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es-ES" w:eastAsia="en-GB"/>
        </w:rPr>
      </w:pPr>
      <w:r w:rsidRPr="00747733">
        <w:rPr>
          <w:color w:val="2C363A"/>
          <w:sz w:val="20"/>
          <w:szCs w:val="20"/>
          <w:lang w:val="es-ES" w:eastAsia="en-GB"/>
        </w:rPr>
        <w:t>Cuando todo se transforma a nuestro alrededor, estar conectados aporta estabilidad.</w:t>
      </w:r>
    </w:p>
    <w:p w14:paraId="0FFD7F58" w14:textId="77777777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es-ES" w:eastAsia="en-GB"/>
        </w:rPr>
      </w:pPr>
      <w:r w:rsidRPr="00747733">
        <w:rPr>
          <w:color w:val="2C363A"/>
          <w:sz w:val="20"/>
          <w:szCs w:val="20"/>
          <w:lang w:val="es-ES" w:eastAsia="en-GB"/>
        </w:rPr>
        <w:t xml:space="preserve">En el entorno actual de la industria de los embalajes, están sucediendo varias transformaciones, no solo por la pandemia de la COVID-19, sino también de la competencia que no deja de crecer y por la gran presión que hay para acelerar los plazos de lanzamiento—y además en tamaños de lotes más pequeños—, por la necesidad de lograr una consistencia cromática y un control de calidad perfectos, y de cumplir con los compromisos de sostenibilidad de las empresas. </w:t>
      </w:r>
    </w:p>
    <w:p w14:paraId="0B0AFE22" w14:textId="77777777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es-ES" w:eastAsia="en-GB"/>
        </w:rPr>
      </w:pPr>
      <w:r w:rsidRPr="00747733">
        <w:rPr>
          <w:color w:val="2C363A"/>
          <w:sz w:val="20"/>
          <w:szCs w:val="20"/>
          <w:lang w:val="es-ES" w:eastAsia="en-GB"/>
        </w:rPr>
        <w:t xml:space="preserve">Para favorecer la conectividad, BOBST está ayudando a liderar una transformación fundamental de la cadena de valor de los embalajes, partiendo de una serie de silos aislados para ofrecer una perspectiva conectada de principio a fin. </w:t>
      </w:r>
    </w:p>
    <w:p w14:paraId="3FC40371" w14:textId="77777777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es-ES" w:eastAsia="en-GB"/>
        </w:rPr>
      </w:pPr>
      <w:r w:rsidRPr="00747733">
        <w:rPr>
          <w:color w:val="2C363A"/>
          <w:sz w:val="20"/>
          <w:szCs w:val="20"/>
          <w:lang w:val="es-ES" w:eastAsia="en-GB"/>
        </w:rPr>
        <w:t xml:space="preserve">BOBST ha anunciado su visión de dar forma al futuro del mundo de los embalajes y construir una estrategia basada en cuatro pilares: conectividad, digitalización, automatización y sostenibilidad. </w:t>
      </w:r>
      <w:hyperlink r:id="rId7" w:history="1">
        <w:r w:rsidRPr="00747733">
          <w:rPr>
            <w:color w:val="0563C1"/>
            <w:sz w:val="20"/>
            <w:szCs w:val="20"/>
            <w:u w:val="single"/>
            <w:lang w:val="es-ES" w:eastAsia="en-GB"/>
          </w:rPr>
          <w:t xml:space="preserve">BOBST </w:t>
        </w:r>
        <w:proofErr w:type="spellStart"/>
        <w:r w:rsidRPr="00747733">
          <w:rPr>
            <w:color w:val="0563C1"/>
            <w:sz w:val="20"/>
            <w:szCs w:val="20"/>
            <w:u w:val="single"/>
            <w:lang w:val="es-ES" w:eastAsia="en-GB"/>
          </w:rPr>
          <w:t>Connect</w:t>
        </w:r>
        <w:proofErr w:type="spellEnd"/>
      </w:hyperlink>
      <w:r w:rsidRPr="00747733">
        <w:rPr>
          <w:color w:val="2C363A"/>
          <w:sz w:val="20"/>
          <w:szCs w:val="20"/>
          <w:lang w:val="es-ES" w:eastAsia="en-GB"/>
        </w:rPr>
        <w:t xml:space="preserve"> está aquí para respaldar todas estas soluciones. Se trata de una plataforma abierta que coordina todo el proceso de producción de embalajes e integra todos los componentes clave que hacen que la producción de embalajes sea más eficaz.</w:t>
      </w:r>
    </w:p>
    <w:p w14:paraId="5DC4DC84" w14:textId="77777777" w:rsidR="00747733" w:rsidRPr="00747733" w:rsidRDefault="00747733" w:rsidP="00747733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es-ES" w:eastAsia="en-GB"/>
        </w:rPr>
      </w:pPr>
      <w:r w:rsidRPr="00747733">
        <w:rPr>
          <w:color w:val="2C363A"/>
          <w:sz w:val="20"/>
          <w:szCs w:val="20"/>
          <w:lang w:val="es-ES" w:eastAsia="en-GB"/>
        </w:rPr>
        <w:t xml:space="preserve">"BOBST </w:t>
      </w:r>
      <w:proofErr w:type="spellStart"/>
      <w:r w:rsidRPr="00747733">
        <w:rPr>
          <w:color w:val="2C363A"/>
          <w:sz w:val="20"/>
          <w:szCs w:val="20"/>
          <w:lang w:val="es-ES" w:eastAsia="en-GB"/>
        </w:rPr>
        <w:t>Connect</w:t>
      </w:r>
      <w:proofErr w:type="spellEnd"/>
      <w:r w:rsidRPr="00747733">
        <w:rPr>
          <w:color w:val="2C363A"/>
          <w:sz w:val="20"/>
          <w:szCs w:val="20"/>
          <w:lang w:val="es-ES" w:eastAsia="en-GB"/>
        </w:rPr>
        <w:t xml:space="preserve"> es una plataforma única que ofrece a las imprentas, empresas de conversión y fabricantes de herramientas un acceso a nuestro ecosistema de soluciones digitales utilizando lo último en la tecnología del Internet de las cosas (</w:t>
      </w:r>
      <w:proofErr w:type="spellStart"/>
      <w:r w:rsidRPr="00747733">
        <w:rPr>
          <w:color w:val="2C363A"/>
          <w:sz w:val="20"/>
          <w:szCs w:val="20"/>
          <w:lang w:val="es-ES" w:eastAsia="en-GB"/>
        </w:rPr>
        <w:t>IoT</w:t>
      </w:r>
      <w:proofErr w:type="spellEnd"/>
      <w:r w:rsidRPr="00747733">
        <w:rPr>
          <w:color w:val="2C363A"/>
          <w:sz w:val="20"/>
          <w:szCs w:val="20"/>
          <w:lang w:val="es-ES" w:eastAsia="en-GB"/>
        </w:rPr>
        <w:t xml:space="preserve">) —explicó </w:t>
      </w:r>
      <w:proofErr w:type="spellStart"/>
      <w:r w:rsidRPr="00747733">
        <w:rPr>
          <w:color w:val="2C363A"/>
          <w:sz w:val="20"/>
          <w:szCs w:val="20"/>
          <w:lang w:val="es-ES" w:eastAsia="en-GB"/>
        </w:rPr>
        <w:t>Serge</w:t>
      </w:r>
      <w:proofErr w:type="spellEnd"/>
      <w:r w:rsidRPr="00747733">
        <w:rPr>
          <w:color w:val="2C363A"/>
          <w:sz w:val="20"/>
          <w:szCs w:val="20"/>
          <w:lang w:val="es-ES" w:eastAsia="en-GB"/>
        </w:rPr>
        <w:t xml:space="preserve"> </w:t>
      </w:r>
      <w:proofErr w:type="spellStart"/>
      <w:r w:rsidRPr="00747733">
        <w:rPr>
          <w:color w:val="2C363A"/>
          <w:sz w:val="20"/>
          <w:szCs w:val="20"/>
          <w:lang w:val="es-ES" w:eastAsia="en-GB"/>
        </w:rPr>
        <w:t>Morisod</w:t>
      </w:r>
      <w:proofErr w:type="spellEnd"/>
      <w:r w:rsidRPr="00747733">
        <w:rPr>
          <w:color w:val="2C363A"/>
          <w:sz w:val="20"/>
          <w:szCs w:val="20"/>
          <w:lang w:val="es-ES" w:eastAsia="en-GB"/>
        </w:rPr>
        <w:t xml:space="preserve">, director del laboratorio </w:t>
      </w:r>
      <w:proofErr w:type="spellStart"/>
      <w:r w:rsidRPr="00747733">
        <w:rPr>
          <w:color w:val="2C363A"/>
          <w:sz w:val="20"/>
          <w:szCs w:val="20"/>
          <w:lang w:val="es-ES" w:eastAsia="en-GB"/>
        </w:rPr>
        <w:t>IoT</w:t>
      </w:r>
      <w:proofErr w:type="spellEnd"/>
      <w:r w:rsidRPr="00747733">
        <w:rPr>
          <w:color w:val="2C363A"/>
          <w:sz w:val="20"/>
          <w:szCs w:val="20"/>
          <w:lang w:val="es-ES" w:eastAsia="en-GB"/>
        </w:rPr>
        <w:t xml:space="preserve"> en BOBST.— Permite un flujo de datos eficaz entre los equipos físicos y las soluciones digitales para contribuir a una comunicación rápida y transparente a lo largo de la cadena de suministro y optimiza todo el flujo de trabajo en la producción. Quizá lo más interesante es que BOBST </w:t>
      </w:r>
      <w:proofErr w:type="spellStart"/>
      <w:r w:rsidRPr="00747733">
        <w:rPr>
          <w:color w:val="2C363A"/>
          <w:sz w:val="20"/>
          <w:szCs w:val="20"/>
          <w:lang w:val="es-ES" w:eastAsia="en-GB"/>
        </w:rPr>
        <w:t>Connect</w:t>
      </w:r>
      <w:proofErr w:type="spellEnd"/>
      <w:r w:rsidRPr="00747733">
        <w:rPr>
          <w:color w:val="2C363A"/>
          <w:sz w:val="20"/>
          <w:szCs w:val="20"/>
          <w:lang w:val="es-ES" w:eastAsia="en-GB"/>
        </w:rPr>
        <w:t xml:space="preserve"> es una plataforma que evoluciona permanentemente y ofrecerá más posibilidades a medida que crezca." </w:t>
      </w:r>
    </w:p>
    <w:p w14:paraId="644CA551" w14:textId="77777777" w:rsidR="00747733" w:rsidRPr="00747733" w:rsidRDefault="00747733" w:rsidP="00747733">
      <w:pPr>
        <w:spacing w:after="160" w:line="259" w:lineRule="auto"/>
        <w:rPr>
          <w:rFonts w:cs="Arial"/>
          <w:color w:val="2C363A"/>
          <w:sz w:val="20"/>
          <w:szCs w:val="20"/>
          <w:lang w:val="es-ES"/>
        </w:rPr>
      </w:pPr>
      <w:r w:rsidRPr="00747733">
        <w:rPr>
          <w:rFonts w:eastAsia="Calibri"/>
          <w:color w:val="2C363A"/>
          <w:sz w:val="20"/>
          <w:szCs w:val="20"/>
          <w:lang w:val="es-ES"/>
        </w:rPr>
        <w:t xml:space="preserve">BOBST </w:t>
      </w:r>
      <w:proofErr w:type="spellStart"/>
      <w:r w:rsidRPr="00747733">
        <w:rPr>
          <w:rFonts w:eastAsia="Calibri"/>
          <w:color w:val="2C363A"/>
          <w:sz w:val="20"/>
          <w:szCs w:val="20"/>
          <w:lang w:val="es-ES"/>
        </w:rPr>
        <w:t>Connect</w:t>
      </w:r>
      <w:proofErr w:type="spellEnd"/>
      <w:r w:rsidRPr="00747733">
        <w:rPr>
          <w:rFonts w:eastAsia="Calibri"/>
          <w:color w:val="2C363A"/>
          <w:sz w:val="20"/>
          <w:szCs w:val="20"/>
          <w:lang w:val="es-ES"/>
        </w:rPr>
        <w:t xml:space="preserve"> abarca cinco ámbitos: </w:t>
      </w:r>
      <w:proofErr w:type="spellStart"/>
      <w:r w:rsidRPr="00747733">
        <w:rPr>
          <w:rFonts w:eastAsia="Calibri"/>
          <w:color w:val="2C363A"/>
          <w:sz w:val="20"/>
          <w:szCs w:val="20"/>
          <w:lang w:val="es-ES"/>
        </w:rPr>
        <w:t>preprensa</w:t>
      </w:r>
      <w:proofErr w:type="spellEnd"/>
      <w:r w:rsidRPr="00747733">
        <w:rPr>
          <w:rFonts w:eastAsia="Calibri"/>
          <w:color w:val="2C363A"/>
          <w:sz w:val="20"/>
          <w:szCs w:val="20"/>
          <w:lang w:val="es-ES"/>
        </w:rPr>
        <w:t>, producción, optimización, mantenimiento y mercado. Ya existen varias soluciones en todos los ámbitos y se están preparando muchas más (véase el siguiente resumen, que incluye algunos ejemplos de soluciones en preparación).</w:t>
      </w:r>
    </w:p>
    <w:p w14:paraId="6B6F0DCF" w14:textId="77777777" w:rsidR="00747733" w:rsidRPr="00747733" w:rsidRDefault="00747733" w:rsidP="00747733">
      <w:pPr>
        <w:spacing w:after="160" w:line="259" w:lineRule="auto"/>
        <w:rPr>
          <w:rFonts w:eastAsia="Calibri" w:cs="Arial"/>
          <w:b/>
          <w:sz w:val="20"/>
          <w:szCs w:val="20"/>
          <w:lang w:val="es-ES"/>
        </w:rPr>
      </w:pPr>
      <w:r w:rsidRPr="00747733">
        <w:rPr>
          <w:rFonts w:eastAsia="Calibri"/>
          <w:b/>
          <w:sz w:val="20"/>
          <w:szCs w:val="20"/>
          <w:lang w:val="es-ES"/>
        </w:rPr>
        <w:t xml:space="preserve">BOBST </w:t>
      </w:r>
      <w:proofErr w:type="spellStart"/>
      <w:r w:rsidRPr="00747733">
        <w:rPr>
          <w:rFonts w:eastAsia="Calibri"/>
          <w:b/>
          <w:sz w:val="20"/>
          <w:szCs w:val="20"/>
          <w:lang w:val="es-ES"/>
        </w:rPr>
        <w:t>Connect</w:t>
      </w:r>
      <w:proofErr w:type="spellEnd"/>
      <w:r w:rsidRPr="00747733">
        <w:rPr>
          <w:rFonts w:eastAsia="Calibri"/>
          <w:b/>
          <w:sz w:val="20"/>
          <w:szCs w:val="20"/>
          <w:lang w:val="es-ES"/>
        </w:rPr>
        <w:t>: Soluciones actuales y futuras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747733" w:rsidRPr="00747733" w14:paraId="34546548" w14:textId="77777777" w:rsidTr="00765098">
        <w:tc>
          <w:tcPr>
            <w:tcW w:w="2972" w:type="dxa"/>
          </w:tcPr>
          <w:p w14:paraId="1E71A1EE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</w:tcPr>
          <w:p w14:paraId="085DF850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BOBST </w:t>
            </w:r>
            <w:proofErr w:type="spellStart"/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Connect</w:t>
            </w:r>
            <w:proofErr w:type="spellEnd"/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  </w:t>
            </w:r>
          </w:p>
          <w:p w14:paraId="180BC82B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Soluciones disponibles</w:t>
            </w:r>
          </w:p>
        </w:tc>
        <w:tc>
          <w:tcPr>
            <w:tcW w:w="2925" w:type="dxa"/>
          </w:tcPr>
          <w:p w14:paraId="170AC874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BOBST </w:t>
            </w:r>
            <w:proofErr w:type="spellStart"/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Connect</w:t>
            </w:r>
            <w:proofErr w:type="spellEnd"/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 </w:t>
            </w:r>
          </w:p>
          <w:p w14:paraId="13B8D1C6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vertAlign w:val="superscript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Próximas soluciones</w:t>
            </w:r>
            <w:r w:rsidRPr="00747733">
              <w:rPr>
                <w:rFonts w:eastAsia="Calibri"/>
                <w:b/>
                <w:sz w:val="20"/>
                <w:szCs w:val="20"/>
                <w:vertAlign w:val="superscript"/>
                <w:lang w:val="es-ES"/>
              </w:rPr>
              <w:t>1</w:t>
            </w:r>
          </w:p>
        </w:tc>
      </w:tr>
      <w:tr w:rsidR="00747733" w:rsidRPr="00747733" w14:paraId="7360164E" w14:textId="77777777" w:rsidTr="00765098">
        <w:tc>
          <w:tcPr>
            <w:tcW w:w="2972" w:type="dxa"/>
          </w:tcPr>
          <w:p w14:paraId="24BE5885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Soluciones de </w:t>
            </w:r>
            <w:proofErr w:type="spellStart"/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preprensa</w:t>
            </w:r>
            <w:proofErr w:type="spellEnd"/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 </w:t>
            </w:r>
          </w:p>
          <w:p w14:paraId="3556A63B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Apoyar a los clientes durante la preparación de trabajo, permitiéndoles ser más eficientes y ágiles</w:t>
            </w:r>
          </w:p>
          <w:p w14:paraId="5833FCF3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</w:p>
          <w:p w14:paraId="5D7BD61C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72D1D639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 xml:space="preserve">Controlador digital de la tecnología </w:t>
            </w:r>
            <w:proofErr w:type="spellStart"/>
            <w:r w:rsidRPr="00747733">
              <w:rPr>
                <w:rFonts w:eastAsia="Calibri"/>
                <w:sz w:val="20"/>
                <w:szCs w:val="20"/>
                <w:lang w:val="es-ES"/>
              </w:rPr>
              <w:t>Mouvent</w:t>
            </w:r>
            <w:proofErr w:type="spellEnd"/>
          </w:p>
          <w:p w14:paraId="771431AE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API para MES &amp; ERP</w:t>
            </w:r>
          </w:p>
        </w:tc>
        <w:tc>
          <w:tcPr>
            <w:tcW w:w="2925" w:type="dxa"/>
          </w:tcPr>
          <w:p w14:paraId="5CC2CC7B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Configuración de pedidos y trabajos</w:t>
            </w:r>
          </w:p>
          <w:p w14:paraId="382B76A8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Lista de comprobación de trabajos</w:t>
            </w:r>
          </w:p>
          <w:p w14:paraId="7673DB0D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Configuración de la inspección</w:t>
            </w:r>
          </w:p>
          <w:p w14:paraId="55A781A0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 herramientas</w:t>
            </w:r>
          </w:p>
          <w:p w14:paraId="1624B35D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 recetas</w:t>
            </w:r>
          </w:p>
          <w:p w14:paraId="1901C144" w14:textId="77777777" w:rsidR="00747733" w:rsidRPr="00747733" w:rsidRDefault="00747733" w:rsidP="00747733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lastRenderedPageBreak/>
              <w:t>Controlador digital de corte laser</w:t>
            </w:r>
          </w:p>
        </w:tc>
      </w:tr>
      <w:tr w:rsidR="00747733" w:rsidRPr="00747733" w14:paraId="3E6C9C78" w14:textId="77777777" w:rsidTr="00765098">
        <w:tc>
          <w:tcPr>
            <w:tcW w:w="2972" w:type="dxa"/>
          </w:tcPr>
          <w:p w14:paraId="4844AEEA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lastRenderedPageBreak/>
              <w:t>Producción</w:t>
            </w:r>
          </w:p>
          <w:p w14:paraId="0DF71529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Apoyar a nuestros clientes mientras el trabajo se está ejecutando en la máquina. Les da un acceso total y transparente a los datos de producción.</w:t>
            </w:r>
          </w:p>
        </w:tc>
        <w:tc>
          <w:tcPr>
            <w:tcW w:w="3119" w:type="dxa"/>
          </w:tcPr>
          <w:p w14:paraId="5AF38AAD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proofErr w:type="spellStart"/>
            <w:r w:rsidRPr="00747733">
              <w:rPr>
                <w:rFonts w:eastAsia="Calibri"/>
                <w:sz w:val="20"/>
                <w:szCs w:val="20"/>
                <w:lang w:val="es-ES"/>
              </w:rPr>
              <w:t>Connect</w:t>
            </w:r>
            <w:proofErr w:type="spellEnd"/>
            <w:r w:rsidRPr="00747733">
              <w:rPr>
                <w:rFonts w:eastAsia="Calibri"/>
                <w:sz w:val="20"/>
                <w:szCs w:val="20"/>
                <w:lang w:val="es-ES"/>
              </w:rPr>
              <w:t xml:space="preserve"> Portal y Mobile Portal</w:t>
            </w:r>
          </w:p>
          <w:p w14:paraId="4C1C054F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Monitorización remota</w:t>
            </w:r>
          </w:p>
          <w:p w14:paraId="6A048834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Seguimiento de paradas</w:t>
            </w:r>
          </w:p>
        </w:tc>
        <w:tc>
          <w:tcPr>
            <w:tcW w:w="2925" w:type="dxa"/>
          </w:tcPr>
          <w:p w14:paraId="4AEA314B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Monitorización de equipos</w:t>
            </w:r>
          </w:p>
          <w:p w14:paraId="1571F47F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del rendimiento</w:t>
            </w:r>
          </w:p>
          <w:p w14:paraId="4FBD7557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 herramientas</w:t>
            </w:r>
          </w:p>
          <w:p w14:paraId="324B7634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Lista de comprobación de trabajos</w:t>
            </w:r>
          </w:p>
          <w:p w14:paraId="14027C70" w14:textId="77777777" w:rsidR="00747733" w:rsidRPr="00747733" w:rsidRDefault="00747733" w:rsidP="0074773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Informes de calidad</w:t>
            </w:r>
          </w:p>
        </w:tc>
      </w:tr>
      <w:tr w:rsidR="00747733" w:rsidRPr="00747733" w14:paraId="7A211A1F" w14:textId="77777777" w:rsidTr="00765098">
        <w:tc>
          <w:tcPr>
            <w:tcW w:w="2972" w:type="dxa"/>
          </w:tcPr>
          <w:p w14:paraId="67BB81E1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Optimización</w:t>
            </w:r>
          </w:p>
          <w:p w14:paraId="1F729039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Apoyar a los clientes para mejorar su productividad, proporcionando información y recomendaciones basado en los datos de producción recopilados.</w:t>
            </w:r>
          </w:p>
        </w:tc>
        <w:tc>
          <w:tcPr>
            <w:tcW w:w="3119" w:type="dxa"/>
          </w:tcPr>
          <w:p w14:paraId="09139B60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</w:tcPr>
          <w:p w14:paraId="503C5BFC" w14:textId="77777777" w:rsidR="00747733" w:rsidRPr="00747733" w:rsidRDefault="00747733" w:rsidP="00747733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Optimización de procesos</w:t>
            </w:r>
          </w:p>
          <w:p w14:paraId="36A1AF89" w14:textId="77777777" w:rsidR="00747733" w:rsidRPr="00747733" w:rsidRDefault="00747733" w:rsidP="00747733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 recetas</w:t>
            </w:r>
          </w:p>
          <w:p w14:paraId="73D7DE34" w14:textId="77777777" w:rsidR="00747733" w:rsidRPr="00747733" w:rsidRDefault="00747733" w:rsidP="00747733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del rendimiento</w:t>
            </w:r>
          </w:p>
          <w:p w14:paraId="3B745D03" w14:textId="77777777" w:rsidR="00747733" w:rsidRPr="00747733" w:rsidRDefault="00747733" w:rsidP="00747733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Análisis comparativo del rendimiento </w:t>
            </w:r>
          </w:p>
        </w:tc>
      </w:tr>
      <w:tr w:rsidR="00747733" w:rsidRPr="00747733" w14:paraId="015143E1" w14:textId="77777777" w:rsidTr="00765098">
        <w:tc>
          <w:tcPr>
            <w:tcW w:w="2972" w:type="dxa"/>
          </w:tcPr>
          <w:p w14:paraId="62F415E4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Mantenimiento</w:t>
            </w:r>
          </w:p>
          <w:p w14:paraId="48F8A4C5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Apoyar a los clientes para garantizar la mayor disponibilidad de los equipos. Incluirá una interacción en directo con nuestros especialistas de asistencia técnica.</w:t>
            </w:r>
          </w:p>
        </w:tc>
        <w:tc>
          <w:tcPr>
            <w:tcW w:w="3119" w:type="dxa"/>
          </w:tcPr>
          <w:p w14:paraId="05D5E459" w14:textId="77777777" w:rsidR="00747733" w:rsidRPr="00747733" w:rsidRDefault="00747733" w:rsidP="00747733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Asistencia remota</w:t>
            </w:r>
          </w:p>
          <w:p w14:paraId="79A5E872" w14:textId="77777777" w:rsidR="00747733" w:rsidRPr="00747733" w:rsidRDefault="00747733" w:rsidP="00747733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Asistencia remota mediante realidad aumentada (RA)</w:t>
            </w:r>
          </w:p>
        </w:tc>
        <w:tc>
          <w:tcPr>
            <w:tcW w:w="2925" w:type="dxa"/>
          </w:tcPr>
          <w:p w14:paraId="6CD34D81" w14:textId="77777777" w:rsidR="00747733" w:rsidRPr="00747733" w:rsidRDefault="00747733" w:rsidP="00747733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del mantenimiento</w:t>
            </w:r>
          </w:p>
        </w:tc>
      </w:tr>
      <w:tr w:rsidR="00747733" w:rsidRPr="00747733" w14:paraId="5B0AF0FD" w14:textId="77777777" w:rsidTr="00765098">
        <w:tc>
          <w:tcPr>
            <w:tcW w:w="2972" w:type="dxa"/>
          </w:tcPr>
          <w:p w14:paraId="25A5C583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b/>
                <w:sz w:val="20"/>
                <w:szCs w:val="20"/>
                <w:lang w:val="es-ES"/>
              </w:rPr>
              <w:t>Mercado</w:t>
            </w:r>
          </w:p>
          <w:p w14:paraId="639703F6" w14:textId="77777777" w:rsidR="00747733" w:rsidRPr="00747733" w:rsidRDefault="00747733" w:rsidP="00747733">
            <w:pPr>
              <w:spacing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sz w:val="20"/>
                <w:szCs w:val="20"/>
                <w:lang w:val="es-ES"/>
              </w:rPr>
              <w:t>Ayudar a los clientes a obtener las piezas y los servicios adecuados</w:t>
            </w:r>
          </w:p>
        </w:tc>
        <w:tc>
          <w:tcPr>
            <w:tcW w:w="3119" w:type="dxa"/>
          </w:tcPr>
          <w:p w14:paraId="337FE3C0" w14:textId="77777777" w:rsidR="00747733" w:rsidRPr="00747733" w:rsidRDefault="00747733" w:rsidP="00747733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proofErr w:type="spellStart"/>
            <w:r w:rsidRPr="00747733">
              <w:rPr>
                <w:rFonts w:eastAsia="Calibri"/>
                <w:sz w:val="20"/>
                <w:szCs w:val="20"/>
                <w:lang w:val="es-ES"/>
              </w:rPr>
              <w:t>MyBOBST</w:t>
            </w:r>
            <w:proofErr w:type="spellEnd"/>
          </w:p>
        </w:tc>
        <w:tc>
          <w:tcPr>
            <w:tcW w:w="2925" w:type="dxa"/>
          </w:tcPr>
          <w:p w14:paraId="4C5103C8" w14:textId="77777777" w:rsidR="00747733" w:rsidRPr="00747733" w:rsidRDefault="00747733" w:rsidP="00747733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es-ES"/>
              </w:rPr>
            </w:pPr>
            <w:r w:rsidRPr="00747733">
              <w:rPr>
                <w:rFonts w:eastAsia="Calibri"/>
                <w:color w:val="000000"/>
                <w:sz w:val="20"/>
                <w:szCs w:val="20"/>
                <w:lang w:val="es-ES"/>
              </w:rPr>
              <w:t>Gestión de licencias</w:t>
            </w:r>
          </w:p>
        </w:tc>
      </w:tr>
    </w:tbl>
    <w:p w14:paraId="4DCBF1E0" w14:textId="77777777" w:rsidR="00747733" w:rsidRPr="00747733" w:rsidRDefault="00747733" w:rsidP="00747733">
      <w:pPr>
        <w:spacing w:after="160" w:line="259" w:lineRule="auto"/>
        <w:rPr>
          <w:rFonts w:eastAsia="Calibri" w:cs="Arial"/>
          <w:b/>
          <w:sz w:val="20"/>
          <w:szCs w:val="20"/>
          <w:lang w:val="es-ES"/>
        </w:rPr>
      </w:pPr>
      <w:r w:rsidRPr="00747733">
        <w:rPr>
          <w:rFonts w:eastAsia="Calibri"/>
          <w:b/>
          <w:sz w:val="20"/>
          <w:szCs w:val="20"/>
          <w:vertAlign w:val="superscript"/>
          <w:lang w:val="es-ES"/>
        </w:rPr>
        <w:t xml:space="preserve">1 </w:t>
      </w:r>
      <w:proofErr w:type="gramStart"/>
      <w:r w:rsidRPr="00747733">
        <w:rPr>
          <w:rFonts w:eastAsia="Calibri"/>
          <w:bCs/>
          <w:sz w:val="20"/>
          <w:szCs w:val="20"/>
          <w:lang w:val="es-ES"/>
        </w:rPr>
        <w:t>A</w:t>
      </w:r>
      <w:proofErr w:type="gramEnd"/>
      <w:r w:rsidRPr="00747733">
        <w:rPr>
          <w:rFonts w:eastAsia="Calibri"/>
          <w:bCs/>
          <w:sz w:val="20"/>
          <w:szCs w:val="20"/>
          <w:lang w:val="es-ES"/>
        </w:rPr>
        <w:t xml:space="preserve"> modo orientativo solamente</w:t>
      </w:r>
    </w:p>
    <w:p w14:paraId="240B01A8" w14:textId="77777777" w:rsidR="00747733" w:rsidRPr="00747733" w:rsidRDefault="00747733" w:rsidP="00747733">
      <w:pPr>
        <w:spacing w:after="160" w:line="259" w:lineRule="auto"/>
        <w:rPr>
          <w:rFonts w:eastAsia="Calibri" w:cs="Arial"/>
          <w:sz w:val="20"/>
          <w:szCs w:val="20"/>
          <w:lang w:val="es-ES"/>
        </w:rPr>
      </w:pPr>
      <w:r w:rsidRPr="00747733">
        <w:rPr>
          <w:rFonts w:eastAsia="Calibri"/>
          <w:sz w:val="20"/>
          <w:szCs w:val="20"/>
          <w:lang w:val="es-ES"/>
        </w:rPr>
        <w:t xml:space="preserve">Algunas de las soluciones actuales BOBST </w:t>
      </w:r>
      <w:proofErr w:type="spellStart"/>
      <w:r w:rsidRPr="00747733">
        <w:rPr>
          <w:rFonts w:eastAsia="Calibri"/>
          <w:sz w:val="20"/>
          <w:szCs w:val="20"/>
          <w:lang w:val="es-ES"/>
        </w:rPr>
        <w:t>Connect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 son: La monitorización remota, una completa herramienta de información sobre la producción diseñada para acceder rápidamente a la información detallada sobre los datos técnicos, los procesos y la producción de la máquina; la asistencia remota con realidad aumentada (RA), el primer servicio de asistencia remota de la industria de los embalajes que incorpora un </w:t>
      </w:r>
      <w:proofErr w:type="spellStart"/>
      <w:r w:rsidRPr="00747733">
        <w:rPr>
          <w:rFonts w:eastAsia="Calibri"/>
          <w:sz w:val="20"/>
          <w:szCs w:val="20"/>
          <w:lang w:val="es-ES"/>
        </w:rPr>
        <w:t>smart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 </w:t>
      </w:r>
      <w:proofErr w:type="spellStart"/>
      <w:r w:rsidRPr="00747733">
        <w:rPr>
          <w:rFonts w:eastAsia="Calibri"/>
          <w:sz w:val="20"/>
          <w:szCs w:val="20"/>
          <w:lang w:val="es-ES"/>
        </w:rPr>
        <w:t>headset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 con gafas RA; y </w:t>
      </w:r>
      <w:proofErr w:type="spellStart"/>
      <w:r w:rsidRPr="00747733">
        <w:rPr>
          <w:rFonts w:eastAsia="Calibri"/>
          <w:sz w:val="20"/>
          <w:szCs w:val="20"/>
          <w:lang w:val="es-ES"/>
        </w:rPr>
        <w:t>MyBOBST</w:t>
      </w:r>
      <w:proofErr w:type="spellEnd"/>
      <w:r w:rsidRPr="00747733">
        <w:rPr>
          <w:rFonts w:eastAsia="Calibri"/>
          <w:sz w:val="20"/>
          <w:szCs w:val="20"/>
          <w:lang w:val="es-ES"/>
        </w:rPr>
        <w:t>, un portal personal de información sobre piezas, seguimiento de pedidos, información técnica, asistencia al cliente, ofertas especiales y datos de la máquina en tiempo real.</w:t>
      </w:r>
    </w:p>
    <w:p w14:paraId="554B575B" w14:textId="77777777" w:rsidR="00747733" w:rsidRPr="00747733" w:rsidRDefault="00747733" w:rsidP="00747733">
      <w:pPr>
        <w:spacing w:after="160" w:line="259" w:lineRule="auto"/>
        <w:rPr>
          <w:rFonts w:eastAsia="Calibri" w:cs="Arial"/>
          <w:sz w:val="20"/>
          <w:szCs w:val="20"/>
          <w:lang w:val="es-ES"/>
        </w:rPr>
      </w:pPr>
      <w:r w:rsidRPr="00747733">
        <w:rPr>
          <w:rFonts w:eastAsia="Calibri"/>
          <w:sz w:val="20"/>
          <w:szCs w:val="20"/>
          <w:lang w:val="es-ES"/>
        </w:rPr>
        <w:t xml:space="preserve">"En un primer momento, hemos establecido una gama de soluciones para ayudar a las empresas de conversión a optimizar la conexión y la interoperabilidad con otras partes interesadas de la cadena de valor —comentó </w:t>
      </w:r>
      <w:proofErr w:type="spellStart"/>
      <w:proofErr w:type="gramStart"/>
      <w:r w:rsidRPr="00747733">
        <w:rPr>
          <w:rFonts w:eastAsia="Calibri"/>
          <w:sz w:val="20"/>
          <w:szCs w:val="20"/>
          <w:lang w:val="es-ES"/>
        </w:rPr>
        <w:t>Serge</w:t>
      </w:r>
      <w:proofErr w:type="spellEnd"/>
      <w:r w:rsidRPr="00747733">
        <w:rPr>
          <w:rFonts w:eastAsia="Calibri"/>
          <w:sz w:val="20"/>
          <w:szCs w:val="20"/>
          <w:lang w:val="es-ES"/>
        </w:rPr>
        <w:t>.—</w:t>
      </w:r>
      <w:proofErr w:type="gramEnd"/>
      <w:r w:rsidRPr="00747733">
        <w:rPr>
          <w:rFonts w:eastAsia="Calibri"/>
          <w:sz w:val="20"/>
          <w:szCs w:val="20"/>
          <w:lang w:val="es-ES"/>
        </w:rPr>
        <w:t xml:space="preserve"> Seguirán apareciendo nuevas soluciones ya que la plataforma evoluciona constantemente permitiendo a nuestros clientes adaptarse continuamente a un entorno en rápida evolución. Los clientes que nos acompañen en nuestra aventura con BOBST </w:t>
      </w:r>
      <w:proofErr w:type="spellStart"/>
      <w:r w:rsidRPr="00747733">
        <w:rPr>
          <w:rFonts w:eastAsia="Calibri"/>
          <w:sz w:val="20"/>
          <w:szCs w:val="20"/>
          <w:lang w:val="es-ES"/>
        </w:rPr>
        <w:t>Connect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 tendrán la ocasión de conocer a fondo el microcosmos de BOBST </w:t>
      </w:r>
      <w:proofErr w:type="spellStart"/>
      <w:r w:rsidRPr="00747733">
        <w:rPr>
          <w:rFonts w:eastAsia="Calibri"/>
          <w:sz w:val="20"/>
          <w:szCs w:val="20"/>
          <w:lang w:val="es-ES"/>
        </w:rPr>
        <w:t>Connect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, recibirán frecuentes actualizaciones funcionales y podrán influir en nuestro ágil desarrollo de cara al futuro a través de sus comentarios." </w:t>
      </w:r>
    </w:p>
    <w:p w14:paraId="46632948" w14:textId="77777777" w:rsidR="00747733" w:rsidRPr="00747733" w:rsidRDefault="00747733" w:rsidP="00747733">
      <w:pPr>
        <w:spacing w:after="160" w:line="259" w:lineRule="auto"/>
        <w:rPr>
          <w:rFonts w:eastAsia="Calibri" w:cs="Arial"/>
          <w:sz w:val="20"/>
          <w:szCs w:val="20"/>
          <w:lang w:val="es-ES"/>
        </w:rPr>
      </w:pPr>
      <w:r w:rsidRPr="00747733">
        <w:rPr>
          <w:rFonts w:eastAsia="Calibri"/>
          <w:sz w:val="20"/>
          <w:szCs w:val="20"/>
          <w:lang w:val="es-ES"/>
        </w:rPr>
        <w:t xml:space="preserve">Algunas de las interesantes soluciones que estamos preparando para 2021 son la introducción de la gestión de recetas en la fase de </w:t>
      </w:r>
      <w:proofErr w:type="spellStart"/>
      <w:r w:rsidRPr="00747733">
        <w:rPr>
          <w:rFonts w:eastAsia="Calibri"/>
          <w:sz w:val="20"/>
          <w:szCs w:val="20"/>
          <w:lang w:val="es-ES"/>
        </w:rPr>
        <w:t>preprensa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 para algunas máquinas y la introducción de las capacidades de monitorización de equipos, las capacidades de gestión del rendimiento y el control de calidad en la fase de producción. BOBST tiene también previsto introducir en 2021 una segunda generación de su popular servicio de asistencia remota mediante realidad aumentada. </w:t>
      </w:r>
    </w:p>
    <w:p w14:paraId="160516D3" w14:textId="3477D67B" w:rsidR="00EF0880" w:rsidRDefault="00747733" w:rsidP="00747733">
      <w:pPr>
        <w:spacing w:after="160" w:line="259" w:lineRule="auto"/>
        <w:rPr>
          <w:rFonts w:eastAsia="Calibri" w:cs="Arial"/>
          <w:sz w:val="20"/>
          <w:szCs w:val="20"/>
          <w:lang w:val="es-ES"/>
        </w:rPr>
      </w:pPr>
      <w:r w:rsidRPr="00747733">
        <w:rPr>
          <w:rFonts w:eastAsia="Calibri"/>
          <w:sz w:val="20"/>
          <w:szCs w:val="20"/>
          <w:lang w:val="es-ES"/>
        </w:rPr>
        <w:lastRenderedPageBreak/>
        <w:t xml:space="preserve">"BOBST </w:t>
      </w:r>
      <w:proofErr w:type="spellStart"/>
      <w:r w:rsidRPr="00747733">
        <w:rPr>
          <w:rFonts w:eastAsia="Calibri"/>
          <w:sz w:val="20"/>
          <w:szCs w:val="20"/>
          <w:lang w:val="es-ES"/>
        </w:rPr>
        <w:t>Connect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 se adaptará a las nuevas necesidades operativas, a las nuevas capacidades de nuestros equipos y a las necesidades cambiantes de atención al cliente, para que podamos mantener una solución y unos servicios de primera categoría para nuestros clientes —expuso </w:t>
      </w:r>
      <w:proofErr w:type="spellStart"/>
      <w:r w:rsidRPr="00747733">
        <w:rPr>
          <w:rFonts w:eastAsia="Calibri"/>
          <w:sz w:val="20"/>
          <w:szCs w:val="20"/>
          <w:lang w:val="es-ES"/>
        </w:rPr>
        <w:t>Serge</w:t>
      </w:r>
      <w:proofErr w:type="spellEnd"/>
      <w:r w:rsidRPr="00747733">
        <w:rPr>
          <w:rFonts w:eastAsia="Calibri"/>
          <w:sz w:val="20"/>
          <w:szCs w:val="20"/>
          <w:lang w:val="es-ES"/>
        </w:rPr>
        <w:t xml:space="preserve">.— Se trata de construir un entorno digital conectado que </w:t>
      </w:r>
      <w:r w:rsidRPr="00747733">
        <w:rPr>
          <w:rFonts w:eastAsia="Calibri"/>
          <w:color w:val="2C363A"/>
          <w:sz w:val="20"/>
          <w:szCs w:val="20"/>
          <w:lang w:val="es-ES"/>
        </w:rPr>
        <w:t>optimice todo el flujo de trabajo de producción</w:t>
      </w:r>
      <w:r w:rsidRPr="00747733">
        <w:rPr>
          <w:rFonts w:eastAsia="Calibri"/>
          <w:sz w:val="20"/>
          <w:szCs w:val="20"/>
          <w:lang w:val="es-ES"/>
        </w:rPr>
        <w:t>, lo que resultará en una mayor eficiencia, transparencia, rapidez de comercialización y de toma de decisiones y menos desperdicio y menos fallos. En un entorno volátil, ayuda a nuestros clientes a estar preparados para el futuro."</w:t>
      </w:r>
    </w:p>
    <w:p w14:paraId="746C0D1D" w14:textId="77777777" w:rsidR="00747733" w:rsidRPr="00747733" w:rsidRDefault="00747733" w:rsidP="00747733">
      <w:pPr>
        <w:spacing w:after="160" w:line="259" w:lineRule="auto"/>
        <w:rPr>
          <w:rFonts w:eastAsia="Calibri" w:cs="Arial"/>
          <w:sz w:val="20"/>
          <w:szCs w:val="20"/>
          <w:lang w:val="es-ES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08D144F3" w14:textId="77777777" w:rsidR="00E61AB6" w:rsidRDefault="00E61AB6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  <w:r w:rsidRPr="00A27024">
        <w:rPr>
          <w:rFonts w:cs="Arial"/>
          <w:b/>
          <w:bCs/>
          <w:sz w:val="19"/>
          <w:szCs w:val="19"/>
          <w:lang w:val="es-ES"/>
        </w:rPr>
        <w:t>Acerca de BOBST</w:t>
      </w:r>
    </w:p>
    <w:p w14:paraId="5F4EE68B" w14:textId="77777777" w:rsidR="00D12952" w:rsidRPr="00A27024" w:rsidRDefault="00D12952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</w:p>
    <w:p w14:paraId="10C19D24" w14:textId="77777777" w:rsidR="00BE0378" w:rsidRPr="00BE0378" w:rsidRDefault="00BE0378" w:rsidP="00BE0378">
      <w:pPr>
        <w:spacing w:line="271" w:lineRule="auto"/>
        <w:rPr>
          <w:sz w:val="19"/>
          <w:szCs w:val="19"/>
          <w:lang w:val="es-ES"/>
        </w:rPr>
      </w:pPr>
      <w:r w:rsidRPr="00BE0378">
        <w:rPr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6EB61650" w14:textId="77777777" w:rsidR="00BE0378" w:rsidRPr="00BE0378" w:rsidRDefault="00BE0378" w:rsidP="00BE0378">
      <w:pPr>
        <w:spacing w:line="271" w:lineRule="auto"/>
        <w:rPr>
          <w:sz w:val="19"/>
          <w:szCs w:val="19"/>
          <w:lang w:val="es-ES"/>
        </w:rPr>
      </w:pPr>
    </w:p>
    <w:p w14:paraId="4EEE33F5" w14:textId="5A82E9A8" w:rsidR="00E61AB6" w:rsidRPr="00A27024" w:rsidRDefault="00BE0378" w:rsidP="00BE0378">
      <w:pPr>
        <w:spacing w:line="271" w:lineRule="auto"/>
        <w:rPr>
          <w:rFonts w:cs="Arial"/>
          <w:sz w:val="19"/>
          <w:szCs w:val="19"/>
          <w:lang w:val="es-ES"/>
        </w:rPr>
      </w:pPr>
      <w:r w:rsidRPr="00BE0378">
        <w:rPr>
          <w:sz w:val="19"/>
          <w:szCs w:val="19"/>
          <w:lang w:val="es-ES"/>
        </w:rPr>
        <w:t xml:space="preserve">Fundada en 1890 por Joseph </w:t>
      </w:r>
      <w:proofErr w:type="spellStart"/>
      <w:r w:rsidRPr="00BE0378">
        <w:rPr>
          <w:sz w:val="19"/>
          <w:szCs w:val="19"/>
          <w:lang w:val="es-ES"/>
        </w:rPr>
        <w:t>Bobst</w:t>
      </w:r>
      <w:proofErr w:type="spellEnd"/>
      <w:r w:rsidRPr="00BE0378">
        <w:rPr>
          <w:sz w:val="19"/>
          <w:szCs w:val="19"/>
          <w:lang w:val="es-ES"/>
        </w:rPr>
        <w:t xml:space="preserve"> en Lausana (Suiza), BOBST está presente en más de 50 países, cuenta con 15 plantas de producción en 8 países y emplea a más 5 500 trabajadores en todo el mundo. La compañía registró una facturación consolidada de 1 636 millones de francos suizos durante el ejercicio finalizado el 31 de diciembre de 2019.</w:t>
      </w: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proofErr w:type="spellStart"/>
      <w:r w:rsidRPr="00A27024">
        <w:rPr>
          <w:rFonts w:cs="Arial"/>
          <w:sz w:val="19"/>
          <w:szCs w:val="19"/>
          <w:lang w:val="fr-BE" w:eastAsia="zh-CN"/>
        </w:rPr>
        <w:t>Gudrun</w:t>
      </w:r>
      <w:proofErr w:type="spellEnd"/>
      <w:r w:rsidRPr="00A27024">
        <w:rPr>
          <w:rFonts w:cs="Arial"/>
          <w:sz w:val="19"/>
          <w:szCs w:val="19"/>
          <w:lang w:val="fr-BE" w:eastAsia="zh-CN"/>
        </w:rPr>
        <w:t xml:space="preserve">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Tel.: +49 211 58 58 66 66 </w:t>
      </w:r>
    </w:p>
    <w:p w14:paraId="4EC36826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>Mobile: +49 160 48 41 439</w:t>
      </w:r>
    </w:p>
    <w:p w14:paraId="397F5226" w14:textId="77777777" w:rsidR="000B5055" w:rsidRPr="00A27024" w:rsidRDefault="000B5055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Email: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BE" w:eastAsia="de-DE"/>
          </w:rPr>
          <w:t>gudrun.alex@bobst.com</w:t>
        </w:r>
      </w:hyperlink>
    </w:p>
    <w:p w14:paraId="647F40A9" w14:textId="77777777" w:rsidR="006A73CE" w:rsidRDefault="006A73CE" w:rsidP="00B936B3">
      <w:pPr>
        <w:rPr>
          <w:rFonts w:cs="Arial"/>
          <w:sz w:val="19"/>
          <w:szCs w:val="19"/>
          <w:lang w:val="fr-BE" w:eastAsia="de-DE"/>
        </w:rPr>
      </w:pPr>
    </w:p>
    <w:p w14:paraId="00E090D4" w14:textId="77777777" w:rsidR="00D12952" w:rsidRPr="00A27024" w:rsidRDefault="00D12952" w:rsidP="00B936B3">
      <w:pPr>
        <w:rPr>
          <w:rFonts w:cs="Arial"/>
          <w:sz w:val="19"/>
          <w:szCs w:val="19"/>
          <w:lang w:val="fr-BE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2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C963" w14:textId="77777777" w:rsidR="00415AF9" w:rsidRDefault="00415AF9" w:rsidP="00BB5BE9">
      <w:pPr>
        <w:spacing w:line="240" w:lineRule="auto"/>
      </w:pPr>
      <w:r>
        <w:separator/>
      </w:r>
    </w:p>
  </w:endnote>
  <w:endnote w:type="continuationSeparator" w:id="0">
    <w:p w14:paraId="6156BE77" w14:textId="77777777" w:rsidR="00415AF9" w:rsidRDefault="00415AF9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77777777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</w:t>
        </w:r>
        <w:proofErr w:type="spellStart"/>
        <w:r w:rsidRPr="000B5055">
          <w:rPr>
            <w:lang w:val="fr-BE"/>
          </w:rPr>
          <w:t>Mex</w:t>
        </w:r>
        <w:proofErr w:type="spellEnd"/>
        <w:r w:rsidRPr="000B5055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ED0" w14:textId="77777777" w:rsidR="00415AF9" w:rsidRDefault="00415AF9" w:rsidP="00BB5BE9">
      <w:pPr>
        <w:spacing w:line="240" w:lineRule="auto"/>
      </w:pPr>
      <w:r>
        <w:separator/>
      </w:r>
    </w:p>
  </w:footnote>
  <w:footnote w:type="continuationSeparator" w:id="0">
    <w:p w14:paraId="11C177F2" w14:textId="77777777" w:rsidR="00415AF9" w:rsidRDefault="00415AF9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415AF9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415AF9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4C5C"/>
    <w:multiLevelType w:val="hybridMultilevel"/>
    <w:tmpl w:val="B2B0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6433C"/>
    <w:multiLevelType w:val="hybridMultilevel"/>
    <w:tmpl w:val="6EC8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33E0D"/>
    <w:multiLevelType w:val="hybridMultilevel"/>
    <w:tmpl w:val="3F20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B12D0"/>
    <w:multiLevelType w:val="hybridMultilevel"/>
    <w:tmpl w:val="E870A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36580"/>
    <w:multiLevelType w:val="hybridMultilevel"/>
    <w:tmpl w:val="4A0C2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7064C"/>
    <w:rsid w:val="002A62A9"/>
    <w:rsid w:val="003800D4"/>
    <w:rsid w:val="00415AF9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722663"/>
    <w:rsid w:val="00747733"/>
    <w:rsid w:val="00756417"/>
    <w:rsid w:val="0084626F"/>
    <w:rsid w:val="0089339F"/>
    <w:rsid w:val="008B5EF4"/>
    <w:rsid w:val="008C4AAD"/>
    <w:rsid w:val="008D353F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20D00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table" w:customStyle="1" w:styleId="TableGrid10">
    <w:name w:val="Table Grid1"/>
    <w:basedOn w:val="TableNormal"/>
    <w:next w:val="TableGrid"/>
    <w:uiPriority w:val="39"/>
    <w:rsid w:val="00747733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chen/about-bobst/moving-forward/bobst-connect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ES_28502.dotx</Template>
  <TotalTime>2</TotalTime>
  <Pages>3</Pages>
  <Words>1167</Words>
  <Characters>6282</Characters>
  <Application>Microsoft Office Word</Application>
  <DocSecurity>0</DocSecurity>
  <Lines>99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2021-02-15T06:43:00Z</dcterms:created>
  <dcterms:modified xsi:type="dcterms:W3CDTF">2021-02-15T06:43:00Z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