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1ECC0" w14:textId="7DAB6510" w:rsidR="008861AA" w:rsidRPr="00C225EC" w:rsidRDefault="005C2B42" w:rsidP="00D6254D">
      <w:pPr>
        <w:rPr>
          <w:rFonts w:cstheme="minorHAnsi"/>
          <w:sz w:val="20"/>
          <w:szCs w:val="20"/>
          <w:lang w:val="nl-BE"/>
        </w:rPr>
      </w:pPr>
      <w:r w:rsidRPr="005C2B42">
        <w:rPr>
          <w:rFonts w:cstheme="minorHAnsi"/>
          <w:b/>
          <w:bCs/>
          <w:color w:val="C3001E"/>
          <w:sz w:val="32"/>
          <w:szCs w:val="32"/>
          <w:lang w:val="nl-BE"/>
        </w:rPr>
        <w:t>ARTIGO DE IMPRENSA</w:t>
      </w:r>
    </w:p>
    <w:p w14:paraId="739510CC" w14:textId="77777777" w:rsidR="00D6254D" w:rsidRPr="00C225EC" w:rsidRDefault="00D6254D" w:rsidP="00D6254D">
      <w:pPr>
        <w:rPr>
          <w:rFonts w:cstheme="minorHAnsi"/>
          <w:sz w:val="20"/>
          <w:szCs w:val="20"/>
          <w:lang w:val="nl-BE"/>
        </w:rPr>
      </w:pPr>
    </w:p>
    <w:p w14:paraId="35D0ED31" w14:textId="33512148" w:rsidR="00D6254D" w:rsidRPr="00C225EC" w:rsidRDefault="005C2B42" w:rsidP="00D6254D">
      <w:pPr>
        <w:rPr>
          <w:rFonts w:cstheme="minorHAnsi"/>
          <w:b/>
          <w:bCs/>
          <w:szCs w:val="19"/>
          <w:lang w:val="nl-BE"/>
        </w:rPr>
      </w:pPr>
      <w:r>
        <w:rPr>
          <w:rFonts w:cstheme="minorHAnsi"/>
          <w:b/>
          <w:bCs/>
          <w:szCs w:val="19"/>
          <w:lang w:val="nl-BE"/>
        </w:rPr>
        <w:br/>
      </w:r>
      <w:r w:rsidR="004A327C" w:rsidRPr="00C225EC">
        <w:rPr>
          <w:rFonts w:cstheme="minorHAnsi"/>
          <w:b/>
          <w:bCs/>
          <w:szCs w:val="19"/>
          <w:lang w:val="nl-BE"/>
        </w:rPr>
        <w:t xml:space="preserve">Mex, </w:t>
      </w:r>
      <w:r w:rsidR="008861AA" w:rsidRPr="00C225EC">
        <w:rPr>
          <w:rFonts w:cstheme="minorHAnsi"/>
          <w:b/>
          <w:bCs/>
          <w:szCs w:val="19"/>
          <w:lang w:val="nl-BE"/>
        </w:rPr>
        <w:t>Suíça</w:t>
      </w:r>
      <w:r w:rsidR="004A327C" w:rsidRPr="00C225EC">
        <w:rPr>
          <w:rFonts w:cstheme="minorHAnsi"/>
          <w:b/>
          <w:bCs/>
          <w:szCs w:val="19"/>
          <w:lang w:val="nl-BE"/>
        </w:rPr>
        <w:t xml:space="preserve">, </w:t>
      </w:r>
      <w:r w:rsidR="00C225EC">
        <w:rPr>
          <w:rFonts w:cstheme="minorHAnsi"/>
          <w:b/>
          <w:bCs/>
          <w:szCs w:val="19"/>
          <w:lang w:val="nl-BE"/>
        </w:rPr>
        <w:t xml:space="preserve">17 de </w:t>
      </w:r>
      <w:r w:rsidR="00C225EC" w:rsidRPr="00C225EC">
        <w:rPr>
          <w:rFonts w:cstheme="minorHAnsi"/>
          <w:b/>
          <w:bCs/>
          <w:szCs w:val="19"/>
          <w:lang w:val="nl-BE"/>
        </w:rPr>
        <w:t xml:space="preserve">outubro de </w:t>
      </w:r>
      <w:r w:rsidR="00CF0D3C" w:rsidRPr="00C225EC">
        <w:rPr>
          <w:rFonts w:cstheme="minorHAnsi"/>
          <w:b/>
          <w:bCs/>
          <w:szCs w:val="19"/>
          <w:lang w:val="nl-BE"/>
        </w:rPr>
        <w:t>202</w:t>
      </w:r>
      <w:r w:rsidR="00777DD9" w:rsidRPr="00C225EC">
        <w:rPr>
          <w:rFonts w:cstheme="minorHAnsi"/>
          <w:b/>
          <w:bCs/>
          <w:szCs w:val="19"/>
          <w:lang w:val="nl-BE"/>
        </w:rPr>
        <w:t>4</w:t>
      </w:r>
    </w:p>
    <w:p w14:paraId="134FF8E6" w14:textId="77777777" w:rsidR="00851F72" w:rsidRPr="00C225EC" w:rsidRDefault="00851F72" w:rsidP="00D6254D">
      <w:pPr>
        <w:rPr>
          <w:rFonts w:cstheme="minorHAnsi"/>
          <w:b/>
          <w:bCs/>
          <w:szCs w:val="19"/>
          <w:lang w:val="nl-BE"/>
        </w:rPr>
      </w:pPr>
    </w:p>
    <w:p w14:paraId="77BB9DC6" w14:textId="73A0A073" w:rsidR="00515A2B" w:rsidRPr="00C225EC" w:rsidRDefault="00515A2B" w:rsidP="00D6254D">
      <w:pPr>
        <w:rPr>
          <w:rFonts w:cstheme="minorHAnsi"/>
          <w:b/>
          <w:bCs/>
          <w:szCs w:val="19"/>
          <w:lang w:val="nl-BE"/>
        </w:rPr>
      </w:pPr>
    </w:p>
    <w:p w14:paraId="40A6F45B" w14:textId="77777777" w:rsidR="00C225EC" w:rsidRPr="005C2B42" w:rsidRDefault="00C225EC" w:rsidP="00C225EC">
      <w:pPr>
        <w:spacing w:after="160" w:line="259" w:lineRule="auto"/>
        <w:rPr>
          <w:rFonts w:ascii="Arial" w:eastAsia="Aptos" w:hAnsi="Arial" w:cs="Arial"/>
          <w:b/>
          <w:bCs/>
          <w:kern w:val="2"/>
          <w:sz w:val="20"/>
          <w:szCs w:val="20"/>
          <w:lang w:eastAsia="en-US"/>
          <w14:ligatures w14:val="standardContextual"/>
        </w:rPr>
      </w:pPr>
      <w:r w:rsidRPr="00C225EC">
        <w:rPr>
          <w:rFonts w:ascii="Arial" w:eastAsia="Aptos" w:hAnsi="Arial" w:cs="Arial"/>
          <w:b/>
          <w:kern w:val="2"/>
          <w:sz w:val="20"/>
          <w:szCs w:val="20"/>
          <w:lang w:val="pt-BR" w:eastAsia="en-US" w:bidi="pt-BR"/>
          <w14:ligatures w14:val="standardContextual"/>
        </w:rPr>
        <w:t>Validação da Pantone para a gama de cores estendida (ECG) das impressoras rotogravura da BOBST é o melhor selo de qualidade</w:t>
      </w:r>
    </w:p>
    <w:p w14:paraId="5FF91F3F" w14:textId="77777777" w:rsidR="00C225EC" w:rsidRPr="005C2B42" w:rsidRDefault="00C225EC" w:rsidP="00C225EC">
      <w:pPr>
        <w:spacing w:after="160" w:line="259" w:lineRule="auto"/>
        <w:rPr>
          <w:rFonts w:ascii="Arial" w:eastAsia="Aptos" w:hAnsi="Arial" w:cs="Arial"/>
          <w:i/>
          <w:iCs/>
          <w:kern w:val="2"/>
          <w:sz w:val="20"/>
          <w:szCs w:val="20"/>
          <w:lang w:eastAsia="en-US"/>
          <w14:ligatures w14:val="standardContextual"/>
        </w:rPr>
      </w:pPr>
      <w:r w:rsidRPr="00C225EC">
        <w:rPr>
          <w:rFonts w:ascii="Arial" w:eastAsia="Aptos" w:hAnsi="Arial" w:cs="Arial"/>
          <w:i/>
          <w:kern w:val="2"/>
          <w:sz w:val="20"/>
          <w:szCs w:val="20"/>
          <w:lang w:val="pt-BR" w:eastAsia="en-US" w:bidi="pt-BR"/>
          <w14:ligatures w14:val="standardContextual"/>
        </w:rPr>
        <w:t xml:space="preserve">A primeira validação da Pantone para impressoras de rotogravura prova que a verdadeira consistência de cores ECG na rotogravura foi finalmente alcançada </w:t>
      </w:r>
    </w:p>
    <w:p w14:paraId="7330AC12"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Consistência de cor. Todo dono de marca exige isso na embalagem de seus produtos, e com razão. As pessoas tomam decisões segundos após suas interações iniciais com os produtos. E a cor por si só influencia 85% das decisões dos compradores.</w:t>
      </w:r>
      <w:r w:rsidRPr="00C225EC">
        <w:rPr>
          <w:rFonts w:ascii="Arial" w:eastAsia="Aptos" w:hAnsi="Arial" w:cs="Arial"/>
          <w:kern w:val="2"/>
          <w:sz w:val="20"/>
          <w:szCs w:val="20"/>
          <w:vertAlign w:val="superscript"/>
          <w:lang w:val="pt-BR" w:eastAsia="en-US" w:bidi="pt-BR"/>
          <w14:ligatures w14:val="standardContextual"/>
        </w:rPr>
        <w:endnoteReference w:id="1"/>
      </w:r>
    </w:p>
    <w:p w14:paraId="2D4615DE" w14:textId="77777777" w:rsidR="00C225EC" w:rsidRPr="005C2B42" w:rsidRDefault="00C225EC" w:rsidP="00C225EC">
      <w:pPr>
        <w:spacing w:after="160" w:line="259" w:lineRule="auto"/>
        <w:rPr>
          <w:rFonts w:ascii="Arial" w:eastAsia="Aptos" w:hAnsi="Arial" w:cs="Arial"/>
          <w:kern w:val="2"/>
          <w:sz w:val="20"/>
          <w:szCs w:val="20"/>
          <w:lang w:eastAsia="en-US"/>
          <w14:ligatures w14:val="standardContextual"/>
        </w:rPr>
      </w:pPr>
      <w:r w:rsidRPr="00C225EC">
        <w:rPr>
          <w:rFonts w:ascii="Arial" w:eastAsia="Aptos" w:hAnsi="Arial" w:cs="Arial"/>
          <w:kern w:val="2"/>
          <w:sz w:val="20"/>
          <w:szCs w:val="20"/>
          <w:lang w:val="pt-BR" w:eastAsia="en-US" w:bidi="pt-BR"/>
          <w14:ligatures w14:val="standardContextual"/>
        </w:rPr>
        <w:t>As variações de cores sugerem falta de qualidade do produto, o que pode impactar fortemente a identidade da marca e a fidelidade do cliente. Muitos donos de marcas dizem que frequentemente encontram inconsistências ou imprecisões de cores entre diferentes fornecedores e que desafios e retrabalhos relacionados à cores têm um impacto negativo em suas empresas.</w:t>
      </w:r>
      <w:r w:rsidRPr="00C225EC">
        <w:rPr>
          <w:rFonts w:ascii="Arial" w:eastAsia="Aptos" w:hAnsi="Arial" w:cs="Arial"/>
          <w:kern w:val="2"/>
          <w:sz w:val="20"/>
          <w:szCs w:val="20"/>
          <w:vertAlign w:val="superscript"/>
          <w:lang w:val="pt-BR" w:eastAsia="en-US" w:bidi="pt-BR"/>
          <w14:ligatures w14:val="standardContextual"/>
        </w:rPr>
        <w:endnoteReference w:id="2"/>
      </w:r>
    </w:p>
    <w:p w14:paraId="74C1ABB4"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Com isso em mente, o Extended Color Gamut, ou ECG, tem sido um importante impulsionador da consistência de cores no setor de embalagens nos últimos anos, ao mesmo tempo que aumenta a eficiência da produção. O ECG é um processo para digitalizar a correspondência de cores off-line, deixando-o estável, fácil, reproduvízel, consistente e independente da interpretação humana. ECG se refere a um conjunto de tintas; 4 ou mais, mas normalmente 7, para obter uma gama de cores maior do que o CMYK tradicional, garantindo a repetibilidade das cores, independentemente da habilidade do operador.</w:t>
      </w:r>
    </w:p>
    <w:p w14:paraId="44E51239"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oneECG é a tecnologia de ECG da BOBST implantada em processos de impressão analógicos e digitais nas indústrias de etiquetas, embalagens flexíveis, de papel-cartão ​​e papelão ondulado. A BOBST lançou o oneECG há vários anos e tem sido um grande sucesso, permitindo consistência de cores em várias máquinas em todos os setores. </w:t>
      </w:r>
    </w:p>
    <w:p w14:paraId="22F8FBE3" w14:textId="77777777" w:rsidR="00C225EC" w:rsidRPr="00C225EC" w:rsidRDefault="00C225EC" w:rsidP="00C225EC">
      <w:pPr>
        <w:spacing w:after="160" w:line="259" w:lineRule="auto"/>
        <w:rPr>
          <w:rFonts w:ascii="Arial" w:eastAsia="Aptos" w:hAnsi="Arial" w:cs="Arial"/>
          <w:kern w:val="2"/>
          <w:sz w:val="20"/>
          <w:szCs w:val="20"/>
          <w:lang w:val="en-US"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Mas historicamente, houve uma exceção. Nos primórdios do ECG, ele ainda não havia sido aperfeiçoado para máquinas de rotogravura. A BOBST queria muito resolver esse problema dos clientes e trabalhou incansavelmente para aprimorar suas máquinas de rotogravura para permitir o oneECG perfeito. Em apenas alguns anos, a BOBST estava confiante de que o havia alcançado. O oneECG era hoje a tecnologia mais desenvolvida para impressão com sete cores padrão em rotogravura. </w:t>
      </w:r>
    </w:p>
    <w:p w14:paraId="44E3EB83"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Mas no setor em geral, permaneceu um elemento de incerteza e ceticismo. A verdadeira consistência da cor poderia ser alcançada na rotogravura por meio o oneECG? A BOBST decidiu submetê-lo ao teste mais alto: a validação da Pantone. </w:t>
      </w:r>
    </w:p>
    <w:p w14:paraId="76CED555" w14:textId="77777777" w:rsidR="00C225EC" w:rsidRPr="005C2B42" w:rsidRDefault="00C225EC" w:rsidP="00C225EC">
      <w:pPr>
        <w:spacing w:after="160" w:line="259" w:lineRule="auto"/>
        <w:rPr>
          <w:rFonts w:ascii="Arial" w:eastAsia="Aptos" w:hAnsi="Arial" w:cs="Arial"/>
          <w:b/>
          <w:bCs/>
          <w:kern w:val="2"/>
          <w:sz w:val="20"/>
          <w:szCs w:val="20"/>
          <w:lang w:eastAsia="en-US"/>
          <w14:ligatures w14:val="standardContextual"/>
        </w:rPr>
      </w:pPr>
      <w:r w:rsidRPr="00C225EC">
        <w:rPr>
          <w:rFonts w:ascii="Arial" w:eastAsia="Aptos" w:hAnsi="Arial" w:cs="Arial"/>
          <w:b/>
          <w:kern w:val="2"/>
          <w:sz w:val="20"/>
          <w:szCs w:val="20"/>
          <w:lang w:val="pt-BR" w:eastAsia="en-US" w:bidi="pt-BR"/>
          <w14:ligatures w14:val="standardContextual"/>
        </w:rPr>
        <w:t xml:space="preserve">Validação Pantone: credibilidade para consistência de cores </w:t>
      </w:r>
    </w:p>
    <w:p w14:paraId="77DB086D" w14:textId="77777777" w:rsidR="00C225EC" w:rsidRPr="005C2B42" w:rsidRDefault="00C225EC" w:rsidP="00C225EC">
      <w:pPr>
        <w:spacing w:after="160" w:line="259" w:lineRule="auto"/>
        <w:rPr>
          <w:rFonts w:ascii="Arial" w:eastAsia="Aptos" w:hAnsi="Arial" w:cs="Arial"/>
          <w:kern w:val="2"/>
          <w:sz w:val="20"/>
          <w:szCs w:val="20"/>
          <w:lang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A Pantone obviamente é conhecida pelo seu sistema de correspondência de cores e por ser usado por milhões de designers e fabricantes de diversos setores em todo o mundo. </w:t>
      </w:r>
    </w:p>
    <w:p w14:paraId="28DF22AD" w14:textId="77777777" w:rsidR="00C225EC" w:rsidRPr="005C2B42" w:rsidRDefault="00C225EC" w:rsidP="00C225EC">
      <w:pPr>
        <w:spacing w:after="160" w:line="259" w:lineRule="auto"/>
        <w:rPr>
          <w:rFonts w:ascii="Arial" w:eastAsia="Aptos" w:hAnsi="Arial" w:cs="Arial"/>
          <w:kern w:val="2"/>
          <w:sz w:val="20"/>
          <w:szCs w:val="20"/>
          <w:lang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A BOBST estava animada com o desafio da validação da Pantone, que provaria sem sombra de dúvidas a precisão do oneECG na rotogravura. A Pantone submeteu a BOBST a um teste rigoroso com diversos tipos de cores, envolvendo diversas situações extremas e fora de padrão. </w:t>
      </w:r>
    </w:p>
    <w:p w14:paraId="1342220A" w14:textId="77777777" w:rsidR="00C225EC" w:rsidRPr="005C2B42" w:rsidRDefault="00C225EC" w:rsidP="00C225EC">
      <w:pPr>
        <w:spacing w:after="160" w:line="259" w:lineRule="auto"/>
        <w:rPr>
          <w:rFonts w:ascii="Arial" w:eastAsia="Aptos" w:hAnsi="Arial" w:cs="Arial"/>
          <w:kern w:val="2"/>
          <w:sz w:val="20"/>
          <w:szCs w:val="20"/>
          <w:lang w:eastAsia="en-US"/>
          <w14:ligatures w14:val="standardContextual"/>
        </w:rPr>
      </w:pPr>
      <w:r w:rsidRPr="00C225EC">
        <w:rPr>
          <w:rFonts w:ascii="Arial" w:eastAsia="Aptos" w:hAnsi="Arial" w:cs="Arial"/>
          <w:kern w:val="2"/>
          <w:sz w:val="20"/>
          <w:szCs w:val="20"/>
          <w:lang w:val="pt-BR" w:eastAsia="en-US" w:bidi="pt-BR"/>
          <w14:ligatures w14:val="standardContextual"/>
        </w:rPr>
        <w:lastRenderedPageBreak/>
        <w:t>Os testes foram realizados na plataforma da máquina de rotogravura da BOBST, a MASTER RS 6003 – uma plataforma altamente flexível, que pode ser configurada em uma linha de produção multifuncional. Operações complementares de conversão podem ser facilmente adicionadas em linha com a impressão para atender a um amplo espectro de diversos requisitos e aplicações de produtos.</w:t>
      </w:r>
    </w:p>
    <w:p w14:paraId="6B208F47" w14:textId="77777777" w:rsidR="00C225EC" w:rsidRPr="005C2B42" w:rsidRDefault="00C225EC" w:rsidP="00C225EC">
      <w:pPr>
        <w:spacing w:after="160" w:line="259" w:lineRule="auto"/>
        <w:rPr>
          <w:rFonts w:ascii="Arial" w:eastAsia="Aptos" w:hAnsi="Arial" w:cs="Arial"/>
          <w:kern w:val="2"/>
          <w:sz w:val="20"/>
          <w:szCs w:val="20"/>
          <w:lang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A Pantone entregou uma lista de mais de 2.300 cores Pantone Spot para serem reproduzidas em ECG na BOBST MASTER RS 6003. Depois de receber essa lista, a BOBST trabalhou na preparação da pré-impressão e na separação de cores para cada cor especial. A BOBST imprimiu todos eles de uma só vez na MASTER RS 6003 e depois enviou a amostra de impressão para a Pantone nos EUA para análise, medição e avaliação da correspondência e qualidade da cor. </w:t>
      </w:r>
    </w:p>
    <w:p w14:paraId="5B259918"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O veredito?  O MASTER RS 6003 passou com louvor. A máquina se tornou a primeira impressora de rotogravura do mundo a receber a validação da Pantone.</w:t>
      </w:r>
    </w:p>
    <w:p w14:paraId="4C6F02C3" w14:textId="77777777" w:rsidR="00C225EC" w:rsidRPr="005C2B42" w:rsidRDefault="00C225EC" w:rsidP="00C225EC">
      <w:pPr>
        <w:spacing w:after="160" w:line="259" w:lineRule="auto"/>
        <w:rPr>
          <w:rFonts w:ascii="Arial" w:eastAsia="Aptos" w:hAnsi="Arial" w:cs="Arial"/>
          <w:b/>
          <w:bCs/>
          <w:kern w:val="2"/>
          <w:sz w:val="20"/>
          <w:szCs w:val="20"/>
          <w:lang w:val="pt-BR" w:eastAsia="en-US"/>
          <w14:ligatures w14:val="standardContextual"/>
        </w:rPr>
      </w:pPr>
      <w:r w:rsidRPr="00C225EC">
        <w:rPr>
          <w:rFonts w:ascii="Arial" w:eastAsia="Aptos" w:hAnsi="Arial" w:cs="Arial"/>
          <w:b/>
          <w:kern w:val="2"/>
          <w:sz w:val="20"/>
          <w:szCs w:val="20"/>
          <w:lang w:val="pt-BR" w:eastAsia="en-US" w:bidi="pt-BR"/>
          <w14:ligatures w14:val="standardContextual"/>
        </w:rPr>
        <w:t xml:space="preserve">Mais do que apenas consistência de cor – todo o potencial da rotogravura pode ser realizado </w:t>
      </w:r>
    </w:p>
    <w:p w14:paraId="59C9D2E6" w14:textId="77777777" w:rsidR="00C225EC" w:rsidRPr="005C2B42" w:rsidRDefault="00C225EC" w:rsidP="00C225EC">
      <w:pPr>
        <w:spacing w:after="160" w:line="259" w:lineRule="auto"/>
        <w:rPr>
          <w:rFonts w:ascii="Arial" w:eastAsia="Aptos" w:hAnsi="Arial" w:cs="Arial"/>
          <w:kern w:val="2"/>
          <w:sz w:val="20"/>
          <w:szCs w:val="20"/>
          <w:lang w:eastAsia="en-US"/>
          <w14:ligatures w14:val="standardContextual"/>
        </w:rPr>
      </w:pPr>
      <w:r w:rsidRPr="00C225EC">
        <w:rPr>
          <w:rFonts w:ascii="Arial" w:eastAsia="Aptos" w:hAnsi="Arial" w:cs="Arial"/>
          <w:kern w:val="2"/>
          <w:sz w:val="20"/>
          <w:szCs w:val="20"/>
          <w:lang w:val="pt-BR" w:eastAsia="en-US" w:bidi="pt-BR"/>
          <w14:ligatures w14:val="standardContextual"/>
        </w:rPr>
        <w:t>Para proprietários de marcas e convertedores, os resultados trazem mais do que tranquilidade. Abre-se completamente a possibilidade de oneECG na rotogravura e, com ele, 100% de consistência e repetibilidade do trabalho e uma redução drástica no tempo de inatividade da máquina. O oneECG também permite a execução de vários serviços, abrindo a opção de trabalhos médios e curtos em rotogravura e todas as outras tecnologias. A MASTER RS 6003 permite a produção lucrativa de tiragens médias e curtas, a partir de cerca de 5.000 m². Os pedidos podem ser entregues mais rapidamente e com alta rentabilidade, sejam eles de pequena, média ou longa tiragem.</w:t>
      </w:r>
    </w:p>
    <w:p w14:paraId="2EAC9626"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O oneECG trabalha com um conjunto fixo de até sete tintas de impressão, portanto, as impressoras de rotogravura só precisam trocar os cilindros de impressão para trocas de trabalho, enquanto as tintas permanecem nas impressoras. Isso reduz o desperdício de tinta e ao mesmo tempo reduz o espaço de armazenamento para cilindros, rolos anilox e tintas.  </w:t>
      </w:r>
    </w:p>
    <w:p w14:paraId="2E090C6B" w14:textId="77777777" w:rsidR="00C225EC" w:rsidRPr="005C2B42"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 xml:space="preserve">Durante a drupa 2024, a BOBST compartilhou a notícia sobre a validação da Pantone aos participantes, que ficaram impressionados e felizes, entendendo que agregou credibilidade ao oneECG em rotogravura. </w:t>
      </w:r>
    </w:p>
    <w:p w14:paraId="0DC9615E" w14:textId="1FCAB1B2" w:rsidR="00EE399C" w:rsidRPr="00C225EC" w:rsidRDefault="00C225EC" w:rsidP="00C225EC">
      <w:pPr>
        <w:spacing w:after="160" w:line="259" w:lineRule="auto"/>
        <w:rPr>
          <w:rFonts w:ascii="Arial" w:eastAsia="Aptos" w:hAnsi="Arial" w:cs="Arial"/>
          <w:kern w:val="2"/>
          <w:sz w:val="20"/>
          <w:szCs w:val="20"/>
          <w:lang w:val="pt-BR" w:eastAsia="en-US"/>
          <w14:ligatures w14:val="standardContextual"/>
        </w:rPr>
      </w:pPr>
      <w:r w:rsidRPr="00C225EC">
        <w:rPr>
          <w:rFonts w:ascii="Arial" w:eastAsia="Aptos" w:hAnsi="Arial" w:cs="Arial"/>
          <w:kern w:val="2"/>
          <w:sz w:val="20"/>
          <w:szCs w:val="20"/>
          <w:lang w:val="pt-BR" w:eastAsia="en-US" w:bidi="pt-BR"/>
          <w14:ligatures w14:val="standardContextual"/>
        </w:rPr>
        <w:t>Para proprietários de marcas e convertedores que exigem embalagens de qualidade premium, a rotogravura sempre foi uma excelente opção. Mas as dúvidas sobre a consistência de cores – e a dificuldade de satisfazer à crescente demanda de tiragens mais curtas – a desfavoreciam. Agora, com o salto em inovação proporcionado pela BOBST MASTER RS 6003 validada pela Pantone, tudo isso se tornou possível, pavimentando o caminho para um futuro altamente produtivo e rentável.</w:t>
      </w:r>
    </w:p>
    <w:sectPr w:rsidR="00EE399C" w:rsidRPr="00C225EC" w:rsidSect="00440C15">
      <w:headerReference w:type="default" r:id="rId8"/>
      <w:footerReference w:type="default" r:id="rId9"/>
      <w:headerReference w:type="first" r:id="rId10"/>
      <w:footerReference w:type="first" r:id="rId11"/>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9E26" w14:textId="77777777" w:rsidR="008627B1" w:rsidRDefault="008627B1" w:rsidP="00BB5BE9">
      <w:pPr>
        <w:spacing w:line="240" w:lineRule="auto"/>
      </w:pPr>
      <w:r>
        <w:separator/>
      </w:r>
    </w:p>
  </w:endnote>
  <w:endnote w:type="continuationSeparator" w:id="0">
    <w:p w14:paraId="4619BC64" w14:textId="77777777" w:rsidR="008627B1" w:rsidRDefault="008627B1" w:rsidP="00BB5BE9">
      <w:pPr>
        <w:spacing w:line="240" w:lineRule="auto"/>
      </w:pPr>
      <w:r>
        <w:continuationSeparator/>
      </w:r>
    </w:p>
  </w:endnote>
  <w:endnote w:id="1">
    <w:p w14:paraId="74E9EB52" w14:textId="77777777" w:rsidR="00C225EC" w:rsidRPr="00325D20" w:rsidRDefault="00C225EC" w:rsidP="00C225EC">
      <w:pPr>
        <w:pStyle w:val="EndnoteText"/>
        <w:rPr>
          <w:sz w:val="18"/>
          <w:szCs w:val="18"/>
        </w:rPr>
      </w:pPr>
      <w:r w:rsidRPr="00651914">
        <w:rPr>
          <w:rStyle w:val="EndnoteReference"/>
          <w:sz w:val="18"/>
          <w:szCs w:val="18"/>
          <w:lang w:val="pt-BR" w:bidi="pt-BR"/>
        </w:rPr>
        <w:endnoteRef/>
      </w:r>
      <w:r w:rsidRPr="00325D20">
        <w:rPr>
          <w:sz w:val="18"/>
          <w:szCs w:val="18"/>
          <w:lang w:val="pt-BR" w:bidi="pt-BR"/>
        </w:rPr>
        <w:t xml:space="preserve"> Kumar S. A psicologia da cor influencia o comportamento de compra dos consumidores – um estudo diagnóstico</w:t>
      </w:r>
    </w:p>
    <w:p w14:paraId="4CF5B20F" w14:textId="77777777" w:rsidR="00C225EC" w:rsidRPr="00325D20" w:rsidRDefault="00C225EC" w:rsidP="00C225EC">
      <w:pPr>
        <w:pStyle w:val="EndnoteText"/>
        <w:rPr>
          <w:sz w:val="18"/>
          <w:szCs w:val="18"/>
        </w:rPr>
      </w:pPr>
      <w:r w:rsidRPr="00325D20">
        <w:rPr>
          <w:sz w:val="18"/>
          <w:szCs w:val="18"/>
          <w:lang w:val="pt-BR" w:bidi="pt-BR"/>
        </w:rPr>
        <w:t xml:space="preserve">Outubro de 2017. Ushus - Revista de Gestão Empresarial 16(4):1-13. DOI:10.12725/ujbm.41.1 </w:t>
      </w:r>
    </w:p>
  </w:endnote>
  <w:endnote w:id="2">
    <w:p w14:paraId="08BCD13B" w14:textId="77777777" w:rsidR="00C225EC" w:rsidRDefault="00C225EC" w:rsidP="00C225EC">
      <w:pPr>
        <w:pStyle w:val="EndnoteText"/>
        <w:rPr>
          <w:sz w:val="18"/>
          <w:szCs w:val="18"/>
          <w:lang w:val="pt-BR" w:bidi="pt-BR"/>
        </w:rPr>
      </w:pPr>
      <w:r w:rsidRPr="00651914">
        <w:rPr>
          <w:rStyle w:val="EndnoteReference"/>
          <w:sz w:val="18"/>
          <w:szCs w:val="18"/>
          <w:lang w:val="pt-BR" w:bidi="pt-BR"/>
        </w:rPr>
        <w:endnoteRef/>
      </w:r>
      <w:r w:rsidRPr="00AE1D61">
        <w:rPr>
          <w:sz w:val="18"/>
          <w:szCs w:val="18"/>
          <w:lang w:val="pt-BR" w:bidi="pt-BR"/>
        </w:rPr>
        <w:t xml:space="preserve"> https://www.linkedin.com/pulse/inconsistent-brand-colour-reason-your-business-cant-grow-david-stead/</w:t>
      </w:r>
    </w:p>
    <w:p w14:paraId="7010C4AC" w14:textId="77777777" w:rsidR="00C225EC" w:rsidRDefault="00C225EC" w:rsidP="00C225EC">
      <w:pPr>
        <w:pStyle w:val="Body"/>
        <w:shd w:val="clear" w:color="auto" w:fill="FFFFFF"/>
        <w:spacing w:line="240" w:lineRule="auto"/>
        <w:rPr>
          <w:b/>
          <w:bCs/>
          <w:color w:val="auto"/>
        </w:rPr>
      </w:pPr>
    </w:p>
    <w:p w14:paraId="512BFE61" w14:textId="77777777" w:rsidR="00C225EC" w:rsidRDefault="00C225EC" w:rsidP="00C225EC">
      <w:pPr>
        <w:pStyle w:val="Body"/>
        <w:shd w:val="clear" w:color="auto" w:fill="FFFFFF"/>
        <w:spacing w:line="240" w:lineRule="auto"/>
        <w:rPr>
          <w:b/>
          <w:bCs/>
          <w:color w:val="auto"/>
        </w:rPr>
      </w:pPr>
    </w:p>
    <w:p w14:paraId="39C370C2" w14:textId="4E55EB2D" w:rsidR="00C225EC" w:rsidRPr="008861AA" w:rsidRDefault="00C225EC" w:rsidP="00C225EC">
      <w:pPr>
        <w:pStyle w:val="Body"/>
        <w:shd w:val="clear" w:color="auto" w:fill="FFFFFF"/>
        <w:spacing w:line="240" w:lineRule="auto"/>
        <w:rPr>
          <w:b/>
          <w:bCs/>
          <w:color w:val="auto"/>
        </w:rPr>
      </w:pPr>
      <w:r w:rsidRPr="008861AA">
        <w:rPr>
          <w:b/>
          <w:bCs/>
          <w:color w:val="auto"/>
        </w:rPr>
        <w:t>Sobre a BOBST</w:t>
      </w:r>
    </w:p>
    <w:p w14:paraId="19C98D7C" w14:textId="77777777" w:rsidR="00C225EC" w:rsidRPr="008861AA" w:rsidRDefault="00C225EC" w:rsidP="00C225EC">
      <w:pPr>
        <w:spacing w:line="240" w:lineRule="auto"/>
        <w:rPr>
          <w:rFonts w:ascii="Arial" w:hAnsi="Arial" w:cs="Arial"/>
          <w:szCs w:val="19"/>
        </w:rPr>
      </w:pPr>
      <w:r w:rsidRPr="008861AA">
        <w:rPr>
          <w:rFonts w:ascii="Arial" w:hAnsi="Arial" w:cs="Arial"/>
          <w:szCs w:val="19"/>
        </w:rPr>
        <w:t xml:space="preserve">Somos um dos </w:t>
      </w:r>
      <w:proofErr w:type="spellStart"/>
      <w:r w:rsidRPr="008861AA">
        <w:rPr>
          <w:rFonts w:ascii="Arial" w:hAnsi="Arial" w:cs="Arial"/>
          <w:szCs w:val="19"/>
        </w:rPr>
        <w:t>principais</w:t>
      </w:r>
      <w:proofErr w:type="spellEnd"/>
      <w:r w:rsidRPr="008861AA">
        <w:rPr>
          <w:rFonts w:ascii="Arial" w:hAnsi="Arial" w:cs="Arial"/>
          <w:szCs w:val="19"/>
        </w:rPr>
        <w:t xml:space="preserve"> </w:t>
      </w:r>
      <w:proofErr w:type="spellStart"/>
      <w:r w:rsidRPr="008861AA">
        <w:rPr>
          <w:rFonts w:ascii="Arial" w:hAnsi="Arial" w:cs="Arial"/>
          <w:szCs w:val="19"/>
        </w:rPr>
        <w:t>fornecedores</w:t>
      </w:r>
      <w:proofErr w:type="spellEnd"/>
      <w:r w:rsidRPr="008861AA">
        <w:rPr>
          <w:rFonts w:ascii="Arial" w:hAnsi="Arial" w:cs="Arial"/>
          <w:szCs w:val="19"/>
        </w:rPr>
        <w:t xml:space="preserve"> </w:t>
      </w:r>
      <w:proofErr w:type="spellStart"/>
      <w:r w:rsidRPr="008861AA">
        <w:rPr>
          <w:rFonts w:ascii="Arial" w:hAnsi="Arial" w:cs="Arial"/>
          <w:szCs w:val="19"/>
        </w:rPr>
        <w:t>mundiais</w:t>
      </w:r>
      <w:proofErr w:type="spellEnd"/>
      <w:r w:rsidRPr="008861AA">
        <w:rPr>
          <w:rFonts w:ascii="Arial" w:hAnsi="Arial" w:cs="Arial"/>
          <w:szCs w:val="19"/>
        </w:rPr>
        <w:t xml:space="preserve"> de </w:t>
      </w:r>
      <w:proofErr w:type="spellStart"/>
      <w:r w:rsidRPr="008861AA">
        <w:rPr>
          <w:rFonts w:ascii="Arial" w:hAnsi="Arial" w:cs="Arial"/>
          <w:szCs w:val="19"/>
        </w:rPr>
        <w:t>equipamentos</w:t>
      </w:r>
      <w:proofErr w:type="spellEnd"/>
      <w:r w:rsidRPr="008861AA">
        <w:rPr>
          <w:rFonts w:ascii="Arial" w:hAnsi="Arial" w:cs="Arial"/>
          <w:szCs w:val="19"/>
        </w:rPr>
        <w:t xml:space="preserve"> e </w:t>
      </w:r>
      <w:proofErr w:type="spellStart"/>
      <w:r w:rsidRPr="008861AA">
        <w:rPr>
          <w:rFonts w:ascii="Arial" w:hAnsi="Arial" w:cs="Arial"/>
          <w:szCs w:val="19"/>
        </w:rPr>
        <w:t>serviços</w:t>
      </w:r>
      <w:proofErr w:type="spellEnd"/>
      <w:r w:rsidRPr="008861AA">
        <w:rPr>
          <w:rFonts w:ascii="Arial" w:hAnsi="Arial" w:cs="Arial"/>
          <w:szCs w:val="19"/>
        </w:rPr>
        <w:t xml:space="preserve"> para </w:t>
      </w:r>
      <w:proofErr w:type="spellStart"/>
      <w:r w:rsidRPr="008861AA">
        <w:rPr>
          <w:rFonts w:ascii="Arial" w:hAnsi="Arial" w:cs="Arial"/>
          <w:szCs w:val="19"/>
        </w:rPr>
        <w:t>conversão</w:t>
      </w:r>
      <w:proofErr w:type="spellEnd"/>
      <w:r w:rsidRPr="008861AA">
        <w:rPr>
          <w:rFonts w:ascii="Arial" w:hAnsi="Arial" w:cs="Arial"/>
          <w:szCs w:val="19"/>
        </w:rPr>
        <w:t xml:space="preserve">, </w:t>
      </w:r>
      <w:proofErr w:type="spellStart"/>
      <w:r w:rsidRPr="008861AA">
        <w:rPr>
          <w:rFonts w:ascii="Arial" w:hAnsi="Arial" w:cs="Arial"/>
          <w:szCs w:val="19"/>
        </w:rPr>
        <w:t>impressão</w:t>
      </w:r>
      <w:proofErr w:type="spellEnd"/>
      <w:r w:rsidRPr="008861AA">
        <w:rPr>
          <w:rFonts w:ascii="Arial" w:hAnsi="Arial" w:cs="Arial"/>
          <w:szCs w:val="19"/>
        </w:rPr>
        <w:t xml:space="preserve"> e </w:t>
      </w:r>
      <w:proofErr w:type="spellStart"/>
      <w:r w:rsidRPr="008861AA">
        <w:rPr>
          <w:rFonts w:ascii="Arial" w:hAnsi="Arial" w:cs="Arial"/>
          <w:szCs w:val="19"/>
        </w:rPr>
        <w:t>processamento</w:t>
      </w:r>
      <w:proofErr w:type="spellEnd"/>
      <w:r w:rsidRPr="008861AA">
        <w:rPr>
          <w:rFonts w:ascii="Arial" w:hAnsi="Arial" w:cs="Arial"/>
          <w:szCs w:val="19"/>
        </w:rPr>
        <w:t xml:space="preserve"> de </w:t>
      </w:r>
      <w:proofErr w:type="spellStart"/>
      <w:r w:rsidRPr="008861AA">
        <w:rPr>
          <w:rFonts w:ascii="Arial" w:hAnsi="Arial" w:cs="Arial"/>
          <w:szCs w:val="19"/>
        </w:rPr>
        <w:t>substratos</w:t>
      </w:r>
      <w:proofErr w:type="spellEnd"/>
      <w:r w:rsidRPr="008861AA">
        <w:rPr>
          <w:rFonts w:ascii="Arial" w:hAnsi="Arial" w:cs="Arial"/>
          <w:szCs w:val="19"/>
        </w:rPr>
        <w:t xml:space="preserve"> para as </w:t>
      </w:r>
      <w:proofErr w:type="spellStart"/>
      <w:r w:rsidRPr="008861AA">
        <w:rPr>
          <w:rFonts w:ascii="Arial" w:hAnsi="Arial" w:cs="Arial"/>
          <w:szCs w:val="19"/>
        </w:rPr>
        <w:t>indústrias</w:t>
      </w:r>
      <w:proofErr w:type="spellEnd"/>
      <w:r w:rsidRPr="008861AA">
        <w:rPr>
          <w:rFonts w:ascii="Arial" w:hAnsi="Arial" w:cs="Arial"/>
          <w:szCs w:val="19"/>
        </w:rPr>
        <w:t xml:space="preserve"> de </w:t>
      </w:r>
      <w:proofErr w:type="spellStart"/>
      <w:r w:rsidRPr="008861AA">
        <w:rPr>
          <w:rFonts w:ascii="Arial" w:hAnsi="Arial" w:cs="Arial"/>
          <w:szCs w:val="19"/>
        </w:rPr>
        <w:t>etiquetas</w:t>
      </w:r>
      <w:proofErr w:type="spellEnd"/>
      <w:r w:rsidRPr="008861AA">
        <w:rPr>
          <w:rFonts w:ascii="Arial" w:hAnsi="Arial" w:cs="Arial"/>
          <w:szCs w:val="19"/>
        </w:rPr>
        <w:t xml:space="preserve">, </w:t>
      </w:r>
      <w:proofErr w:type="spellStart"/>
      <w:r w:rsidRPr="008861AA">
        <w:rPr>
          <w:rFonts w:ascii="Arial" w:hAnsi="Arial" w:cs="Arial"/>
          <w:szCs w:val="19"/>
        </w:rPr>
        <w:t>embalagens</w:t>
      </w:r>
      <w:proofErr w:type="spellEnd"/>
      <w:r w:rsidRPr="008861AA">
        <w:rPr>
          <w:rFonts w:ascii="Arial" w:hAnsi="Arial" w:cs="Arial"/>
          <w:szCs w:val="19"/>
        </w:rPr>
        <w:t xml:space="preserve"> </w:t>
      </w:r>
      <w:proofErr w:type="spellStart"/>
      <w:r w:rsidRPr="008861AA">
        <w:rPr>
          <w:rFonts w:ascii="Arial" w:hAnsi="Arial" w:cs="Arial"/>
          <w:szCs w:val="19"/>
        </w:rPr>
        <w:t>flexíveis</w:t>
      </w:r>
      <w:proofErr w:type="spellEnd"/>
      <w:r w:rsidRPr="008861AA">
        <w:rPr>
          <w:rFonts w:ascii="Arial" w:hAnsi="Arial" w:cs="Arial"/>
          <w:szCs w:val="19"/>
        </w:rPr>
        <w:t xml:space="preserve">, </w:t>
      </w:r>
      <w:proofErr w:type="spellStart"/>
      <w:r w:rsidRPr="008861AA">
        <w:rPr>
          <w:rFonts w:ascii="Arial" w:hAnsi="Arial" w:cs="Arial"/>
          <w:szCs w:val="19"/>
        </w:rPr>
        <w:t>papel-cartão</w:t>
      </w:r>
      <w:proofErr w:type="spellEnd"/>
      <w:r w:rsidRPr="008861AA">
        <w:rPr>
          <w:rFonts w:ascii="Arial" w:hAnsi="Arial" w:cs="Arial"/>
          <w:szCs w:val="19"/>
        </w:rPr>
        <w:t xml:space="preserve"> e </w:t>
      </w:r>
      <w:proofErr w:type="spellStart"/>
      <w:r w:rsidRPr="008861AA">
        <w:rPr>
          <w:rFonts w:ascii="Arial" w:hAnsi="Arial" w:cs="Arial"/>
          <w:szCs w:val="19"/>
        </w:rPr>
        <w:t>papelão</w:t>
      </w:r>
      <w:proofErr w:type="spellEnd"/>
      <w:r w:rsidRPr="008861AA">
        <w:rPr>
          <w:rFonts w:ascii="Arial" w:hAnsi="Arial" w:cs="Arial"/>
          <w:szCs w:val="19"/>
        </w:rPr>
        <w:t xml:space="preserve"> </w:t>
      </w:r>
      <w:proofErr w:type="spellStart"/>
      <w:r w:rsidRPr="008861AA">
        <w:rPr>
          <w:rFonts w:ascii="Arial" w:hAnsi="Arial" w:cs="Arial"/>
          <w:szCs w:val="19"/>
        </w:rPr>
        <w:t>ondulado</w:t>
      </w:r>
      <w:proofErr w:type="spellEnd"/>
      <w:r w:rsidRPr="008861AA">
        <w:rPr>
          <w:rFonts w:ascii="Arial" w:hAnsi="Arial" w:cs="Arial"/>
          <w:szCs w:val="19"/>
        </w:rPr>
        <w:t>.</w:t>
      </w:r>
    </w:p>
    <w:p w14:paraId="64457AB4" w14:textId="77777777" w:rsidR="00C225EC" w:rsidRPr="008861AA" w:rsidRDefault="00C225EC" w:rsidP="00C225EC">
      <w:pPr>
        <w:spacing w:line="240" w:lineRule="auto"/>
        <w:rPr>
          <w:rFonts w:ascii="Arial" w:hAnsi="Arial" w:cs="Arial"/>
          <w:szCs w:val="19"/>
        </w:rPr>
      </w:pPr>
    </w:p>
    <w:p w14:paraId="58812F1E" w14:textId="77777777" w:rsidR="00C225EC" w:rsidRPr="008861AA" w:rsidRDefault="00C225EC" w:rsidP="00C225EC">
      <w:pPr>
        <w:pStyle w:val="Body"/>
        <w:shd w:val="clear" w:color="auto" w:fill="FFFFFF"/>
        <w:spacing w:line="240" w:lineRule="auto"/>
        <w:rPr>
          <w:color w:val="auto"/>
        </w:rPr>
      </w:pPr>
      <w:r w:rsidRPr="008861AA">
        <w:t>Fundada em 1890 por Joseph Bobst em Lausanne, Suíça, a BOBST está presente em mais de 50 países, administra 21 fábricas em 12 países e emprega mais de 6.300 pessoas em todo o mundo. A empresa registrou um faturamento consolidado de 1,960 bilhão (em francos suíços) para o ano encerrado em 31 de dezembro de 2023.</w:t>
      </w:r>
    </w:p>
    <w:p w14:paraId="6EF98908" w14:textId="77777777" w:rsidR="00C225EC" w:rsidRDefault="00C225EC" w:rsidP="00C225EC">
      <w:pPr>
        <w:rPr>
          <w:b/>
          <w:szCs w:val="19"/>
          <w:lang w:val="pt-BR"/>
        </w:rPr>
      </w:pPr>
    </w:p>
    <w:p w14:paraId="7E54A300" w14:textId="77777777" w:rsidR="00C225EC" w:rsidRPr="008861AA" w:rsidRDefault="00C225EC" w:rsidP="00C225EC">
      <w:pPr>
        <w:rPr>
          <w:b/>
          <w:szCs w:val="19"/>
          <w:lang w:val="pt-BR"/>
        </w:rPr>
      </w:pPr>
    </w:p>
    <w:p w14:paraId="760AF0C3" w14:textId="77777777" w:rsidR="00C225EC" w:rsidRPr="005C2B42" w:rsidRDefault="00C225EC" w:rsidP="00C225EC">
      <w:pPr>
        <w:rPr>
          <w:b/>
          <w:szCs w:val="19"/>
        </w:rPr>
      </w:pPr>
      <w:proofErr w:type="spellStart"/>
      <w:r w:rsidRPr="005C2B42">
        <w:rPr>
          <w:b/>
          <w:szCs w:val="19"/>
        </w:rPr>
        <w:t>Contato</w:t>
      </w:r>
      <w:proofErr w:type="spellEnd"/>
      <w:r w:rsidRPr="005C2B42">
        <w:rPr>
          <w:b/>
          <w:szCs w:val="19"/>
        </w:rPr>
        <w:t xml:space="preserve"> de </w:t>
      </w:r>
      <w:proofErr w:type="spellStart"/>
      <w:proofErr w:type="gramStart"/>
      <w:r w:rsidRPr="005C2B42">
        <w:rPr>
          <w:b/>
          <w:szCs w:val="19"/>
        </w:rPr>
        <w:t>imprensa</w:t>
      </w:r>
      <w:proofErr w:type="spellEnd"/>
      <w:r w:rsidRPr="005C2B42">
        <w:rPr>
          <w:b/>
          <w:szCs w:val="19"/>
        </w:rPr>
        <w:t>:</w:t>
      </w:r>
      <w:proofErr w:type="gramEnd"/>
    </w:p>
    <w:p w14:paraId="1CC36898" w14:textId="77777777" w:rsidR="00C225EC" w:rsidRPr="005C2B42" w:rsidRDefault="00C225EC" w:rsidP="00C225EC">
      <w:pPr>
        <w:rPr>
          <w:b/>
          <w:szCs w:val="19"/>
        </w:rPr>
      </w:pPr>
    </w:p>
    <w:p w14:paraId="0F905D86" w14:textId="77777777" w:rsidR="00C225EC" w:rsidRPr="005C2B42" w:rsidRDefault="00C225EC" w:rsidP="00C225EC">
      <w:pPr>
        <w:spacing w:line="240" w:lineRule="auto"/>
        <w:rPr>
          <w:rFonts w:ascii="Arial" w:eastAsia="Times New Roman" w:hAnsi="Arial" w:cs="Arial"/>
          <w:szCs w:val="19"/>
        </w:rPr>
      </w:pPr>
      <w:r w:rsidRPr="005C2B42">
        <w:rPr>
          <w:rFonts w:ascii="Arial" w:eastAsia="Times New Roman" w:hAnsi="Arial" w:cs="Arial"/>
          <w:szCs w:val="19"/>
        </w:rPr>
        <w:t>Gudrun Alex</w:t>
      </w:r>
      <w:r w:rsidRPr="005C2B42">
        <w:rPr>
          <w:rFonts w:ascii="Arial" w:eastAsia="Times New Roman" w:hAnsi="Arial" w:cs="Arial"/>
          <w:szCs w:val="19"/>
        </w:rPr>
        <w:br/>
        <w:t xml:space="preserve">BOBST PR </w:t>
      </w:r>
      <w:proofErr w:type="spellStart"/>
      <w:r w:rsidRPr="005C2B42">
        <w:rPr>
          <w:rFonts w:ascii="Arial" w:eastAsia="Times New Roman" w:hAnsi="Arial" w:cs="Arial"/>
          <w:szCs w:val="19"/>
        </w:rPr>
        <w:t>Representative</w:t>
      </w:r>
      <w:proofErr w:type="spellEnd"/>
    </w:p>
    <w:p w14:paraId="30608A0A" w14:textId="77777777" w:rsidR="00C225EC" w:rsidRPr="005C2B42" w:rsidRDefault="00C225EC" w:rsidP="00C225EC">
      <w:pPr>
        <w:spacing w:line="240" w:lineRule="auto"/>
        <w:rPr>
          <w:rFonts w:ascii="Arial" w:eastAsia="Times New Roman" w:hAnsi="Arial" w:cs="Arial"/>
          <w:szCs w:val="19"/>
          <w:lang w:eastAsia="de-DE"/>
        </w:rPr>
      </w:pPr>
      <w:r w:rsidRPr="005C2B42">
        <w:rPr>
          <w:rFonts w:ascii="Arial" w:eastAsia="Times New Roman" w:hAnsi="Arial" w:cs="Arial"/>
          <w:szCs w:val="19"/>
          <w:lang w:eastAsia="de-DE"/>
        </w:rPr>
        <w:t>Tel</w:t>
      </w:r>
      <w:proofErr w:type="gramStart"/>
      <w:r w:rsidRPr="005C2B42">
        <w:rPr>
          <w:rFonts w:ascii="Arial" w:eastAsia="Times New Roman" w:hAnsi="Arial" w:cs="Arial"/>
          <w:szCs w:val="19"/>
          <w:lang w:eastAsia="de-DE"/>
        </w:rPr>
        <w:t>.:</w:t>
      </w:r>
      <w:proofErr w:type="gramEnd"/>
      <w:r w:rsidRPr="005C2B42">
        <w:rPr>
          <w:rFonts w:ascii="Arial" w:eastAsia="Times New Roman" w:hAnsi="Arial" w:cs="Arial"/>
          <w:szCs w:val="19"/>
          <w:lang w:eastAsia="de-DE"/>
        </w:rPr>
        <w:t xml:space="preserve"> +49 211 58 58 66 66 </w:t>
      </w:r>
    </w:p>
    <w:p w14:paraId="029C697E" w14:textId="77777777" w:rsidR="00C225EC" w:rsidRPr="005C2B42" w:rsidRDefault="00C225EC" w:rsidP="00C225EC">
      <w:pPr>
        <w:spacing w:line="240" w:lineRule="auto"/>
        <w:rPr>
          <w:rFonts w:ascii="Arial" w:eastAsia="Times New Roman" w:hAnsi="Arial" w:cs="Arial"/>
          <w:szCs w:val="19"/>
          <w:lang w:eastAsia="de-DE"/>
        </w:rPr>
      </w:pPr>
      <w:proofErr w:type="gramStart"/>
      <w:r w:rsidRPr="005C2B42">
        <w:rPr>
          <w:rFonts w:ascii="Arial" w:eastAsia="Times New Roman" w:hAnsi="Arial" w:cs="Arial"/>
          <w:szCs w:val="19"/>
          <w:lang w:eastAsia="de-DE"/>
        </w:rPr>
        <w:t>Mobile:</w:t>
      </w:r>
      <w:proofErr w:type="gramEnd"/>
      <w:r w:rsidRPr="005C2B42">
        <w:rPr>
          <w:rFonts w:ascii="Arial" w:eastAsia="Times New Roman" w:hAnsi="Arial" w:cs="Arial"/>
          <w:szCs w:val="19"/>
          <w:lang w:eastAsia="de-DE"/>
        </w:rPr>
        <w:t xml:space="preserve"> +49 160 48 41 439</w:t>
      </w:r>
    </w:p>
    <w:p w14:paraId="4587C1AB" w14:textId="77777777" w:rsidR="00C225EC" w:rsidRPr="005C2B42" w:rsidRDefault="00C225EC" w:rsidP="00C225EC">
      <w:pPr>
        <w:spacing w:line="240" w:lineRule="auto"/>
        <w:rPr>
          <w:rFonts w:asciiTheme="majorHAnsi" w:eastAsia="Microsoft YaHei" w:hAnsiTheme="majorHAnsi" w:cstheme="majorHAnsi"/>
          <w:color w:val="0000FF"/>
          <w:szCs w:val="19"/>
          <w:u w:val="single"/>
          <w:lang w:eastAsia="de-DE"/>
        </w:rPr>
      </w:pPr>
      <w:proofErr w:type="gramStart"/>
      <w:r w:rsidRPr="005C2B42">
        <w:rPr>
          <w:rFonts w:ascii="Arial" w:eastAsia="Times New Roman" w:hAnsi="Arial" w:cs="Arial"/>
          <w:szCs w:val="19"/>
          <w:lang w:eastAsia="de-DE"/>
        </w:rPr>
        <w:t>Email:</w:t>
      </w:r>
      <w:proofErr w:type="gramEnd"/>
      <w:r w:rsidRPr="005C2B42">
        <w:rPr>
          <w:rFonts w:ascii="Arial" w:eastAsia="Times New Roman" w:hAnsi="Arial" w:cs="Arial"/>
          <w:szCs w:val="19"/>
          <w:lang w:eastAsia="de-DE"/>
        </w:rPr>
        <w:t xml:space="preserve"> </w:t>
      </w:r>
      <w:hyperlink r:id="rId1" w:history="1">
        <w:r w:rsidRPr="005C2B42">
          <w:rPr>
            <w:rFonts w:asciiTheme="majorHAnsi" w:eastAsia="Microsoft YaHei" w:hAnsiTheme="majorHAnsi" w:cstheme="majorHAnsi"/>
            <w:color w:val="0000FF"/>
            <w:szCs w:val="19"/>
            <w:u w:val="single"/>
            <w:lang w:eastAsia="de-DE"/>
          </w:rPr>
          <w:t>gudrun.alex@bobst.com</w:t>
        </w:r>
      </w:hyperlink>
    </w:p>
    <w:p w14:paraId="041D8E20" w14:textId="77777777" w:rsidR="00C225EC" w:rsidRPr="005C2B42" w:rsidRDefault="00C225EC" w:rsidP="00C225EC">
      <w:pPr>
        <w:spacing w:line="240" w:lineRule="auto"/>
        <w:rPr>
          <w:rFonts w:ascii="Arial" w:eastAsia="Microsoft YaHei" w:hAnsi="Arial" w:cs="Arial"/>
          <w:color w:val="0000FF"/>
          <w:szCs w:val="19"/>
          <w:u w:val="single"/>
          <w:lang w:eastAsia="de-DE"/>
        </w:rPr>
      </w:pPr>
    </w:p>
    <w:p w14:paraId="7CE2134D" w14:textId="77777777" w:rsidR="00C225EC" w:rsidRPr="005C2B42" w:rsidRDefault="00C225EC" w:rsidP="00C225EC">
      <w:pPr>
        <w:rPr>
          <w:rFonts w:asciiTheme="majorHAnsi" w:eastAsia="Microsoft YaHei" w:hAnsiTheme="majorHAnsi" w:cstheme="majorHAnsi"/>
          <w:color w:val="0000FF"/>
          <w:szCs w:val="19"/>
          <w:u w:val="single"/>
          <w:lang w:eastAsia="de-DE"/>
        </w:rPr>
      </w:pPr>
    </w:p>
    <w:p w14:paraId="080B5B3A" w14:textId="77777777" w:rsidR="00C225EC" w:rsidRDefault="00C225EC" w:rsidP="00C225EC">
      <w:pPr>
        <w:spacing w:line="240" w:lineRule="auto"/>
        <w:rPr>
          <w:rFonts w:eastAsia="SimSun" w:cs="Arial"/>
          <w:b/>
          <w:bCs/>
          <w:szCs w:val="19"/>
          <w:lang w:val="en-US" w:bidi="th-TH"/>
        </w:rPr>
      </w:pPr>
      <w:r w:rsidRPr="00C365C9">
        <w:rPr>
          <w:rFonts w:eastAsia="SimSun" w:cs="Arial"/>
          <w:b/>
          <w:bCs/>
          <w:szCs w:val="19"/>
          <w:lang w:val="en-US" w:bidi="th-TH"/>
        </w:rPr>
        <w:t>Follow us:</w:t>
      </w:r>
    </w:p>
    <w:p w14:paraId="345A703E" w14:textId="4A769468" w:rsidR="00C225EC" w:rsidRPr="00387B04" w:rsidRDefault="00C225EC" w:rsidP="00C225E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br/>
        <w:t xml:space="preserve">LinkedIn: </w:t>
      </w:r>
      <w:hyperlink r:id="rId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3" w:history="1">
        <w:r w:rsidRPr="006D35BD">
          <w:rPr>
            <w:rFonts w:asciiTheme="majorHAnsi" w:eastAsia="Microsoft YaHei" w:hAnsiTheme="majorHAnsi" w:cstheme="majorHAnsi"/>
            <w:color w:val="0000FF"/>
            <w:szCs w:val="19"/>
            <w:u w:val="single"/>
            <w:lang w:val="en-GB" w:eastAsia="de-DE"/>
          </w:rPr>
          <w:t>www.bobst.com/youtube</w:t>
        </w:r>
      </w:hyperlink>
    </w:p>
    <w:p w14:paraId="5FC47C2C" w14:textId="77777777" w:rsidR="00C225EC" w:rsidRPr="00C225EC" w:rsidRDefault="00C225EC" w:rsidP="00C225EC">
      <w:pPr>
        <w:pStyle w:val="EndnoteText"/>
        <w:rPr>
          <w:lang w:val="pt-B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61309" w14:textId="77777777" w:rsidR="008627B1" w:rsidRDefault="008627B1" w:rsidP="00BB5BE9">
      <w:pPr>
        <w:spacing w:line="240" w:lineRule="auto"/>
      </w:pPr>
      <w:r>
        <w:separator/>
      </w:r>
    </w:p>
  </w:footnote>
  <w:footnote w:type="continuationSeparator" w:id="0">
    <w:p w14:paraId="4F9775D8" w14:textId="77777777" w:rsidR="008627B1" w:rsidRDefault="008627B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5C2B4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31D7"/>
    <w:rsid w:val="0038660C"/>
    <w:rsid w:val="00387B04"/>
    <w:rsid w:val="003E16F3"/>
    <w:rsid w:val="00440C15"/>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B42"/>
    <w:rsid w:val="005C2EF5"/>
    <w:rsid w:val="005E0453"/>
    <w:rsid w:val="005E4C3A"/>
    <w:rsid w:val="006209F8"/>
    <w:rsid w:val="006845F0"/>
    <w:rsid w:val="006A45F6"/>
    <w:rsid w:val="006D35BD"/>
    <w:rsid w:val="00716735"/>
    <w:rsid w:val="00720A43"/>
    <w:rsid w:val="00777DD9"/>
    <w:rsid w:val="00792920"/>
    <w:rsid w:val="007A06F9"/>
    <w:rsid w:val="007A7095"/>
    <w:rsid w:val="00835855"/>
    <w:rsid w:val="00845AE3"/>
    <w:rsid w:val="00851F72"/>
    <w:rsid w:val="008627B1"/>
    <w:rsid w:val="008677A6"/>
    <w:rsid w:val="00876193"/>
    <w:rsid w:val="008861AA"/>
    <w:rsid w:val="008B5EF4"/>
    <w:rsid w:val="008C5DF4"/>
    <w:rsid w:val="008D353F"/>
    <w:rsid w:val="00900CAA"/>
    <w:rsid w:val="0097702D"/>
    <w:rsid w:val="009A0420"/>
    <w:rsid w:val="009A468B"/>
    <w:rsid w:val="009B43FB"/>
    <w:rsid w:val="009C07C8"/>
    <w:rsid w:val="009C4030"/>
    <w:rsid w:val="009E2584"/>
    <w:rsid w:val="00A0324C"/>
    <w:rsid w:val="00A127E1"/>
    <w:rsid w:val="00A131E9"/>
    <w:rsid w:val="00A304B0"/>
    <w:rsid w:val="00A30651"/>
    <w:rsid w:val="00A41ED3"/>
    <w:rsid w:val="00A6173F"/>
    <w:rsid w:val="00A70AEF"/>
    <w:rsid w:val="00A77DA1"/>
    <w:rsid w:val="00A86D0D"/>
    <w:rsid w:val="00AA6BB0"/>
    <w:rsid w:val="00AB644E"/>
    <w:rsid w:val="00AC47B8"/>
    <w:rsid w:val="00AD7E81"/>
    <w:rsid w:val="00AE61C4"/>
    <w:rsid w:val="00AF3F20"/>
    <w:rsid w:val="00B1191E"/>
    <w:rsid w:val="00B367D7"/>
    <w:rsid w:val="00B374B3"/>
    <w:rsid w:val="00B47A6B"/>
    <w:rsid w:val="00B61174"/>
    <w:rsid w:val="00B7331C"/>
    <w:rsid w:val="00B86280"/>
    <w:rsid w:val="00BB5BE9"/>
    <w:rsid w:val="00BB6337"/>
    <w:rsid w:val="00BC2E69"/>
    <w:rsid w:val="00C20D00"/>
    <w:rsid w:val="00C225EC"/>
    <w:rsid w:val="00C31EDB"/>
    <w:rsid w:val="00C40101"/>
    <w:rsid w:val="00C46471"/>
    <w:rsid w:val="00C92096"/>
    <w:rsid w:val="00C92EF8"/>
    <w:rsid w:val="00C970A9"/>
    <w:rsid w:val="00CA214B"/>
    <w:rsid w:val="00CC7F9D"/>
    <w:rsid w:val="00CD33CB"/>
    <w:rsid w:val="00CF0D3C"/>
    <w:rsid w:val="00D022B9"/>
    <w:rsid w:val="00D21ADD"/>
    <w:rsid w:val="00D34E2F"/>
    <w:rsid w:val="00D533C1"/>
    <w:rsid w:val="00D6254D"/>
    <w:rsid w:val="00DA14FA"/>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Body">
    <w:name w:val="Body"/>
    <w:basedOn w:val="Normal"/>
    <w:uiPriority w:val="99"/>
    <w:rsid w:val="008861AA"/>
    <w:rPr>
      <w:rFonts w:ascii="Arial" w:eastAsia="SimSun" w:hAnsi="Arial" w:cs="Arial"/>
      <w:color w:val="000000"/>
      <w:szCs w:val="19"/>
      <w:lang w:val="pt-BR" w:bidi="th-TH"/>
    </w:rPr>
  </w:style>
  <w:style w:type="character" w:styleId="UnresolvedMention">
    <w:name w:val="Unresolved Mention"/>
    <w:basedOn w:val="DefaultParagraphFont"/>
    <w:uiPriority w:val="99"/>
    <w:semiHidden/>
    <w:unhideWhenUsed/>
    <w:rsid w:val="00C22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bobst.com/youtube" TargetMode="External"/><Relationship Id="rId2" Type="http://schemas.openxmlformats.org/officeDocument/2006/relationships/hyperlink" Target="http://www.bobst.com/linkedin" TargetMode="External"/><Relationship Id="rId1" Type="http://schemas.openxmlformats.org/officeDocument/2006/relationships/hyperlink" Target="mailto:gudrun.alex@bob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3</Pages>
  <Words>864</Words>
  <Characters>4931</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2024-02-27T17:31:00Z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