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2F66" w14:textId="77777777" w:rsidR="00E8317E" w:rsidRPr="00776C88" w:rsidRDefault="00E8317E" w:rsidP="00E8317E">
      <w:pPr>
        <w:ind w:right="-574"/>
        <w:jc w:val="right"/>
        <w:rPr>
          <w:rFonts w:ascii="Calibri" w:hAnsi="Calibri" w:cs="Calibri"/>
          <w:bCs/>
        </w:rPr>
      </w:pPr>
      <w:r>
        <w:rPr>
          <w:rFonts w:ascii="Calibri" w:hAnsi="Calibri"/>
          <w:noProof/>
        </w:rPr>
        <w:drawing>
          <wp:inline distT="0" distB="0" distL="0" distR="0" wp14:anchorId="76ADD4B3" wp14:editId="05C5C0E8">
            <wp:extent cx="2609215" cy="504447"/>
            <wp:effectExtent l="0" t="0" r="635" b="0"/>
            <wp:docPr id="466852118" name="Picture 466852118" descr="A black background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52118" name="Picture 1" descr="A black background with white text&#10;&#10;Description automatically generated with low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684" cy="50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922DC" w14:textId="0B658D67" w:rsidR="00E8317E" w:rsidRPr="00776C88" w:rsidRDefault="004720A4" w:rsidP="00E8317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28 de janeiro de 2026</w:t>
      </w:r>
    </w:p>
    <w:p w14:paraId="467B44B6" w14:textId="77777777" w:rsidR="00E8317E" w:rsidRPr="00267ECD" w:rsidRDefault="00E8317E" w:rsidP="00E8317E">
      <w:pPr>
        <w:jc w:val="center"/>
        <w:rPr>
          <w:rFonts w:ascii="Calibri" w:hAnsi="Calibri" w:cs="Calibri"/>
          <w:b/>
        </w:rPr>
      </w:pPr>
    </w:p>
    <w:p w14:paraId="0207DE73" w14:textId="77777777" w:rsidR="00E8317E" w:rsidRPr="00776C88" w:rsidRDefault="00E8317E" w:rsidP="00E8317E">
      <w:pPr>
        <w:jc w:val="center"/>
        <w:rPr>
          <w:rFonts w:ascii="Calibri" w:hAnsi="Calibri" w:cs="Calibri"/>
          <w:b/>
        </w:rPr>
      </w:pPr>
      <w:r>
        <w:rPr>
          <w:rFonts w:ascii="Calibri" w:hAnsi="Calibri"/>
          <w:b/>
        </w:rPr>
        <w:t>COMUNICADO À IMPRENSA</w:t>
      </w:r>
    </w:p>
    <w:p w14:paraId="02ED9D93" w14:textId="77777777" w:rsidR="00E8317E" w:rsidRPr="00267ECD" w:rsidRDefault="00E8317E" w:rsidP="00E8317E">
      <w:pPr>
        <w:jc w:val="center"/>
        <w:rPr>
          <w:rFonts w:ascii="Calibri" w:hAnsi="Calibri" w:cs="Calibri"/>
          <w:b/>
          <w:sz w:val="32"/>
          <w:szCs w:val="32"/>
        </w:rPr>
      </w:pPr>
    </w:p>
    <w:p w14:paraId="6737A4CC" w14:textId="4A34E679" w:rsidR="00AA45FF" w:rsidRPr="00776C88" w:rsidRDefault="00284EE1" w:rsidP="00AA45FF">
      <w:pPr>
        <w:jc w:val="center"/>
        <w:rPr>
          <w:rFonts w:ascii="Calibri" w:hAnsi="Calibri" w:cs="Calibri"/>
          <w:b/>
          <w:sz w:val="32"/>
          <w:szCs w:val="32"/>
        </w:rPr>
      </w:pPr>
      <w:r w:rsidRPr="00284EE1">
        <w:rPr>
          <w:rFonts w:ascii="Calibri" w:hAnsi="Calibri"/>
          <w:b/>
          <w:i/>
          <w:iCs/>
          <w:sz w:val="32"/>
        </w:rPr>
        <w:t xml:space="preserve">O ingrediente BLG pronto para misturar </w:t>
      </w:r>
      <w:r w:rsidR="00C46D22">
        <w:rPr>
          <w:rFonts w:ascii="Calibri" w:hAnsi="Calibri"/>
          <w:b/>
          <w:sz w:val="32"/>
        </w:rPr>
        <w:t>é</w:t>
      </w:r>
      <w:r w:rsidR="00085A68">
        <w:rPr>
          <w:rFonts w:ascii="Calibri" w:hAnsi="Calibri"/>
          <w:b/>
          <w:sz w:val="32"/>
        </w:rPr>
        <w:t xml:space="preserve"> </w:t>
      </w:r>
      <w:r>
        <w:rPr>
          <w:rFonts w:ascii="Calibri" w:hAnsi="Calibri"/>
          <w:b/>
          <w:sz w:val="32"/>
        </w:rPr>
        <w:t xml:space="preserve">a </w:t>
      </w:r>
      <w:r w:rsidR="00085A68">
        <w:rPr>
          <w:rFonts w:ascii="Calibri" w:hAnsi="Calibri"/>
          <w:b/>
          <w:sz w:val="32"/>
        </w:rPr>
        <w:t xml:space="preserve">solução </w:t>
      </w:r>
    </w:p>
    <w:p w14:paraId="7A96BAC5" w14:textId="2D45BB85" w:rsidR="00E8317E" w:rsidRPr="00776C88" w:rsidRDefault="001E3A38" w:rsidP="00AA45FF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/>
          <w:b/>
          <w:sz w:val="32"/>
        </w:rPr>
        <w:t>atrativa para pacientes que precisam de nutrição clínica</w:t>
      </w:r>
      <w:r>
        <w:rPr>
          <w:rFonts w:ascii="Calibri" w:hAnsi="Calibri"/>
          <w:b/>
          <w:sz w:val="32"/>
        </w:rPr>
        <w:br/>
      </w:r>
    </w:p>
    <w:p w14:paraId="0790FE0D" w14:textId="29518806" w:rsidR="009D4F60" w:rsidRPr="00776C88" w:rsidRDefault="005006D5" w:rsidP="5FA319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bookmarkStart w:id="0" w:name="_Ref213771234"/>
      <w:r>
        <w:rPr>
          <w:rFonts w:ascii="Calibri" w:hAnsi="Calibri"/>
          <w:sz w:val="22"/>
        </w:rPr>
        <w:t xml:space="preserve">A Arla </w:t>
      </w:r>
      <w:proofErr w:type="spellStart"/>
      <w:r>
        <w:rPr>
          <w:rFonts w:ascii="Calibri" w:hAnsi="Calibri"/>
          <w:sz w:val="22"/>
        </w:rPr>
        <w:t>Foods</w:t>
      </w:r>
      <w:proofErr w:type="spellEnd"/>
      <w:r>
        <w:rPr>
          <w:rFonts w:ascii="Calibri" w:hAnsi="Calibri"/>
          <w:sz w:val="22"/>
        </w:rPr>
        <w:t xml:space="preserve"> Ingredients </w:t>
      </w:r>
      <w:bookmarkEnd w:id="0"/>
      <w:r>
        <w:rPr>
          <w:rFonts w:ascii="Calibri" w:hAnsi="Calibri"/>
          <w:sz w:val="22"/>
        </w:rPr>
        <w:t xml:space="preserve">lançou uma nova solução de beta-lactoglobulina (BLG) pronta para </w:t>
      </w:r>
      <w:proofErr w:type="spellStart"/>
      <w:r w:rsidR="00267ECD">
        <w:rPr>
          <w:rFonts w:ascii="Calibri" w:hAnsi="Calibri"/>
          <w:sz w:val="22"/>
        </w:rPr>
        <w:t>misturar</w:t>
      </w:r>
      <w:r>
        <w:rPr>
          <w:rFonts w:ascii="Calibri" w:hAnsi="Calibri"/>
          <w:sz w:val="22"/>
        </w:rPr>
        <w:t>para</w:t>
      </w:r>
      <w:proofErr w:type="spellEnd"/>
      <w:r>
        <w:rPr>
          <w:rFonts w:ascii="Calibri" w:hAnsi="Calibri"/>
          <w:sz w:val="22"/>
        </w:rPr>
        <w:t xml:space="preserve"> aumentar a conveniência e a aceitação entre pacientes que precisam de nutrição clínica enriquecida com proteínas.</w:t>
      </w:r>
    </w:p>
    <w:p w14:paraId="558AAC0E" w14:textId="77777777" w:rsidR="00AE30FA" w:rsidRPr="00776C88" w:rsidRDefault="00AE30FA" w:rsidP="038F4D9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66E7B33" w14:textId="71FB10B0" w:rsidR="00D852A1" w:rsidRPr="00776C88" w:rsidRDefault="00115DBA" w:rsidP="355443B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Até 50% dos pacientes hospitalares sofrem de desnutrição, que é associada a longas internações, baixa qualidade de vida, aumento da mortalidade e custos mais elevados com serviços de saúde.</w:t>
      </w:r>
      <w:r w:rsidR="00234631" w:rsidRPr="00776C88">
        <w:rPr>
          <w:rStyle w:val="Refdenotaderodap"/>
          <w:rFonts w:ascii="Calibri" w:hAnsi="Calibri" w:cs="Calibri"/>
          <w:sz w:val="22"/>
          <w:szCs w:val="22"/>
        </w:rPr>
        <w:footnoteReference w:id="2"/>
      </w:r>
      <w:r>
        <w:rPr>
          <w:rFonts w:ascii="Calibri" w:hAnsi="Calibri"/>
          <w:sz w:val="22"/>
        </w:rPr>
        <w:t xml:space="preserve"> Ainda assim, motivar os pacientes com apetite reduzido a consumir proteína suficiente por meio de suplementos nutricionais orais é um desafio. Pesquisas globais indicaram que metade deles não segue os planos de nutrição clínica. Entre as oportunidades para melhoria mais citadas estão o sabor e a textura dos produtos.</w:t>
      </w:r>
      <w:r w:rsidR="00C316DD" w:rsidRPr="00776C88">
        <w:rPr>
          <w:rStyle w:val="Refdenotaderodap"/>
          <w:rFonts w:ascii="Calibri" w:hAnsi="Calibri" w:cs="Calibri"/>
          <w:sz w:val="22"/>
          <w:szCs w:val="22"/>
        </w:rPr>
        <w:footnoteReference w:id="3"/>
      </w:r>
      <w:r>
        <w:rPr>
          <w:rFonts w:ascii="Calibri" w:hAnsi="Calibri"/>
          <w:sz w:val="22"/>
        </w:rPr>
        <w:t xml:space="preserve"> </w:t>
      </w:r>
    </w:p>
    <w:p w14:paraId="5060AECA" w14:textId="77777777" w:rsidR="00D852A1" w:rsidRPr="00776C88" w:rsidRDefault="00D852A1" w:rsidP="00115DB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D1A2EF4" w14:textId="1C50487D" w:rsidR="00D852A1" w:rsidRPr="00776C88" w:rsidRDefault="00B71852" w:rsidP="5FA319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O mercado de nutrição clínica está dominado por bebidas lácteas prontas para beber (RTD) e aplicações em pó altamente padronizadas. Elas são geralmente formuladas com ingredientes com pH neutro, que os pacientes podem achar pesados e não refrescantes, enquanto as opções do tipo suco são limitadas a </w:t>
      </w:r>
      <w:proofErr w:type="spellStart"/>
      <w:r>
        <w:rPr>
          <w:rFonts w:ascii="Calibri" w:hAnsi="Calibri"/>
          <w:sz w:val="22"/>
        </w:rPr>
        <w:t>RTDs</w:t>
      </w:r>
      <w:proofErr w:type="spellEnd"/>
      <w:r>
        <w:rPr>
          <w:rFonts w:ascii="Calibri" w:hAnsi="Calibri"/>
          <w:sz w:val="22"/>
        </w:rPr>
        <w:t>. Os pacientes e os profissionais da saúde buscam uma gama mais ampla de formatos flexíveis, convenientes e palatáveis que podem ser facilmente misturadas com alimentos e bebidas do dia a dia.</w:t>
      </w:r>
      <w:r w:rsidR="00D852A1" w:rsidRPr="00776C88">
        <w:rPr>
          <w:rStyle w:val="Refdenotaderodap"/>
          <w:rFonts w:ascii="Calibri" w:hAnsi="Calibri" w:cs="Calibri"/>
          <w:sz w:val="22"/>
          <w:szCs w:val="22"/>
        </w:rPr>
        <w:footnoteReference w:id="4"/>
      </w:r>
    </w:p>
    <w:p w14:paraId="2512F53D" w14:textId="77777777" w:rsidR="00D852A1" w:rsidRPr="00776C88" w:rsidRDefault="00D852A1" w:rsidP="00A46B8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DA22693" w14:textId="68790B72" w:rsidR="00A46B87" w:rsidRPr="00776C88" w:rsidRDefault="00E31B7C" w:rsidP="1AB8E2B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A nova whey protein (proteína do soro de leite) </w:t>
      </w:r>
      <w:proofErr w:type="spellStart"/>
      <w:r>
        <w:rPr>
          <w:rFonts w:ascii="Calibri" w:hAnsi="Calibri"/>
          <w:sz w:val="22"/>
        </w:rPr>
        <w:t>Lacprodan</w:t>
      </w:r>
      <w:proofErr w:type="spellEnd"/>
      <w:r>
        <w:rPr>
          <w:rFonts w:ascii="Calibri" w:hAnsi="Calibri"/>
          <w:sz w:val="22"/>
        </w:rPr>
        <w:t xml:space="preserve">® BLG-100 </w:t>
      </w:r>
      <w:proofErr w:type="spellStart"/>
      <w:r>
        <w:rPr>
          <w:rFonts w:ascii="Calibri" w:hAnsi="Calibri"/>
          <w:sz w:val="22"/>
        </w:rPr>
        <w:t>Acidic</w:t>
      </w:r>
      <w:proofErr w:type="spellEnd"/>
      <w:r>
        <w:rPr>
          <w:rFonts w:ascii="Calibri" w:hAnsi="Calibri"/>
          <w:sz w:val="22"/>
        </w:rPr>
        <w:t xml:space="preserve"> da Arla </w:t>
      </w:r>
      <w:proofErr w:type="spellStart"/>
      <w:r>
        <w:rPr>
          <w:rFonts w:ascii="Calibri" w:hAnsi="Calibri"/>
          <w:sz w:val="22"/>
        </w:rPr>
        <w:t>Foods</w:t>
      </w:r>
      <w:proofErr w:type="spellEnd"/>
      <w:r>
        <w:rPr>
          <w:rFonts w:ascii="Calibri" w:hAnsi="Calibri"/>
          <w:sz w:val="22"/>
        </w:rPr>
        <w:t xml:space="preserve"> Ingredients para aplicações em pó prontas para </w:t>
      </w:r>
      <w:proofErr w:type="spellStart"/>
      <w:r w:rsidR="00267ECD">
        <w:rPr>
          <w:rFonts w:ascii="Calibri" w:hAnsi="Calibri"/>
          <w:sz w:val="22"/>
        </w:rPr>
        <w:t>misturar</w:t>
      </w:r>
      <w:r>
        <w:rPr>
          <w:rFonts w:ascii="Calibri" w:hAnsi="Calibri"/>
          <w:sz w:val="22"/>
        </w:rPr>
        <w:t>proporciona</w:t>
      </w:r>
      <w:proofErr w:type="spellEnd"/>
      <w:r>
        <w:rPr>
          <w:rFonts w:ascii="Calibri" w:hAnsi="Calibri"/>
          <w:sz w:val="22"/>
        </w:rPr>
        <w:t xml:space="preserve"> 10 g de proteína de alta qualidade por porção de 100 ml. Devido a sua solubilidade superior, ela oferece uma funcionalidade excelente para aplicações tecnicamente desafiadoras que podem ser misturadas com uma colher ou agitadas. Com um ótimo sabor refrescante sem amargor, bem como</w:t>
      </w:r>
      <w:r w:rsidR="0064616D">
        <w:rPr>
          <w:rFonts w:ascii="Calibri" w:hAnsi="Calibri"/>
          <w:sz w:val="22"/>
        </w:rPr>
        <w:t xml:space="preserve"> um baixo nível de</w:t>
      </w:r>
      <w:r>
        <w:rPr>
          <w:rFonts w:ascii="Calibri" w:hAnsi="Calibri"/>
          <w:sz w:val="22"/>
        </w:rPr>
        <w:t xml:space="preserve"> adstringência e viscosidade sem gelificação, ela se dissolve em apenas 30 segundos em aplicações quentes ou frias sem aglutinar. </w:t>
      </w:r>
    </w:p>
    <w:p w14:paraId="6DC96C34" w14:textId="77777777" w:rsidR="00361505" w:rsidRPr="00776C88" w:rsidRDefault="00361505" w:rsidP="005457C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B5E6F42" w14:textId="28044B56" w:rsidR="00361505" w:rsidRDefault="00361505" w:rsidP="1AB8E2B8">
      <w:pPr>
        <w:pStyle w:val="NormalWeb"/>
        <w:spacing w:before="0" w:beforeAutospacing="0" w:after="0" w:afterAutospacing="0"/>
        <w:rPr>
          <w:rFonts w:ascii="Calibri" w:hAnsi="Calibri"/>
          <w:sz w:val="22"/>
        </w:rPr>
      </w:pPr>
      <w:proofErr w:type="spellStart"/>
      <w:r>
        <w:rPr>
          <w:rFonts w:ascii="Calibri" w:hAnsi="Calibri"/>
          <w:sz w:val="22"/>
        </w:rPr>
        <w:lastRenderedPageBreak/>
        <w:t>Lacprodan</w:t>
      </w:r>
      <w:proofErr w:type="spellEnd"/>
      <w:r>
        <w:rPr>
          <w:rFonts w:ascii="Calibri" w:hAnsi="Calibri"/>
          <w:sz w:val="22"/>
        </w:rPr>
        <w:t xml:space="preserve">® BLG-100 </w:t>
      </w:r>
      <w:proofErr w:type="spellStart"/>
      <w:r>
        <w:rPr>
          <w:rFonts w:ascii="Calibri" w:hAnsi="Calibri"/>
          <w:sz w:val="22"/>
        </w:rPr>
        <w:t>Acidic</w:t>
      </w:r>
      <w:proofErr w:type="spellEnd"/>
      <w:r>
        <w:rPr>
          <w:rFonts w:ascii="Calibri" w:hAnsi="Calibri"/>
          <w:sz w:val="22"/>
        </w:rPr>
        <w:t xml:space="preserve"> pode ser usado em aplicações nutricionalmente completas e incompletas, inclusive em opções lácteas ou tipo suco refrescantes. O formato flexível em pó possibilita uma dosagem fácil da prescrição de nutrição clínica diária recomendada, com o volume final ajustável dependendo da quantidade de água adicionada. </w:t>
      </w:r>
    </w:p>
    <w:p w14:paraId="1712D4A9" w14:textId="77777777" w:rsidR="0064616D" w:rsidRPr="00776C88" w:rsidRDefault="0064616D" w:rsidP="1AB8E2B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7FA9EE3" w14:textId="29C84D1E" w:rsidR="00115DBA" w:rsidRPr="00776C88" w:rsidRDefault="007E3A0F" w:rsidP="00A325E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Com uma pureza excepcional e um perfil superior de aminoácidos, ele tem alto teor de todos os nove aminoácidos essenciais e é rico em leucina, o que estimula a síntese de proteína muscular, conforme indicado em estudos científicos.</w:t>
      </w:r>
      <w:r w:rsidR="00AF2705" w:rsidRPr="004078C8">
        <w:rPr>
          <w:rStyle w:val="Refdenotaderodap"/>
          <w:rFonts w:ascii="Calibri" w:hAnsi="Calibri" w:cs="Calibri"/>
          <w:sz w:val="22"/>
          <w:szCs w:val="22"/>
        </w:rPr>
        <w:footnoteReference w:id="5"/>
      </w:r>
      <w:r>
        <w:rPr>
          <w:rFonts w:ascii="Calibri" w:hAnsi="Calibri"/>
          <w:sz w:val="22"/>
          <w:vertAlign w:val="superscript"/>
        </w:rPr>
        <w:t>,</w:t>
      </w:r>
      <w:r w:rsidR="00511A7D" w:rsidRPr="004078C8">
        <w:rPr>
          <w:rStyle w:val="Refdenotaderodap"/>
          <w:rFonts w:ascii="Calibri" w:hAnsi="Calibri" w:cs="Calibri"/>
          <w:sz w:val="22"/>
          <w:szCs w:val="22"/>
        </w:rPr>
        <w:footnoteReference w:id="6"/>
      </w:r>
      <w:r>
        <w:rPr>
          <w:rFonts w:ascii="Calibri" w:hAnsi="Calibri"/>
          <w:sz w:val="22"/>
          <w:vertAlign w:val="superscript"/>
        </w:rPr>
        <w:t>,</w:t>
      </w:r>
      <w:r w:rsidR="00511A7D" w:rsidRPr="004078C8">
        <w:rPr>
          <w:rStyle w:val="Refdenotaderodap"/>
          <w:rFonts w:ascii="Calibri" w:hAnsi="Calibri" w:cs="Calibri"/>
          <w:sz w:val="22"/>
          <w:szCs w:val="22"/>
        </w:rPr>
        <w:footnoteReference w:id="7"/>
      </w:r>
      <w:r>
        <w:rPr>
          <w:rFonts w:ascii="Calibri" w:hAnsi="Calibri"/>
          <w:sz w:val="22"/>
          <w:vertAlign w:val="superscript"/>
        </w:rPr>
        <w:t xml:space="preserve"> </w:t>
      </w:r>
      <w:r>
        <w:rPr>
          <w:rFonts w:ascii="Calibri" w:hAnsi="Calibri"/>
          <w:sz w:val="22"/>
        </w:rPr>
        <w:t>Isso o torna ideal para pacientes com apetite reduzido e apoia aqueles com maior risco de perda de massa muscular.</w:t>
      </w:r>
    </w:p>
    <w:p w14:paraId="1D8C7932" w14:textId="77777777" w:rsidR="00361505" w:rsidRPr="00776C88" w:rsidRDefault="00361505" w:rsidP="007E3A0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9789763" w14:textId="37C11BE2" w:rsidR="00E022DC" w:rsidRPr="00776C88" w:rsidRDefault="00E022DC" w:rsidP="355443B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Mads </w:t>
      </w:r>
      <w:proofErr w:type="spellStart"/>
      <w:r>
        <w:rPr>
          <w:rFonts w:ascii="Calibri" w:hAnsi="Calibri"/>
          <w:sz w:val="22"/>
        </w:rPr>
        <w:t>Dyrvig</w:t>
      </w:r>
      <w:proofErr w:type="spellEnd"/>
      <w:r>
        <w:rPr>
          <w:rFonts w:ascii="Calibri" w:hAnsi="Calibri"/>
          <w:sz w:val="22"/>
        </w:rPr>
        <w:t xml:space="preserve">, Head </w:t>
      </w:r>
      <w:proofErr w:type="spellStart"/>
      <w:r>
        <w:rPr>
          <w:rFonts w:ascii="Calibri" w:hAnsi="Calibri"/>
          <w:sz w:val="22"/>
        </w:rPr>
        <w:t>of</w:t>
      </w:r>
      <w:proofErr w:type="spellEnd"/>
      <w:r>
        <w:rPr>
          <w:rFonts w:ascii="Calibri" w:hAnsi="Calibri"/>
          <w:sz w:val="22"/>
        </w:rPr>
        <w:t xml:space="preserve"> Sales </w:t>
      </w:r>
      <w:proofErr w:type="spellStart"/>
      <w:r>
        <w:rPr>
          <w:rFonts w:ascii="Calibri" w:hAnsi="Calibri"/>
          <w:sz w:val="22"/>
        </w:rPr>
        <w:t>Development</w:t>
      </w:r>
      <w:proofErr w:type="spellEnd"/>
      <w:r>
        <w:rPr>
          <w:rFonts w:ascii="Calibri" w:hAnsi="Calibri"/>
          <w:sz w:val="22"/>
        </w:rPr>
        <w:t xml:space="preserve">, </w:t>
      </w:r>
      <w:proofErr w:type="spellStart"/>
      <w:r>
        <w:rPr>
          <w:rFonts w:ascii="Calibri" w:hAnsi="Calibri"/>
          <w:sz w:val="22"/>
        </w:rPr>
        <w:t>Specialised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Nutrition</w:t>
      </w:r>
      <w:proofErr w:type="spellEnd"/>
      <w:r>
        <w:rPr>
          <w:rFonts w:ascii="Calibri" w:hAnsi="Calibri"/>
          <w:sz w:val="22"/>
        </w:rPr>
        <w:t xml:space="preserve">, na Arla </w:t>
      </w:r>
      <w:proofErr w:type="spellStart"/>
      <w:r>
        <w:rPr>
          <w:rFonts w:ascii="Calibri" w:hAnsi="Calibri"/>
          <w:sz w:val="22"/>
        </w:rPr>
        <w:t>Foods</w:t>
      </w:r>
      <w:proofErr w:type="spellEnd"/>
      <w:r>
        <w:rPr>
          <w:rFonts w:ascii="Calibri" w:hAnsi="Calibri"/>
          <w:sz w:val="22"/>
        </w:rPr>
        <w:t xml:space="preserve"> Ingredients, disse: "É muito elevado o número de pacientes hospitalares que carecem de nutrição como suporte à recuperação. Ainda assim, o sabor lácteo convencional e a textura pesada de muitos produtos de nutrição clínica </w:t>
      </w:r>
      <w:proofErr w:type="gramStart"/>
      <w:r>
        <w:rPr>
          <w:rFonts w:ascii="Calibri" w:hAnsi="Calibri"/>
          <w:sz w:val="22"/>
        </w:rPr>
        <w:t>pode</w:t>
      </w:r>
      <w:proofErr w:type="gramEnd"/>
      <w:r>
        <w:rPr>
          <w:rFonts w:ascii="Calibri" w:hAnsi="Calibri"/>
          <w:sz w:val="22"/>
        </w:rPr>
        <w:t xml:space="preserve"> inibir a aderência, e os pacientes geralmente querem uma variedade maior de formatos. </w:t>
      </w:r>
      <w:proofErr w:type="spellStart"/>
      <w:r>
        <w:rPr>
          <w:rFonts w:ascii="Calibri" w:hAnsi="Calibri"/>
          <w:sz w:val="22"/>
        </w:rPr>
        <w:t>Lacprodan</w:t>
      </w:r>
      <w:proofErr w:type="spellEnd"/>
      <w:r>
        <w:rPr>
          <w:rFonts w:ascii="Calibri" w:hAnsi="Calibri"/>
          <w:sz w:val="22"/>
        </w:rPr>
        <w:t xml:space="preserve">® BLG-100 </w:t>
      </w:r>
      <w:proofErr w:type="spellStart"/>
      <w:r>
        <w:rPr>
          <w:rFonts w:ascii="Calibri" w:hAnsi="Calibri"/>
          <w:sz w:val="22"/>
        </w:rPr>
        <w:t>Acidic</w:t>
      </w:r>
      <w:proofErr w:type="spellEnd"/>
      <w:r>
        <w:rPr>
          <w:rFonts w:ascii="Calibri" w:hAnsi="Calibri"/>
          <w:sz w:val="22"/>
        </w:rPr>
        <w:t xml:space="preserve"> gera novas oportunidades de alimentos e bebidas atrativos para fins médicos especiais, permitindo a criação de opções nutritivas, variadas e convenientes para apetites reduzidos. Com sabor e sensação agradáveis, ele oferece funcionalidade e versatilidade excepcionais, possibilitando a oferta de proteína de alta qualidade e mais variedade para os pacientes."</w:t>
      </w:r>
    </w:p>
    <w:p w14:paraId="004F7329" w14:textId="77777777" w:rsidR="00E022DC" w:rsidRPr="00776C88" w:rsidRDefault="00E022DC" w:rsidP="00C50CE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F90EB25" w14:textId="7910B3DF" w:rsidR="00C50CE3" w:rsidRPr="00776C88" w:rsidRDefault="00AE30FA" w:rsidP="1AB8E2B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Para apresentar o potencial de </w:t>
      </w:r>
      <w:proofErr w:type="spellStart"/>
      <w:r>
        <w:rPr>
          <w:rFonts w:ascii="Calibri" w:hAnsi="Calibri"/>
          <w:sz w:val="22"/>
        </w:rPr>
        <w:t>Lacprodan</w:t>
      </w:r>
      <w:proofErr w:type="spellEnd"/>
      <w:r>
        <w:rPr>
          <w:rFonts w:ascii="Calibri" w:hAnsi="Calibri"/>
          <w:sz w:val="22"/>
        </w:rPr>
        <w:t xml:space="preserve">® BLG-100 </w:t>
      </w:r>
      <w:proofErr w:type="spellStart"/>
      <w:r>
        <w:rPr>
          <w:rFonts w:ascii="Calibri" w:hAnsi="Calibri"/>
          <w:sz w:val="22"/>
        </w:rPr>
        <w:t>Acidic</w:t>
      </w:r>
      <w:proofErr w:type="spellEnd"/>
      <w:r>
        <w:rPr>
          <w:rFonts w:ascii="Calibri" w:hAnsi="Calibri"/>
          <w:sz w:val="22"/>
        </w:rPr>
        <w:t xml:space="preserve">, a Arla </w:t>
      </w:r>
      <w:proofErr w:type="spellStart"/>
      <w:r>
        <w:rPr>
          <w:rFonts w:ascii="Calibri" w:hAnsi="Calibri"/>
          <w:sz w:val="22"/>
        </w:rPr>
        <w:t>Foods</w:t>
      </w:r>
      <w:proofErr w:type="spellEnd"/>
      <w:r>
        <w:rPr>
          <w:rFonts w:ascii="Calibri" w:hAnsi="Calibri"/>
          <w:sz w:val="22"/>
        </w:rPr>
        <w:t xml:space="preserve"> Ingredients criou dois conceitos de aplicação em pó convenientes e prontos </w:t>
      </w:r>
      <w:proofErr w:type="spellStart"/>
      <w:r>
        <w:rPr>
          <w:rFonts w:ascii="Calibri" w:hAnsi="Calibri"/>
          <w:sz w:val="22"/>
        </w:rPr>
        <w:t>para</w:t>
      </w:r>
      <w:r w:rsidR="00267ECD">
        <w:rPr>
          <w:rFonts w:ascii="Calibri" w:hAnsi="Calibri"/>
          <w:sz w:val="22"/>
        </w:rPr>
        <w:t>misturar</w:t>
      </w:r>
      <w:proofErr w:type="spellEnd"/>
      <w:r>
        <w:rPr>
          <w:rFonts w:ascii="Calibri" w:hAnsi="Calibri"/>
          <w:sz w:val="22"/>
        </w:rPr>
        <w:t xml:space="preserve">. Para produtos nutricionalmente incompletos, a bebida clínica tipo suco pronta para mexer representa uma oportunidade exclusiva no mercado, sem soluções comparáveis atualmente. Além dela, uma bebida láctea pronta para beber completa é uma alternativa refrescante às opções lácteas existentes para os pacientes.  </w:t>
      </w:r>
    </w:p>
    <w:p w14:paraId="43D2D4F2" w14:textId="77777777" w:rsidR="00C50CE3" w:rsidRPr="00776C88" w:rsidRDefault="00C50CE3" w:rsidP="00C50CE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B80E1EE" w14:textId="1C1BC2DA" w:rsidR="00C50CE3" w:rsidRPr="00776C88" w:rsidRDefault="0076571D" w:rsidP="1AB8E2B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Os dois conceitos também podem ser misturados com uma série de alimentos e bebidas, como leite, mingau e sopa, para dar um impulso no consumo de proteína com facilidade a qualquer hora do dia. </w:t>
      </w:r>
    </w:p>
    <w:p w14:paraId="4C489C61" w14:textId="77777777" w:rsidR="00E8317E" w:rsidRDefault="00E8317E" w:rsidP="00E8317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B2649E3" w14:textId="77777777" w:rsidR="004B5702" w:rsidRDefault="004B5702" w:rsidP="004B5702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*</w:t>
      </w:r>
      <w:proofErr w:type="spellStart"/>
      <w:r w:rsidRPr="004B5702">
        <w:rPr>
          <w:rFonts w:ascii="Calibri" w:hAnsi="Calibri"/>
          <w:sz w:val="22"/>
        </w:rPr>
        <w:t>Lacprodan</w:t>
      </w:r>
      <w:proofErr w:type="spellEnd"/>
      <w:r w:rsidRPr="004B5702">
        <w:rPr>
          <w:rFonts w:ascii="Calibri" w:hAnsi="Calibri"/>
          <w:sz w:val="22"/>
        </w:rPr>
        <w:t xml:space="preserve">® BLG-100 </w:t>
      </w:r>
      <w:proofErr w:type="spellStart"/>
      <w:r w:rsidRPr="004B5702">
        <w:rPr>
          <w:rFonts w:ascii="Calibri" w:hAnsi="Calibri"/>
          <w:sz w:val="22"/>
        </w:rPr>
        <w:t>Acidic</w:t>
      </w:r>
      <w:proofErr w:type="spellEnd"/>
      <w:r w:rsidRPr="004B5702">
        <w:rPr>
          <w:rFonts w:ascii="Calibri" w:hAnsi="Calibri"/>
          <w:sz w:val="22"/>
        </w:rPr>
        <w:t xml:space="preserve"> ainda não possui aprovação para comercialização no Brasil. Para obter informações adicionais, por favor, entre em contato com a Arla </w:t>
      </w:r>
      <w:proofErr w:type="spellStart"/>
      <w:r w:rsidRPr="004B5702">
        <w:rPr>
          <w:rFonts w:ascii="Calibri" w:hAnsi="Calibri"/>
          <w:sz w:val="22"/>
        </w:rPr>
        <w:t>Foods</w:t>
      </w:r>
      <w:proofErr w:type="spellEnd"/>
      <w:r w:rsidRPr="004B5702">
        <w:rPr>
          <w:rFonts w:ascii="Calibri" w:hAnsi="Calibri"/>
          <w:sz w:val="22"/>
        </w:rPr>
        <w:t xml:space="preserve"> Ingredients.</w:t>
      </w:r>
    </w:p>
    <w:p w14:paraId="265EF07C" w14:textId="77777777" w:rsidR="00284EE1" w:rsidRPr="00776C88" w:rsidRDefault="00284EE1" w:rsidP="00E8317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8A40317" w14:textId="77777777" w:rsidR="00E8317E" w:rsidRPr="00776C88" w:rsidRDefault="00E8317E" w:rsidP="00E8317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Para mais informações, entre em contato:</w:t>
      </w:r>
    </w:p>
    <w:p w14:paraId="671758A1" w14:textId="77777777" w:rsidR="00E8317E" w:rsidRPr="00267ECD" w:rsidRDefault="00E8317E" w:rsidP="00E8317E">
      <w:pPr>
        <w:rPr>
          <w:rFonts w:ascii="Calibri" w:hAnsi="Calibri" w:cs="Calibri"/>
          <w:sz w:val="22"/>
          <w:szCs w:val="22"/>
          <w:lang w:val="en-US"/>
        </w:rPr>
      </w:pPr>
      <w:r w:rsidRPr="00267ECD">
        <w:rPr>
          <w:rFonts w:ascii="Calibri" w:hAnsi="Calibri"/>
          <w:sz w:val="22"/>
          <w:lang w:val="en-US"/>
        </w:rPr>
        <w:t>Steve Harman, Ingredient Communications</w:t>
      </w:r>
    </w:p>
    <w:p w14:paraId="05AFF913" w14:textId="77777777" w:rsidR="00E8317E" w:rsidRPr="00267ECD" w:rsidRDefault="00E8317E" w:rsidP="00E8317E">
      <w:pPr>
        <w:rPr>
          <w:rFonts w:ascii="Calibri" w:hAnsi="Calibri" w:cs="Calibri"/>
          <w:sz w:val="22"/>
          <w:szCs w:val="22"/>
          <w:lang w:val="en-US"/>
        </w:rPr>
      </w:pPr>
      <w:r w:rsidRPr="00267ECD">
        <w:rPr>
          <w:rFonts w:ascii="Calibri" w:hAnsi="Calibri"/>
          <w:sz w:val="22"/>
          <w:lang w:val="en-US"/>
        </w:rPr>
        <w:t xml:space="preserve">Tel: +44 (0)7538 118079 | E-mail: </w:t>
      </w:r>
      <w:hyperlink r:id="rId12" w:history="1">
        <w:r w:rsidRPr="00267ECD">
          <w:rPr>
            <w:rStyle w:val="Hyperlink"/>
            <w:rFonts w:ascii="Calibri" w:hAnsi="Calibri"/>
            <w:color w:val="auto"/>
            <w:sz w:val="22"/>
            <w:lang w:val="en-US"/>
          </w:rPr>
          <w:t>steve@ingredientcommunications.com</w:t>
        </w:r>
      </w:hyperlink>
    </w:p>
    <w:p w14:paraId="4AF3068C" w14:textId="77777777" w:rsidR="00E8317E" w:rsidRPr="00776C88" w:rsidRDefault="00E8317E" w:rsidP="00E8317E">
      <w:pPr>
        <w:rPr>
          <w:rFonts w:ascii="Calibri" w:hAnsi="Calibri" w:cs="Calibri"/>
          <w:sz w:val="22"/>
          <w:szCs w:val="22"/>
          <w:lang w:val="en-GB"/>
        </w:rPr>
      </w:pPr>
    </w:p>
    <w:p w14:paraId="3C3DBB52" w14:textId="27481DB8" w:rsidR="00284EE1" w:rsidRDefault="00E8317E" w:rsidP="00E8317E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 xml:space="preserve">Sobre a Arla </w:t>
      </w:r>
      <w:proofErr w:type="spellStart"/>
      <w:r>
        <w:rPr>
          <w:rFonts w:ascii="Calibri" w:hAnsi="Calibri"/>
          <w:b/>
          <w:sz w:val="22"/>
        </w:rPr>
        <w:t>Foods</w:t>
      </w:r>
      <w:proofErr w:type="spellEnd"/>
      <w:r>
        <w:rPr>
          <w:rFonts w:ascii="Calibri" w:hAnsi="Calibri"/>
          <w:b/>
          <w:sz w:val="22"/>
        </w:rPr>
        <w:t xml:space="preserve"> Ingredients</w:t>
      </w:r>
      <w:r>
        <w:rPr>
          <w:rFonts w:ascii="Calibri" w:hAnsi="Calibri"/>
        </w:rPr>
        <w:br/>
      </w:r>
      <w:r>
        <w:rPr>
          <w:rFonts w:ascii="Calibri" w:hAnsi="Calibri"/>
          <w:sz w:val="22"/>
        </w:rPr>
        <w:t xml:space="preserve">A Arla </w:t>
      </w:r>
      <w:proofErr w:type="spellStart"/>
      <w:r>
        <w:rPr>
          <w:rFonts w:ascii="Calibri" w:hAnsi="Calibri"/>
          <w:sz w:val="22"/>
        </w:rPr>
        <w:t>Foods</w:t>
      </w:r>
      <w:proofErr w:type="spellEnd"/>
      <w:r>
        <w:rPr>
          <w:rFonts w:ascii="Calibri" w:hAnsi="Calibri"/>
          <w:sz w:val="22"/>
        </w:rPr>
        <w:t xml:space="preserve"> Ingredients é a líder global na melhoria de nutrição premium. Juntamente com nossos clientes, parceiros de pesquisa, fornecedores, ONGs e outros, descobrimos e oferecemos </w:t>
      </w:r>
      <w:r>
        <w:rPr>
          <w:rFonts w:ascii="Calibri" w:hAnsi="Calibri"/>
          <w:sz w:val="22"/>
        </w:rPr>
        <w:lastRenderedPageBreak/>
        <w:t xml:space="preserve">ingredientes e produtos documentados para o avanço da nutrição por toda a vida, beneficiando consumidores em todo o mundo. </w:t>
      </w:r>
    </w:p>
    <w:p w14:paraId="31788A7C" w14:textId="77777777" w:rsidR="004B5702" w:rsidRPr="00267ECD" w:rsidRDefault="004B5702" w:rsidP="00E8317E">
      <w:pPr>
        <w:rPr>
          <w:rFonts w:ascii="Calibri" w:hAnsi="Calibri" w:cs="Calibri"/>
          <w:bCs/>
          <w:sz w:val="22"/>
          <w:szCs w:val="22"/>
        </w:rPr>
      </w:pPr>
    </w:p>
    <w:p w14:paraId="3884A87D" w14:textId="77777777" w:rsidR="00E8317E" w:rsidRPr="00776C88" w:rsidRDefault="00E8317E" w:rsidP="00E8317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Nós trabalhamos com as principais marcas globais em nutrição infantil, clínica, esportiva, alimentos saudáveis e outros alimentos e bebidas.</w:t>
      </w:r>
    </w:p>
    <w:p w14:paraId="54408259" w14:textId="77777777" w:rsidR="00E8317E" w:rsidRPr="00267ECD" w:rsidRDefault="00E8317E" w:rsidP="00E8317E">
      <w:pPr>
        <w:rPr>
          <w:rFonts w:ascii="Calibri" w:hAnsi="Calibri" w:cs="Calibri"/>
          <w:bCs/>
          <w:sz w:val="22"/>
          <w:szCs w:val="22"/>
        </w:rPr>
      </w:pPr>
    </w:p>
    <w:p w14:paraId="49D58059" w14:textId="77777777" w:rsidR="00E8317E" w:rsidRPr="00776C88" w:rsidRDefault="00E8317E" w:rsidP="00E8317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Cinco razões para nos escolher:</w:t>
      </w:r>
    </w:p>
    <w:p w14:paraId="1EA9C561" w14:textId="77777777" w:rsidR="00E8317E" w:rsidRPr="00776C88" w:rsidRDefault="00E8317E" w:rsidP="00E8317E">
      <w:pPr>
        <w:pStyle w:val="PargrafodaLista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Nossa paixão pela melhoria da nutrição.</w:t>
      </w:r>
    </w:p>
    <w:p w14:paraId="7205D50E" w14:textId="77777777" w:rsidR="00E8317E" w:rsidRPr="00776C88" w:rsidRDefault="00E8317E" w:rsidP="00E8317E">
      <w:pPr>
        <w:pStyle w:val="PargrafodaLista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Inovamos ao conectar os melhores.</w:t>
      </w:r>
    </w:p>
    <w:p w14:paraId="64CB6A7A" w14:textId="77777777" w:rsidR="00E8317E" w:rsidRPr="00776C88" w:rsidRDefault="00E8317E" w:rsidP="00E8317E">
      <w:pPr>
        <w:pStyle w:val="PargrafodaLista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Dominamos a descoberta e o fornecimento.</w:t>
      </w:r>
    </w:p>
    <w:p w14:paraId="6AC0B5D7" w14:textId="77777777" w:rsidR="00E8317E" w:rsidRPr="00776C88" w:rsidRDefault="00E8317E" w:rsidP="00E8317E">
      <w:pPr>
        <w:pStyle w:val="PargrafodaLista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Desenvolvemos parcerias fortes e duradouras.</w:t>
      </w:r>
    </w:p>
    <w:p w14:paraId="7E0CEC0B" w14:textId="77777777" w:rsidR="00E8317E" w:rsidRPr="00776C88" w:rsidRDefault="00E8317E" w:rsidP="00E8317E">
      <w:pPr>
        <w:pStyle w:val="PargrafodaLista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Temos compromisso com a sustentabilidade. </w:t>
      </w:r>
    </w:p>
    <w:p w14:paraId="50C85443" w14:textId="77777777" w:rsidR="00E8317E" w:rsidRPr="00776C88" w:rsidRDefault="00E8317E" w:rsidP="00E8317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 </w:t>
      </w:r>
    </w:p>
    <w:p w14:paraId="30556854" w14:textId="77777777" w:rsidR="00E8317E" w:rsidRPr="00776C88" w:rsidRDefault="00E8317E" w:rsidP="00E8317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Com matriz na Dinamarca, a Arla </w:t>
      </w:r>
      <w:proofErr w:type="spellStart"/>
      <w:r>
        <w:rPr>
          <w:rFonts w:ascii="Calibri" w:hAnsi="Calibri"/>
          <w:sz w:val="22"/>
        </w:rPr>
        <w:t>Foods</w:t>
      </w:r>
      <w:proofErr w:type="spellEnd"/>
      <w:r>
        <w:rPr>
          <w:rFonts w:ascii="Calibri" w:hAnsi="Calibri"/>
          <w:sz w:val="22"/>
        </w:rPr>
        <w:t xml:space="preserve"> Ingredients é uma subsidiária 100% de propriedade da Arla </w:t>
      </w:r>
      <w:proofErr w:type="spellStart"/>
      <w:r>
        <w:rPr>
          <w:rFonts w:ascii="Calibri" w:hAnsi="Calibri"/>
          <w:sz w:val="22"/>
        </w:rPr>
        <w:t>Foods</w:t>
      </w:r>
      <w:proofErr w:type="spellEnd"/>
      <w:r>
        <w:rPr>
          <w:rFonts w:ascii="Calibri" w:hAnsi="Calibri"/>
          <w:sz w:val="22"/>
        </w:rPr>
        <w:t xml:space="preserve">. </w:t>
      </w:r>
    </w:p>
    <w:p w14:paraId="57903E1F" w14:textId="77777777" w:rsidR="00E8317E" w:rsidRPr="00267ECD" w:rsidRDefault="00E8317E" w:rsidP="00E8317E">
      <w:pPr>
        <w:rPr>
          <w:rFonts w:ascii="Calibri" w:hAnsi="Calibri" w:cs="Calibri"/>
          <w:bCs/>
          <w:sz w:val="22"/>
          <w:szCs w:val="22"/>
        </w:rPr>
      </w:pPr>
    </w:p>
    <w:p w14:paraId="53AC22C5" w14:textId="77777777" w:rsidR="00E8317E" w:rsidRPr="00776C88" w:rsidRDefault="00E8317E" w:rsidP="00E8317E">
      <w:pPr>
        <w:rPr>
          <w:rFonts w:ascii="Calibri" w:hAnsi="Calibri" w:cs="Calibri"/>
        </w:rPr>
      </w:pPr>
      <w:hyperlink r:id="rId13" w:history="1">
        <w:r>
          <w:rPr>
            <w:rStyle w:val="Hyperlink"/>
            <w:rFonts w:ascii="Calibri" w:hAnsi="Calibri"/>
            <w:color w:val="auto"/>
            <w:sz w:val="22"/>
          </w:rPr>
          <w:t>https://www.arlafoodsingredients.com/</w:t>
        </w:r>
      </w:hyperlink>
    </w:p>
    <w:p w14:paraId="0DBED4E8" w14:textId="77777777" w:rsidR="00E8317E" w:rsidRPr="00267ECD" w:rsidRDefault="00E8317E" w:rsidP="00E8317E">
      <w:pPr>
        <w:rPr>
          <w:rStyle w:val="Hyperlink"/>
          <w:rFonts w:ascii="Calibri" w:eastAsiaTheme="majorEastAsia" w:hAnsi="Calibri" w:cs="Calibri"/>
          <w:color w:val="auto"/>
        </w:rPr>
      </w:pPr>
    </w:p>
    <w:p w14:paraId="6CFA8CFD" w14:textId="77777777" w:rsidR="00E8317E" w:rsidRPr="00776C88" w:rsidRDefault="00E8317E" w:rsidP="00E8317E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LinkedIn</w:t>
      </w:r>
    </w:p>
    <w:p w14:paraId="62FFB567" w14:textId="77777777" w:rsidR="00E8317E" w:rsidRPr="00776C88" w:rsidRDefault="00E8317E" w:rsidP="00E8317E">
      <w:pPr>
        <w:rPr>
          <w:rFonts w:ascii="Calibri" w:hAnsi="Calibri" w:cs="Calibri"/>
          <w:bCs/>
          <w:sz w:val="22"/>
          <w:szCs w:val="22"/>
        </w:rPr>
      </w:pPr>
      <w:hyperlink r:id="rId14" w:history="1">
        <w:r>
          <w:rPr>
            <w:rStyle w:val="Hyperlink"/>
            <w:rFonts w:ascii="Calibri" w:hAnsi="Calibri"/>
            <w:color w:val="auto"/>
            <w:sz w:val="22"/>
          </w:rPr>
          <w:t>http://www.linkedin.com/company/arla-foods-ingredients</w:t>
        </w:r>
      </w:hyperlink>
    </w:p>
    <w:p w14:paraId="06DF150D" w14:textId="77777777" w:rsidR="00E8317E" w:rsidRPr="00267ECD" w:rsidRDefault="00E8317E" w:rsidP="00E8317E">
      <w:pPr>
        <w:rPr>
          <w:rFonts w:ascii="Calibri" w:hAnsi="Calibri" w:cs="Calibri"/>
          <w:bCs/>
          <w:sz w:val="22"/>
          <w:szCs w:val="22"/>
        </w:rPr>
      </w:pPr>
    </w:p>
    <w:p w14:paraId="57179017" w14:textId="77777777" w:rsidR="00AD41C9" w:rsidRPr="00B4512D" w:rsidRDefault="00AD41C9" w:rsidP="00AD41C9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LinkedIn (América Latina)</w:t>
      </w:r>
    </w:p>
    <w:p w14:paraId="3DFFA137" w14:textId="77777777" w:rsidR="00AD41C9" w:rsidRPr="00B4512D" w:rsidRDefault="00AD41C9" w:rsidP="00AD41C9">
      <w:pPr>
        <w:rPr>
          <w:rFonts w:ascii="Calibri" w:hAnsi="Calibri" w:cs="Calibri"/>
          <w:sz w:val="22"/>
          <w:szCs w:val="22"/>
        </w:rPr>
      </w:pPr>
      <w:hyperlink r:id="rId15" w:history="1">
        <w:r>
          <w:rPr>
            <w:rStyle w:val="Hyperlink"/>
            <w:rFonts w:ascii="Calibri" w:hAnsi="Calibri"/>
            <w:color w:val="auto"/>
            <w:sz w:val="22"/>
          </w:rPr>
          <w:t>https://www.linkedin.com/showcase/arla-foods-ingredients-latin-america/</w:t>
        </w:r>
      </w:hyperlink>
    </w:p>
    <w:p w14:paraId="1FDF1C17" w14:textId="77777777" w:rsidR="00E8317E" w:rsidRPr="00B4512D" w:rsidRDefault="00E8317E" w:rsidP="00E8317E">
      <w:pPr>
        <w:rPr>
          <w:rFonts w:ascii="Calibri" w:hAnsi="Calibri" w:cs="Calibri"/>
          <w:sz w:val="22"/>
          <w:szCs w:val="22"/>
          <w:lang w:val="fi-FI"/>
        </w:rPr>
      </w:pPr>
    </w:p>
    <w:p w14:paraId="4D4561B7" w14:textId="77777777" w:rsidR="00E8317E" w:rsidRPr="00776C88" w:rsidRDefault="00E8317E" w:rsidP="00E8317E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LinkedIn (China)</w:t>
      </w:r>
    </w:p>
    <w:p w14:paraId="37E6BEEF" w14:textId="658BDE27" w:rsidR="000C7D59" w:rsidRPr="00776C88" w:rsidRDefault="00E8317E">
      <w:pPr>
        <w:rPr>
          <w:rFonts w:ascii="Calibri" w:hAnsi="Calibri" w:cs="Calibri"/>
        </w:rPr>
      </w:pPr>
      <w:r>
        <w:rPr>
          <w:rFonts w:ascii="Calibri" w:hAnsi="Calibri"/>
          <w:sz w:val="22"/>
          <w:u w:val="single"/>
        </w:rPr>
        <w:t>https://www.linkedin.com/showcase/arla-foods-ingredients-china</w:t>
      </w:r>
    </w:p>
    <w:sectPr w:rsidR="000C7D59" w:rsidRPr="00776C88" w:rsidSect="00E8317E">
      <w:headerReference w:type="even" r:id="rId16"/>
      <w:headerReference w:type="default" r:id="rId17"/>
      <w:footerReference w:type="default" r:id="rId18"/>
      <w:headerReference w:type="first" r:id="rId19"/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C639" w14:textId="77777777" w:rsidR="003F3822" w:rsidRDefault="003F3822" w:rsidP="00E8317E">
      <w:r>
        <w:separator/>
      </w:r>
    </w:p>
  </w:endnote>
  <w:endnote w:type="continuationSeparator" w:id="0">
    <w:p w14:paraId="317287FE" w14:textId="77777777" w:rsidR="003F3822" w:rsidRDefault="003F3822" w:rsidP="00E8317E">
      <w:r>
        <w:continuationSeparator/>
      </w:r>
    </w:p>
  </w:endnote>
  <w:endnote w:type="continuationNotice" w:id="1">
    <w:p w14:paraId="21F4ECF7" w14:textId="77777777" w:rsidR="003F3822" w:rsidRDefault="003F38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0E8317E" w14:paraId="372F5D1A" w14:textId="77777777" w:rsidTr="00A905BD">
      <w:trPr>
        <w:trHeight w:val="300"/>
      </w:trPr>
      <w:tc>
        <w:tcPr>
          <w:tcW w:w="2880" w:type="dxa"/>
        </w:tcPr>
        <w:p w14:paraId="3F8E04A1" w14:textId="77777777" w:rsidR="00E8317E" w:rsidRDefault="00E8317E" w:rsidP="00A905BD">
          <w:pPr>
            <w:pStyle w:val="Cabealho"/>
            <w:ind w:left="-115"/>
          </w:pPr>
        </w:p>
      </w:tc>
      <w:tc>
        <w:tcPr>
          <w:tcW w:w="2880" w:type="dxa"/>
        </w:tcPr>
        <w:p w14:paraId="46545DB1" w14:textId="77777777" w:rsidR="00E8317E" w:rsidRDefault="00E8317E" w:rsidP="00A905BD">
          <w:pPr>
            <w:pStyle w:val="Cabealho"/>
            <w:jc w:val="center"/>
          </w:pPr>
        </w:p>
      </w:tc>
      <w:tc>
        <w:tcPr>
          <w:tcW w:w="2880" w:type="dxa"/>
        </w:tcPr>
        <w:p w14:paraId="2D9B3AE6" w14:textId="77777777" w:rsidR="00E8317E" w:rsidRDefault="00E8317E" w:rsidP="00A905BD">
          <w:pPr>
            <w:pStyle w:val="Cabealho"/>
            <w:ind w:right="-115"/>
            <w:jc w:val="right"/>
          </w:pPr>
        </w:p>
      </w:tc>
    </w:tr>
  </w:tbl>
  <w:p w14:paraId="2F13763A" w14:textId="77777777" w:rsidR="00E8317E" w:rsidRDefault="00E8317E" w:rsidP="00A905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6905" w14:textId="77777777" w:rsidR="003F3822" w:rsidRDefault="003F3822" w:rsidP="00E8317E">
      <w:r>
        <w:separator/>
      </w:r>
    </w:p>
  </w:footnote>
  <w:footnote w:type="continuationSeparator" w:id="0">
    <w:p w14:paraId="1A2F78B2" w14:textId="77777777" w:rsidR="003F3822" w:rsidRDefault="003F3822" w:rsidP="00E8317E">
      <w:r>
        <w:continuationSeparator/>
      </w:r>
    </w:p>
  </w:footnote>
  <w:footnote w:type="continuationNotice" w:id="1">
    <w:p w14:paraId="747A435E" w14:textId="77777777" w:rsidR="003F3822" w:rsidRDefault="003F3822"/>
  </w:footnote>
  <w:footnote w:id="2">
    <w:p w14:paraId="58B24F69" w14:textId="44BF7E6A" w:rsidR="00234631" w:rsidRPr="007D6828" w:rsidRDefault="00234631" w:rsidP="00C316DD">
      <w:pPr>
        <w:rPr>
          <w:rFonts w:ascii="Calibri" w:hAnsi="Calibri" w:cs="Calibri"/>
          <w:sz w:val="18"/>
          <w:szCs w:val="18"/>
        </w:rPr>
      </w:pPr>
      <w:r>
        <w:rPr>
          <w:rStyle w:val="Refdenotaderodap"/>
          <w:rFonts w:ascii="Calibri" w:hAnsi="Calibri" w:cs="Calibri"/>
          <w:sz w:val="18"/>
          <w:szCs w:val="18"/>
        </w:rPr>
        <w:footnoteRef/>
      </w:r>
      <w:r>
        <w:rPr>
          <w:rFonts w:ascii="Calibri" w:hAnsi="Calibri"/>
          <w:sz w:val="18"/>
        </w:rPr>
        <w:t xml:space="preserve"> Organização Mundial da Saúde, Escritório Regional da Europa, “</w:t>
      </w:r>
      <w:proofErr w:type="spellStart"/>
      <w:r>
        <w:rPr>
          <w:rFonts w:ascii="Calibri" w:hAnsi="Calibri"/>
          <w:sz w:val="18"/>
        </w:rPr>
        <w:t>Disease-related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malnutrition</w:t>
      </w:r>
      <w:proofErr w:type="spellEnd"/>
      <w:r>
        <w:rPr>
          <w:rFonts w:ascii="Calibri" w:hAnsi="Calibri"/>
          <w:sz w:val="18"/>
        </w:rPr>
        <w:t xml:space="preserve">: a time for </w:t>
      </w:r>
      <w:proofErr w:type="spellStart"/>
      <w:r>
        <w:rPr>
          <w:rFonts w:ascii="Calibri" w:hAnsi="Calibri"/>
          <w:sz w:val="18"/>
        </w:rPr>
        <w:t>action</w:t>
      </w:r>
      <w:proofErr w:type="spellEnd"/>
      <w:r>
        <w:rPr>
          <w:rFonts w:ascii="Calibri" w:hAnsi="Calibri"/>
          <w:sz w:val="18"/>
        </w:rPr>
        <w:t>”, 2023. </w:t>
      </w:r>
      <w:hyperlink r:id="rId1" w:history="1">
        <w:r>
          <w:rPr>
            <w:rStyle w:val="Hyperlink"/>
            <w:rFonts w:ascii="Calibri" w:hAnsi="Calibri"/>
            <w:sz w:val="18"/>
          </w:rPr>
          <w:t>https://www.who.int/europe/publications/i/item/WHO-EURO-2023-8931-48703-72392</w:t>
        </w:r>
      </w:hyperlink>
      <w:r>
        <w:rPr>
          <w:rFonts w:ascii="Calibri" w:hAnsi="Calibri"/>
        </w:rPr>
        <w:t xml:space="preserve"> </w:t>
      </w:r>
    </w:p>
  </w:footnote>
  <w:footnote w:id="3">
    <w:p w14:paraId="52DF665C" w14:textId="357F6F31" w:rsidR="00C316DD" w:rsidRPr="007D6828" w:rsidRDefault="00C316DD" w:rsidP="00C23F74">
      <w:pPr>
        <w:rPr>
          <w:rFonts w:ascii="Calibri" w:hAnsi="Calibri" w:cs="Calibri"/>
          <w:sz w:val="18"/>
          <w:szCs w:val="18"/>
        </w:rPr>
      </w:pPr>
      <w:r>
        <w:rPr>
          <w:rStyle w:val="Refdenotaderodap"/>
          <w:rFonts w:ascii="Calibri" w:hAnsi="Calibri" w:cs="Calibri"/>
          <w:sz w:val="18"/>
          <w:szCs w:val="18"/>
        </w:rPr>
        <w:footnoteRef/>
      </w:r>
      <w:r>
        <w:rPr>
          <w:rFonts w:ascii="Calibri" w:hAnsi="Calibri"/>
          <w:sz w:val="18"/>
        </w:rPr>
        <w:t xml:space="preserve"> Banco de Dados de insights de nutrição clínica do FMCG Gurus, Brasil, China, França, Alemanha, Indonésia, Itália, Japão, Coreia do Sul, Espanha, Reino Unido, EUA, Vietnã, 2023; Estudo qualitativo sobre nutrição clínica, Lindberg </w:t>
      </w:r>
      <w:proofErr w:type="spellStart"/>
      <w:r>
        <w:rPr>
          <w:rFonts w:ascii="Calibri" w:hAnsi="Calibri"/>
          <w:sz w:val="18"/>
        </w:rPr>
        <w:t>International</w:t>
      </w:r>
      <w:proofErr w:type="spellEnd"/>
      <w:r>
        <w:rPr>
          <w:rFonts w:ascii="Calibri" w:hAnsi="Calibri"/>
          <w:sz w:val="18"/>
        </w:rPr>
        <w:t>, China, Alemanha, Reino Unido, EUA, 2024</w:t>
      </w:r>
    </w:p>
  </w:footnote>
  <w:footnote w:id="4">
    <w:p w14:paraId="310E380D" w14:textId="77777777" w:rsidR="00D852A1" w:rsidRPr="007D6828" w:rsidRDefault="00D852A1" w:rsidP="00D852A1">
      <w:pPr>
        <w:rPr>
          <w:rFonts w:ascii="Calibri" w:hAnsi="Calibri" w:cs="Calibri"/>
          <w:sz w:val="18"/>
          <w:szCs w:val="18"/>
        </w:rPr>
      </w:pPr>
      <w:r>
        <w:rPr>
          <w:rStyle w:val="Refdenotaderodap"/>
          <w:rFonts w:ascii="Calibri" w:hAnsi="Calibri" w:cs="Calibri"/>
          <w:sz w:val="18"/>
          <w:szCs w:val="18"/>
        </w:rPr>
        <w:footnoteRef/>
      </w:r>
      <w:r>
        <w:rPr>
          <w:rFonts w:ascii="Calibri" w:hAnsi="Calibri"/>
          <w:sz w:val="18"/>
        </w:rPr>
        <w:t xml:space="preserve"> Banco de Dados de insights de nutrição clínica do FMCG Gurus, Brasil, China, França, Alemanha, Indonésia, Itália, Japão, Coreia do Sul, Espanha, Reino Unido, EUA, Vietnã, 2023; Estudo qualitativo sobre nutrição clínica, Lindberg </w:t>
      </w:r>
      <w:proofErr w:type="spellStart"/>
      <w:r>
        <w:rPr>
          <w:rFonts w:ascii="Calibri" w:hAnsi="Calibri"/>
          <w:sz w:val="18"/>
        </w:rPr>
        <w:t>International</w:t>
      </w:r>
      <w:proofErr w:type="spellEnd"/>
      <w:r>
        <w:rPr>
          <w:rFonts w:ascii="Calibri" w:hAnsi="Calibri"/>
          <w:sz w:val="18"/>
        </w:rPr>
        <w:t>, China, Alemanha, Reino Unido, EUA, 2024</w:t>
      </w:r>
    </w:p>
    <w:p w14:paraId="0989168E" w14:textId="77777777" w:rsidR="00D852A1" w:rsidRPr="00267ECD" w:rsidRDefault="00D852A1" w:rsidP="00D852A1">
      <w:pPr>
        <w:pStyle w:val="Textodenotaderodap"/>
      </w:pPr>
    </w:p>
  </w:footnote>
  <w:footnote w:id="5">
    <w:p w14:paraId="00BF6BB9" w14:textId="040E37B7" w:rsidR="00AF2705" w:rsidRPr="002E4BCE" w:rsidRDefault="00AF2705" w:rsidP="002E4BCE">
      <w:pPr>
        <w:rPr>
          <w:rStyle w:val="Refdenotaderodap"/>
          <w:rFonts w:ascii="Calibri" w:hAnsi="Calibri" w:cs="Calibri"/>
          <w:sz w:val="18"/>
          <w:szCs w:val="18"/>
          <w:vertAlign w:val="baseline"/>
        </w:rPr>
      </w:pPr>
      <w:r>
        <w:rPr>
          <w:rStyle w:val="Refdenotaderodap"/>
          <w:rFonts w:ascii="Calibri" w:hAnsi="Calibri" w:cs="Calibri"/>
          <w:sz w:val="18"/>
          <w:szCs w:val="18"/>
        </w:rPr>
        <w:footnoteRef/>
      </w:r>
      <w:r>
        <w:rPr>
          <w:rStyle w:val="Refdenotaderodap"/>
          <w:rFonts w:ascii="Calibri" w:hAnsi="Calibri"/>
          <w:sz w:val="18"/>
        </w:rPr>
        <w:t xml:space="preserve"> </w:t>
      </w:r>
      <w:r>
        <w:rPr>
          <w:rStyle w:val="Refdenotaderodap"/>
          <w:rFonts w:ascii="Calibri" w:hAnsi="Calibri"/>
          <w:sz w:val="18"/>
          <w:vertAlign w:val="baseline"/>
        </w:rPr>
        <w:t xml:space="preserve">Anthony JC, Anthony TG,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Kimball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SR, Jefferson LS.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Signaling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Pathways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Involved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in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Translational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Control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of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Protein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Synthesis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in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Skeletal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Muscle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by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Leucine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.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Journal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of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Nutrition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>. 2001;131(3):856S</w:t>
      </w:r>
      <w:r>
        <w:rPr>
          <w:rStyle w:val="Refdenotaderodap"/>
          <w:rFonts w:ascii="Cambria Math" w:hAnsi="Cambria Math"/>
          <w:sz w:val="18"/>
          <w:vertAlign w:val="baseline"/>
        </w:rPr>
        <w:t>‑</w:t>
      </w:r>
      <w:r>
        <w:rPr>
          <w:rStyle w:val="Refdenotaderodap"/>
          <w:rFonts w:ascii="Calibri" w:hAnsi="Calibri"/>
          <w:sz w:val="18"/>
          <w:vertAlign w:val="baseline"/>
        </w:rPr>
        <w:t>860S.</w:t>
      </w:r>
    </w:p>
  </w:footnote>
  <w:footnote w:id="6">
    <w:p w14:paraId="3C0ADA04" w14:textId="082D5636" w:rsidR="00511A7D" w:rsidRPr="002E4BCE" w:rsidRDefault="00511A7D" w:rsidP="002E4BCE">
      <w:pPr>
        <w:rPr>
          <w:rStyle w:val="Refdenotaderodap"/>
          <w:rFonts w:ascii="Calibri" w:hAnsi="Calibri" w:cs="Calibri"/>
          <w:sz w:val="18"/>
          <w:szCs w:val="18"/>
          <w:vertAlign w:val="baseline"/>
        </w:rPr>
      </w:pPr>
      <w:r>
        <w:rPr>
          <w:rStyle w:val="Refdenotaderodap"/>
          <w:rFonts w:ascii="Calibri" w:hAnsi="Calibri" w:cs="Calibri"/>
          <w:sz w:val="18"/>
          <w:szCs w:val="18"/>
        </w:rPr>
        <w:footnoteRef/>
      </w:r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Holowaty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MNH,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Lees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MJ, Abou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Sawan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S, et al.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Leucine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ingestion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promotes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mTOR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translocation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to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the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periphery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and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enhances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RPS6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phosphorylation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in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human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skeletal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muscle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. Amino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Acids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>. 2023;55:253–261.</w:t>
      </w:r>
    </w:p>
  </w:footnote>
  <w:footnote w:id="7">
    <w:p w14:paraId="7D9B4109" w14:textId="6BC6EFC0" w:rsidR="00511A7D" w:rsidRPr="00511A7D" w:rsidRDefault="00511A7D" w:rsidP="002E4BCE">
      <w:r>
        <w:rPr>
          <w:rStyle w:val="Refdenotaderodap"/>
          <w:rFonts w:ascii="Calibri" w:hAnsi="Calibri" w:cs="Calibri"/>
          <w:sz w:val="18"/>
          <w:szCs w:val="18"/>
        </w:rPr>
        <w:footnoteRef/>
      </w:r>
      <w:r>
        <w:rPr>
          <w:rStyle w:val="Refdenotaderodap"/>
          <w:rFonts w:ascii="Calibri" w:hAnsi="Calibri"/>
          <w:sz w:val="18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Churchward-Venne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et al.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Supplementation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of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a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suboptimal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protein dose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with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leucine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or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essential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amino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acids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: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effects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on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myofibrillar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protein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synthesis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at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rest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and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following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resistance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exercise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in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men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.  J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Physiol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>. 2012 Mar 25;590(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Pt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 xml:space="preserve"> 11):2751–2765. </w:t>
      </w:r>
      <w:proofErr w:type="spellStart"/>
      <w:r>
        <w:rPr>
          <w:rStyle w:val="Refdenotaderodap"/>
          <w:rFonts w:ascii="Calibri" w:hAnsi="Calibri"/>
          <w:sz w:val="18"/>
          <w:vertAlign w:val="baseline"/>
        </w:rPr>
        <w:t>doi</w:t>
      </w:r>
      <w:proofErr w:type="spellEnd"/>
      <w:r>
        <w:rPr>
          <w:rStyle w:val="Refdenotaderodap"/>
          <w:rFonts w:ascii="Calibri" w:hAnsi="Calibri"/>
          <w:sz w:val="18"/>
          <w:vertAlign w:val="baseline"/>
        </w:rPr>
        <w:t>: 10.1113/jphysiol.2012.228833).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02EB" w14:textId="6C6CFDE2" w:rsidR="00AC3CD2" w:rsidRDefault="00AC3CD2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C54C0A3" wp14:editId="43C5BB3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350" cy="361315"/>
              <wp:effectExtent l="0" t="0" r="12700" b="635"/>
              <wp:wrapNone/>
              <wp:docPr id="445687896" name="Text Box 2" descr="ARLA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901DD" w14:textId="072927F2" w:rsidR="00AC3CD2" w:rsidRPr="00AC3CD2" w:rsidRDefault="00AC3CD2" w:rsidP="00AC3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4C0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RLA INTERNAL " style="position:absolute;margin-left:0;margin-top:0;width:90.5pt;height:28.4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" filled="f" stroked="f">
              <v:textbox style="mso-fit-shape-to-text:t" inset="20pt,15pt,0,0">
                <w:txbxContent>
                  <w:p w14:paraId="13D901DD" w14:textId="072927F2" w:rsidR="00AC3CD2" w:rsidRPr="00AC3CD2" w:rsidRDefault="00AC3CD2" w:rsidP="00AC3C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2"/>
                      </w:rPr>
                      <w:t xml:space="preserve">ARLA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0E8317E" w14:paraId="5190F889" w14:textId="77777777" w:rsidTr="00A905BD">
      <w:trPr>
        <w:trHeight w:val="300"/>
      </w:trPr>
      <w:tc>
        <w:tcPr>
          <w:tcW w:w="2880" w:type="dxa"/>
        </w:tcPr>
        <w:p w14:paraId="0033C3AF" w14:textId="642B0575" w:rsidR="00E8317E" w:rsidRDefault="00AC3CD2" w:rsidP="00A905BD">
          <w:pPr>
            <w:pStyle w:val="Cabealho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2" behindDoc="0" locked="0" layoutInCell="1" allowOverlap="1" wp14:anchorId="617D42A0" wp14:editId="55311F63">
                    <wp:simplePos x="1209675" y="44767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1149350" cy="361315"/>
                    <wp:effectExtent l="0" t="0" r="12700" b="635"/>
                    <wp:wrapNone/>
                    <wp:docPr id="1763829620" name="Text Box 3" descr="ARLA INTERNAL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49350" cy="361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13E5AF" w14:textId="3C42A79F" w:rsidR="00AC3CD2" w:rsidRPr="00AC3CD2" w:rsidRDefault="00AC3CD2" w:rsidP="00AC3CD2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17D42A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ARLA INTERNAL " style="position:absolute;left:0;text-align:left;margin-left:0;margin-top:0;width:90.5pt;height:28.4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" filled="f" stroked="f">
                    <v:textbox style="mso-fit-shape-to-text:t" inset="20pt,15pt,0,0">
                      <w:txbxContent>
                        <w:p w14:paraId="2013E5AF" w14:textId="3C42A79F" w:rsidR="00AC3CD2" w:rsidRPr="00AC3CD2" w:rsidRDefault="00AC3CD2" w:rsidP="00AC3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880" w:type="dxa"/>
        </w:tcPr>
        <w:p w14:paraId="5CE6D056" w14:textId="77777777" w:rsidR="00E8317E" w:rsidRDefault="00E8317E" w:rsidP="00A905BD">
          <w:pPr>
            <w:pStyle w:val="Cabealho"/>
            <w:jc w:val="center"/>
          </w:pPr>
        </w:p>
      </w:tc>
      <w:tc>
        <w:tcPr>
          <w:tcW w:w="2880" w:type="dxa"/>
        </w:tcPr>
        <w:p w14:paraId="1DD36330" w14:textId="77777777" w:rsidR="00E8317E" w:rsidRDefault="00E8317E" w:rsidP="00A905BD">
          <w:pPr>
            <w:pStyle w:val="Cabealho"/>
            <w:ind w:right="-115"/>
            <w:jc w:val="right"/>
          </w:pPr>
        </w:p>
      </w:tc>
    </w:tr>
  </w:tbl>
  <w:p w14:paraId="419B8047" w14:textId="77777777" w:rsidR="00E8317E" w:rsidRDefault="00E8317E" w:rsidP="00A905B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1352" w14:textId="4D6D6B6C" w:rsidR="00AC3CD2" w:rsidRDefault="00AC3CD2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BEDE08" wp14:editId="4F34A6E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350" cy="361315"/>
              <wp:effectExtent l="0" t="0" r="12700" b="635"/>
              <wp:wrapNone/>
              <wp:docPr id="1012715133" name="Text Box 1" descr="ARLA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DA0CD" w14:textId="303EAFC4" w:rsidR="00AC3CD2" w:rsidRPr="00AC3CD2" w:rsidRDefault="00AC3CD2" w:rsidP="00AC3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EDE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RLA INTERNAL " style="position:absolute;margin-left:0;margin-top:0;width:90.5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" filled="f" stroked="f">
              <v:textbox style="mso-fit-shape-to-text:t" inset="20pt,15pt,0,0">
                <w:txbxContent>
                  <w:p w14:paraId="4DEDA0CD" w14:textId="303EAFC4" w:rsidR="00AC3CD2" w:rsidRPr="00AC3CD2" w:rsidRDefault="00AC3CD2" w:rsidP="00AC3C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2"/>
                      </w:rPr>
                      <w:t xml:space="preserve">ARLA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31ED0"/>
    <w:multiLevelType w:val="hybridMultilevel"/>
    <w:tmpl w:val="08CA83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77F24"/>
    <w:multiLevelType w:val="hybridMultilevel"/>
    <w:tmpl w:val="FFFFFFFF"/>
    <w:lvl w:ilvl="0" w:tplc="3DE27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42A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23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2B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0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C2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6D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C6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02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19836">
    <w:abstractNumId w:val="1"/>
  </w:num>
  <w:num w:numId="2" w16cid:durableId="93751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7E"/>
    <w:rsid w:val="00012D74"/>
    <w:rsid w:val="00014F5A"/>
    <w:rsid w:val="0002070F"/>
    <w:rsid w:val="00024DA9"/>
    <w:rsid w:val="0003579D"/>
    <w:rsid w:val="00035E42"/>
    <w:rsid w:val="0004748F"/>
    <w:rsid w:val="000543AD"/>
    <w:rsid w:val="0005510B"/>
    <w:rsid w:val="00060652"/>
    <w:rsid w:val="000630C8"/>
    <w:rsid w:val="000631E9"/>
    <w:rsid w:val="00065FA9"/>
    <w:rsid w:val="000703F0"/>
    <w:rsid w:val="00085A68"/>
    <w:rsid w:val="00086265"/>
    <w:rsid w:val="0008740F"/>
    <w:rsid w:val="000921E0"/>
    <w:rsid w:val="000A0635"/>
    <w:rsid w:val="000B2AD8"/>
    <w:rsid w:val="000B360E"/>
    <w:rsid w:val="000B42C6"/>
    <w:rsid w:val="000C19E0"/>
    <w:rsid w:val="000C27FF"/>
    <w:rsid w:val="000C5A72"/>
    <w:rsid w:val="000C7D59"/>
    <w:rsid w:val="000D1B73"/>
    <w:rsid w:val="000D1F2C"/>
    <w:rsid w:val="000E5CC5"/>
    <w:rsid w:val="000E653F"/>
    <w:rsid w:val="000F27D7"/>
    <w:rsid w:val="00103012"/>
    <w:rsid w:val="00104674"/>
    <w:rsid w:val="00112F47"/>
    <w:rsid w:val="001151A4"/>
    <w:rsid w:val="00115DBA"/>
    <w:rsid w:val="00117411"/>
    <w:rsid w:val="001260E7"/>
    <w:rsid w:val="00136447"/>
    <w:rsid w:val="00142A82"/>
    <w:rsid w:val="00155228"/>
    <w:rsid w:val="00155BA5"/>
    <w:rsid w:val="001576A0"/>
    <w:rsid w:val="00163B77"/>
    <w:rsid w:val="00174A50"/>
    <w:rsid w:val="00194967"/>
    <w:rsid w:val="001B1711"/>
    <w:rsid w:val="001B3A64"/>
    <w:rsid w:val="001C1548"/>
    <w:rsid w:val="001C3606"/>
    <w:rsid w:val="001C63EF"/>
    <w:rsid w:val="001C7613"/>
    <w:rsid w:val="001D2210"/>
    <w:rsid w:val="001E1A27"/>
    <w:rsid w:val="001E3A38"/>
    <w:rsid w:val="001E6886"/>
    <w:rsid w:val="001F34A8"/>
    <w:rsid w:val="00201874"/>
    <w:rsid w:val="00202FB1"/>
    <w:rsid w:val="0020762E"/>
    <w:rsid w:val="0021210C"/>
    <w:rsid w:val="00212748"/>
    <w:rsid w:val="00215033"/>
    <w:rsid w:val="00222AC4"/>
    <w:rsid w:val="00226880"/>
    <w:rsid w:val="00231E25"/>
    <w:rsid w:val="00234631"/>
    <w:rsid w:val="00242B30"/>
    <w:rsid w:val="00250186"/>
    <w:rsid w:val="00264F3E"/>
    <w:rsid w:val="00267ECD"/>
    <w:rsid w:val="002812BD"/>
    <w:rsid w:val="00284EE1"/>
    <w:rsid w:val="00291A0F"/>
    <w:rsid w:val="002958C5"/>
    <w:rsid w:val="0029791A"/>
    <w:rsid w:val="002B1695"/>
    <w:rsid w:val="002B514B"/>
    <w:rsid w:val="002C38EB"/>
    <w:rsid w:val="002C4769"/>
    <w:rsid w:val="002C77B7"/>
    <w:rsid w:val="002D38BE"/>
    <w:rsid w:val="002D5CCC"/>
    <w:rsid w:val="002D6C5D"/>
    <w:rsid w:val="002E0884"/>
    <w:rsid w:val="002E0C13"/>
    <w:rsid w:val="002E31CB"/>
    <w:rsid w:val="002E4BCE"/>
    <w:rsid w:val="002F3E72"/>
    <w:rsid w:val="002F45D0"/>
    <w:rsid w:val="002F604C"/>
    <w:rsid w:val="002F66E0"/>
    <w:rsid w:val="00301C54"/>
    <w:rsid w:val="003076EC"/>
    <w:rsid w:val="003109B3"/>
    <w:rsid w:val="0031725C"/>
    <w:rsid w:val="00317B78"/>
    <w:rsid w:val="00320089"/>
    <w:rsid w:val="0032032B"/>
    <w:rsid w:val="00326AE9"/>
    <w:rsid w:val="00333DFE"/>
    <w:rsid w:val="003415D5"/>
    <w:rsid w:val="00342920"/>
    <w:rsid w:val="00345232"/>
    <w:rsid w:val="003517BE"/>
    <w:rsid w:val="00352759"/>
    <w:rsid w:val="00353428"/>
    <w:rsid w:val="00361505"/>
    <w:rsid w:val="00365A08"/>
    <w:rsid w:val="0036639B"/>
    <w:rsid w:val="00374AF7"/>
    <w:rsid w:val="003757F9"/>
    <w:rsid w:val="00380EB8"/>
    <w:rsid w:val="00381BD9"/>
    <w:rsid w:val="00387955"/>
    <w:rsid w:val="00392604"/>
    <w:rsid w:val="00394E8D"/>
    <w:rsid w:val="00397046"/>
    <w:rsid w:val="003A53FA"/>
    <w:rsid w:val="003B0133"/>
    <w:rsid w:val="003B31E2"/>
    <w:rsid w:val="003B43E7"/>
    <w:rsid w:val="003C0B42"/>
    <w:rsid w:val="003C17F4"/>
    <w:rsid w:val="003C18C5"/>
    <w:rsid w:val="003C6F1F"/>
    <w:rsid w:val="003C7640"/>
    <w:rsid w:val="003C78D0"/>
    <w:rsid w:val="003D0DBD"/>
    <w:rsid w:val="003D676E"/>
    <w:rsid w:val="003E0FC9"/>
    <w:rsid w:val="003E2B31"/>
    <w:rsid w:val="003E68B2"/>
    <w:rsid w:val="003F0C92"/>
    <w:rsid w:val="003F3822"/>
    <w:rsid w:val="003F5AB7"/>
    <w:rsid w:val="003F639F"/>
    <w:rsid w:val="004078C8"/>
    <w:rsid w:val="004140A8"/>
    <w:rsid w:val="00415C22"/>
    <w:rsid w:val="004353BC"/>
    <w:rsid w:val="00442B72"/>
    <w:rsid w:val="00445424"/>
    <w:rsid w:val="00447243"/>
    <w:rsid w:val="004630FB"/>
    <w:rsid w:val="004720A4"/>
    <w:rsid w:val="00473334"/>
    <w:rsid w:val="004760F3"/>
    <w:rsid w:val="00485617"/>
    <w:rsid w:val="00493C77"/>
    <w:rsid w:val="004A65A9"/>
    <w:rsid w:val="004B5702"/>
    <w:rsid w:val="004C2275"/>
    <w:rsid w:val="004C407E"/>
    <w:rsid w:val="004C4728"/>
    <w:rsid w:val="004C6753"/>
    <w:rsid w:val="004C76D1"/>
    <w:rsid w:val="004D1001"/>
    <w:rsid w:val="004E3BF1"/>
    <w:rsid w:val="004E43DC"/>
    <w:rsid w:val="004E4EA4"/>
    <w:rsid w:val="004E67AC"/>
    <w:rsid w:val="004F084E"/>
    <w:rsid w:val="005006D5"/>
    <w:rsid w:val="00502892"/>
    <w:rsid w:val="00511A7D"/>
    <w:rsid w:val="00511DA4"/>
    <w:rsid w:val="00522901"/>
    <w:rsid w:val="005376A0"/>
    <w:rsid w:val="00543632"/>
    <w:rsid w:val="00544BF2"/>
    <w:rsid w:val="005457CE"/>
    <w:rsid w:val="00546157"/>
    <w:rsid w:val="00560C9A"/>
    <w:rsid w:val="00564C01"/>
    <w:rsid w:val="00565F8A"/>
    <w:rsid w:val="00570579"/>
    <w:rsid w:val="005752F6"/>
    <w:rsid w:val="0057782D"/>
    <w:rsid w:val="005817E9"/>
    <w:rsid w:val="00584538"/>
    <w:rsid w:val="00585965"/>
    <w:rsid w:val="00591E7F"/>
    <w:rsid w:val="00595DD0"/>
    <w:rsid w:val="00596D9B"/>
    <w:rsid w:val="005B2F53"/>
    <w:rsid w:val="005B500D"/>
    <w:rsid w:val="005B6710"/>
    <w:rsid w:val="005B6A3B"/>
    <w:rsid w:val="005C2BC9"/>
    <w:rsid w:val="005D54DD"/>
    <w:rsid w:val="005D5A65"/>
    <w:rsid w:val="005E302E"/>
    <w:rsid w:val="005E5F95"/>
    <w:rsid w:val="005E77CA"/>
    <w:rsid w:val="005F2AAB"/>
    <w:rsid w:val="005F3ACB"/>
    <w:rsid w:val="005F3C6A"/>
    <w:rsid w:val="00612F38"/>
    <w:rsid w:val="0062587D"/>
    <w:rsid w:val="006329A1"/>
    <w:rsid w:val="00635D73"/>
    <w:rsid w:val="00640DFE"/>
    <w:rsid w:val="0064616D"/>
    <w:rsid w:val="0064759E"/>
    <w:rsid w:val="00652F51"/>
    <w:rsid w:val="00666B19"/>
    <w:rsid w:val="00670A87"/>
    <w:rsid w:val="00673C3D"/>
    <w:rsid w:val="00674659"/>
    <w:rsid w:val="006824A9"/>
    <w:rsid w:val="00684B74"/>
    <w:rsid w:val="006A740B"/>
    <w:rsid w:val="006A7CB8"/>
    <w:rsid w:val="006A7EF6"/>
    <w:rsid w:val="006B19D0"/>
    <w:rsid w:val="006B3E08"/>
    <w:rsid w:val="006C1344"/>
    <w:rsid w:val="006C15B2"/>
    <w:rsid w:val="006C3365"/>
    <w:rsid w:val="006C5A32"/>
    <w:rsid w:val="006D18E2"/>
    <w:rsid w:val="006E1973"/>
    <w:rsid w:val="006F3555"/>
    <w:rsid w:val="006F73B1"/>
    <w:rsid w:val="00700716"/>
    <w:rsid w:val="00703716"/>
    <w:rsid w:val="0070620E"/>
    <w:rsid w:val="0071069A"/>
    <w:rsid w:val="00710B03"/>
    <w:rsid w:val="0071412A"/>
    <w:rsid w:val="00717021"/>
    <w:rsid w:val="007173F5"/>
    <w:rsid w:val="007239DA"/>
    <w:rsid w:val="007243FC"/>
    <w:rsid w:val="00724C31"/>
    <w:rsid w:val="00726198"/>
    <w:rsid w:val="007273FA"/>
    <w:rsid w:val="00730C49"/>
    <w:rsid w:val="00734D8D"/>
    <w:rsid w:val="0073568E"/>
    <w:rsid w:val="00737027"/>
    <w:rsid w:val="00743B33"/>
    <w:rsid w:val="007442D1"/>
    <w:rsid w:val="007523A4"/>
    <w:rsid w:val="00764A92"/>
    <w:rsid w:val="0076571D"/>
    <w:rsid w:val="007659FF"/>
    <w:rsid w:val="00765B0E"/>
    <w:rsid w:val="00774CCB"/>
    <w:rsid w:val="00776C88"/>
    <w:rsid w:val="00787EC8"/>
    <w:rsid w:val="00791D7E"/>
    <w:rsid w:val="00792D34"/>
    <w:rsid w:val="007973BF"/>
    <w:rsid w:val="007A55A4"/>
    <w:rsid w:val="007B6053"/>
    <w:rsid w:val="007D6828"/>
    <w:rsid w:val="007D6CD8"/>
    <w:rsid w:val="007D6F8C"/>
    <w:rsid w:val="007E12E9"/>
    <w:rsid w:val="007E17EC"/>
    <w:rsid w:val="007E3A0F"/>
    <w:rsid w:val="007E795D"/>
    <w:rsid w:val="007E79B9"/>
    <w:rsid w:val="007F4C85"/>
    <w:rsid w:val="00803C48"/>
    <w:rsid w:val="008113D9"/>
    <w:rsid w:val="008136FB"/>
    <w:rsid w:val="00821E92"/>
    <w:rsid w:val="00827A62"/>
    <w:rsid w:val="00827CD1"/>
    <w:rsid w:val="0084417F"/>
    <w:rsid w:val="0085309A"/>
    <w:rsid w:val="00855978"/>
    <w:rsid w:val="00856787"/>
    <w:rsid w:val="00862760"/>
    <w:rsid w:val="00862EF3"/>
    <w:rsid w:val="00864D56"/>
    <w:rsid w:val="00865035"/>
    <w:rsid w:val="008820A0"/>
    <w:rsid w:val="008825A2"/>
    <w:rsid w:val="00882719"/>
    <w:rsid w:val="00887131"/>
    <w:rsid w:val="0088730E"/>
    <w:rsid w:val="008918A7"/>
    <w:rsid w:val="008A5E26"/>
    <w:rsid w:val="008A78A7"/>
    <w:rsid w:val="008B04ED"/>
    <w:rsid w:val="008D7B6E"/>
    <w:rsid w:val="008D7C06"/>
    <w:rsid w:val="008E1D97"/>
    <w:rsid w:val="008F6716"/>
    <w:rsid w:val="00901A24"/>
    <w:rsid w:val="009040F4"/>
    <w:rsid w:val="00904994"/>
    <w:rsid w:val="00912D37"/>
    <w:rsid w:val="00921529"/>
    <w:rsid w:val="009375BF"/>
    <w:rsid w:val="00946ABC"/>
    <w:rsid w:val="00952EAC"/>
    <w:rsid w:val="009600FE"/>
    <w:rsid w:val="009628CD"/>
    <w:rsid w:val="009635B4"/>
    <w:rsid w:val="00974C34"/>
    <w:rsid w:val="0097509F"/>
    <w:rsid w:val="009818C5"/>
    <w:rsid w:val="00987921"/>
    <w:rsid w:val="0099341C"/>
    <w:rsid w:val="00994E83"/>
    <w:rsid w:val="00995D4B"/>
    <w:rsid w:val="009B3381"/>
    <w:rsid w:val="009C034A"/>
    <w:rsid w:val="009C04EA"/>
    <w:rsid w:val="009D4F60"/>
    <w:rsid w:val="009E2F31"/>
    <w:rsid w:val="009F1840"/>
    <w:rsid w:val="00A012D1"/>
    <w:rsid w:val="00A03C17"/>
    <w:rsid w:val="00A05387"/>
    <w:rsid w:val="00A24819"/>
    <w:rsid w:val="00A31032"/>
    <w:rsid w:val="00A31DF5"/>
    <w:rsid w:val="00A325E6"/>
    <w:rsid w:val="00A3626A"/>
    <w:rsid w:val="00A3640F"/>
    <w:rsid w:val="00A44EC4"/>
    <w:rsid w:val="00A46B87"/>
    <w:rsid w:val="00A47DB4"/>
    <w:rsid w:val="00A55ED5"/>
    <w:rsid w:val="00A62B37"/>
    <w:rsid w:val="00A65113"/>
    <w:rsid w:val="00A80AE9"/>
    <w:rsid w:val="00A83D7C"/>
    <w:rsid w:val="00A905BD"/>
    <w:rsid w:val="00AA02E6"/>
    <w:rsid w:val="00AA202E"/>
    <w:rsid w:val="00AA2EAD"/>
    <w:rsid w:val="00AA45FF"/>
    <w:rsid w:val="00AA50A8"/>
    <w:rsid w:val="00AB426B"/>
    <w:rsid w:val="00AB44A4"/>
    <w:rsid w:val="00AC0EBD"/>
    <w:rsid w:val="00AC218D"/>
    <w:rsid w:val="00AC2929"/>
    <w:rsid w:val="00AC3CD2"/>
    <w:rsid w:val="00AC78F1"/>
    <w:rsid w:val="00AD1A54"/>
    <w:rsid w:val="00AD2471"/>
    <w:rsid w:val="00AD41C9"/>
    <w:rsid w:val="00AD6C95"/>
    <w:rsid w:val="00AD70FF"/>
    <w:rsid w:val="00AD75C8"/>
    <w:rsid w:val="00AE30FA"/>
    <w:rsid w:val="00AE5350"/>
    <w:rsid w:val="00AE71FC"/>
    <w:rsid w:val="00AF2705"/>
    <w:rsid w:val="00AF281B"/>
    <w:rsid w:val="00AF52A1"/>
    <w:rsid w:val="00B03FB9"/>
    <w:rsid w:val="00B068AA"/>
    <w:rsid w:val="00B131A8"/>
    <w:rsid w:val="00B15858"/>
    <w:rsid w:val="00B15DA0"/>
    <w:rsid w:val="00B15F7B"/>
    <w:rsid w:val="00B24E29"/>
    <w:rsid w:val="00B302AD"/>
    <w:rsid w:val="00B42119"/>
    <w:rsid w:val="00B421B8"/>
    <w:rsid w:val="00B4512D"/>
    <w:rsid w:val="00B629A1"/>
    <w:rsid w:val="00B64103"/>
    <w:rsid w:val="00B71852"/>
    <w:rsid w:val="00B72400"/>
    <w:rsid w:val="00B81250"/>
    <w:rsid w:val="00B819A0"/>
    <w:rsid w:val="00B84C1A"/>
    <w:rsid w:val="00B84DA3"/>
    <w:rsid w:val="00B85FCC"/>
    <w:rsid w:val="00B95826"/>
    <w:rsid w:val="00BC6719"/>
    <w:rsid w:val="00BD15EE"/>
    <w:rsid w:val="00BE0CE4"/>
    <w:rsid w:val="00C0121C"/>
    <w:rsid w:val="00C04E94"/>
    <w:rsid w:val="00C23F74"/>
    <w:rsid w:val="00C25455"/>
    <w:rsid w:val="00C316DD"/>
    <w:rsid w:val="00C351DD"/>
    <w:rsid w:val="00C41162"/>
    <w:rsid w:val="00C4680F"/>
    <w:rsid w:val="00C46D22"/>
    <w:rsid w:val="00C50CE3"/>
    <w:rsid w:val="00C71C30"/>
    <w:rsid w:val="00C72C02"/>
    <w:rsid w:val="00C763A4"/>
    <w:rsid w:val="00C821EE"/>
    <w:rsid w:val="00C82C7D"/>
    <w:rsid w:val="00C84FED"/>
    <w:rsid w:val="00C8565E"/>
    <w:rsid w:val="00C904E9"/>
    <w:rsid w:val="00C91229"/>
    <w:rsid w:val="00C93537"/>
    <w:rsid w:val="00C978F2"/>
    <w:rsid w:val="00C97FBC"/>
    <w:rsid w:val="00CB0090"/>
    <w:rsid w:val="00CB3989"/>
    <w:rsid w:val="00CB5199"/>
    <w:rsid w:val="00CC32A6"/>
    <w:rsid w:val="00CC5EC2"/>
    <w:rsid w:val="00CC607F"/>
    <w:rsid w:val="00CC6273"/>
    <w:rsid w:val="00CE15A0"/>
    <w:rsid w:val="00CE3BDD"/>
    <w:rsid w:val="00CF0B1B"/>
    <w:rsid w:val="00CF1409"/>
    <w:rsid w:val="00D00DEC"/>
    <w:rsid w:val="00D01A25"/>
    <w:rsid w:val="00D0224F"/>
    <w:rsid w:val="00D03EAE"/>
    <w:rsid w:val="00D06C2B"/>
    <w:rsid w:val="00D11D01"/>
    <w:rsid w:val="00D1207B"/>
    <w:rsid w:val="00D121CA"/>
    <w:rsid w:val="00D23BC8"/>
    <w:rsid w:val="00D23D2C"/>
    <w:rsid w:val="00D3467D"/>
    <w:rsid w:val="00D662C6"/>
    <w:rsid w:val="00D82368"/>
    <w:rsid w:val="00D83038"/>
    <w:rsid w:val="00D852A1"/>
    <w:rsid w:val="00D86FBF"/>
    <w:rsid w:val="00D8740D"/>
    <w:rsid w:val="00DA5BBB"/>
    <w:rsid w:val="00DB0037"/>
    <w:rsid w:val="00DB47D8"/>
    <w:rsid w:val="00DB48E0"/>
    <w:rsid w:val="00DB5126"/>
    <w:rsid w:val="00DC57C1"/>
    <w:rsid w:val="00DC6C1E"/>
    <w:rsid w:val="00DE3AE8"/>
    <w:rsid w:val="00DE47C6"/>
    <w:rsid w:val="00DE5D6C"/>
    <w:rsid w:val="00DE77DF"/>
    <w:rsid w:val="00DF0B4E"/>
    <w:rsid w:val="00DF375A"/>
    <w:rsid w:val="00DF7197"/>
    <w:rsid w:val="00E00F68"/>
    <w:rsid w:val="00E01A04"/>
    <w:rsid w:val="00E022DC"/>
    <w:rsid w:val="00E11681"/>
    <w:rsid w:val="00E11CA5"/>
    <w:rsid w:val="00E14601"/>
    <w:rsid w:val="00E16CCB"/>
    <w:rsid w:val="00E2691E"/>
    <w:rsid w:val="00E26E36"/>
    <w:rsid w:val="00E31B7C"/>
    <w:rsid w:val="00E43F0E"/>
    <w:rsid w:val="00E46BD7"/>
    <w:rsid w:val="00E47DAF"/>
    <w:rsid w:val="00E54380"/>
    <w:rsid w:val="00E564FD"/>
    <w:rsid w:val="00E61D1C"/>
    <w:rsid w:val="00E64F72"/>
    <w:rsid w:val="00E74C97"/>
    <w:rsid w:val="00E81029"/>
    <w:rsid w:val="00E8317E"/>
    <w:rsid w:val="00E85E3D"/>
    <w:rsid w:val="00EA25A3"/>
    <w:rsid w:val="00EA685A"/>
    <w:rsid w:val="00EB3A04"/>
    <w:rsid w:val="00EB3CAA"/>
    <w:rsid w:val="00EC03D6"/>
    <w:rsid w:val="00EC0A23"/>
    <w:rsid w:val="00EC309B"/>
    <w:rsid w:val="00EC6A8D"/>
    <w:rsid w:val="00EC7C74"/>
    <w:rsid w:val="00F025A3"/>
    <w:rsid w:val="00F11FEB"/>
    <w:rsid w:val="00F16E46"/>
    <w:rsid w:val="00F323B8"/>
    <w:rsid w:val="00F32614"/>
    <w:rsid w:val="00F36254"/>
    <w:rsid w:val="00F50A4E"/>
    <w:rsid w:val="00F515E0"/>
    <w:rsid w:val="00F551B5"/>
    <w:rsid w:val="00F55697"/>
    <w:rsid w:val="00F76AFC"/>
    <w:rsid w:val="00F77F39"/>
    <w:rsid w:val="00F81B5B"/>
    <w:rsid w:val="00F822CF"/>
    <w:rsid w:val="00F82AF4"/>
    <w:rsid w:val="00F84497"/>
    <w:rsid w:val="00F84B74"/>
    <w:rsid w:val="00F86BC4"/>
    <w:rsid w:val="00F87A1C"/>
    <w:rsid w:val="00FA26F5"/>
    <w:rsid w:val="00FA7554"/>
    <w:rsid w:val="00FB3F4A"/>
    <w:rsid w:val="00FB4F11"/>
    <w:rsid w:val="00FB5DCC"/>
    <w:rsid w:val="00FC2CDA"/>
    <w:rsid w:val="00FD0C9A"/>
    <w:rsid w:val="00FD4D19"/>
    <w:rsid w:val="020E5F68"/>
    <w:rsid w:val="032F88FA"/>
    <w:rsid w:val="038F4D93"/>
    <w:rsid w:val="0436B605"/>
    <w:rsid w:val="06810992"/>
    <w:rsid w:val="077B12FE"/>
    <w:rsid w:val="0880DE3A"/>
    <w:rsid w:val="09C59EDE"/>
    <w:rsid w:val="0B644CF2"/>
    <w:rsid w:val="0D5903EC"/>
    <w:rsid w:val="1139C626"/>
    <w:rsid w:val="11872D52"/>
    <w:rsid w:val="19832AB7"/>
    <w:rsid w:val="1AB8E2B8"/>
    <w:rsid w:val="1ACD05E7"/>
    <w:rsid w:val="1BCE892F"/>
    <w:rsid w:val="1C0C0461"/>
    <w:rsid w:val="1C2D64EA"/>
    <w:rsid w:val="1D67F7C5"/>
    <w:rsid w:val="1F255D7A"/>
    <w:rsid w:val="1F9D75E8"/>
    <w:rsid w:val="21968122"/>
    <w:rsid w:val="21F9A131"/>
    <w:rsid w:val="22F44A56"/>
    <w:rsid w:val="23C877C7"/>
    <w:rsid w:val="23D73F06"/>
    <w:rsid w:val="247A48B0"/>
    <w:rsid w:val="25105DCA"/>
    <w:rsid w:val="287E7DC3"/>
    <w:rsid w:val="2B81C9D7"/>
    <w:rsid w:val="2D35D6B5"/>
    <w:rsid w:val="2D3B6F8D"/>
    <w:rsid w:val="2E20859A"/>
    <w:rsid w:val="2F4A31CB"/>
    <w:rsid w:val="31208D95"/>
    <w:rsid w:val="31AD4DA9"/>
    <w:rsid w:val="33896524"/>
    <w:rsid w:val="3456A605"/>
    <w:rsid w:val="355443B2"/>
    <w:rsid w:val="35A4013F"/>
    <w:rsid w:val="3669E5E0"/>
    <w:rsid w:val="36CF2378"/>
    <w:rsid w:val="37FADD99"/>
    <w:rsid w:val="3BC7641B"/>
    <w:rsid w:val="3CEC7D85"/>
    <w:rsid w:val="3F6094EE"/>
    <w:rsid w:val="412C51ED"/>
    <w:rsid w:val="4431EA32"/>
    <w:rsid w:val="453870FE"/>
    <w:rsid w:val="45A198AB"/>
    <w:rsid w:val="46D7D14C"/>
    <w:rsid w:val="47BA797C"/>
    <w:rsid w:val="47D027C0"/>
    <w:rsid w:val="480A3338"/>
    <w:rsid w:val="49085A03"/>
    <w:rsid w:val="4C79C809"/>
    <w:rsid w:val="4E9A0E87"/>
    <w:rsid w:val="4F2BDC46"/>
    <w:rsid w:val="509F17DA"/>
    <w:rsid w:val="514D9F51"/>
    <w:rsid w:val="51A0F757"/>
    <w:rsid w:val="53AD745F"/>
    <w:rsid w:val="53F5CAF9"/>
    <w:rsid w:val="56EBEAC1"/>
    <w:rsid w:val="57070980"/>
    <w:rsid w:val="57ABF60F"/>
    <w:rsid w:val="5B0209E5"/>
    <w:rsid w:val="5D4921CE"/>
    <w:rsid w:val="5F015A95"/>
    <w:rsid w:val="5FA3196D"/>
    <w:rsid w:val="61624581"/>
    <w:rsid w:val="623F3F9F"/>
    <w:rsid w:val="639915FE"/>
    <w:rsid w:val="63EA648C"/>
    <w:rsid w:val="64C3FF1F"/>
    <w:rsid w:val="6522A016"/>
    <w:rsid w:val="65A65B80"/>
    <w:rsid w:val="67B6394E"/>
    <w:rsid w:val="67D712A9"/>
    <w:rsid w:val="6824E176"/>
    <w:rsid w:val="69653390"/>
    <w:rsid w:val="69BBEA7F"/>
    <w:rsid w:val="6EDB12CE"/>
    <w:rsid w:val="6EFA51D5"/>
    <w:rsid w:val="6F3CC9C3"/>
    <w:rsid w:val="705C0148"/>
    <w:rsid w:val="714167DF"/>
    <w:rsid w:val="716AC9A9"/>
    <w:rsid w:val="72A2FDAF"/>
    <w:rsid w:val="76B9A207"/>
    <w:rsid w:val="7749CD56"/>
    <w:rsid w:val="79C9FA02"/>
    <w:rsid w:val="7B42B22A"/>
    <w:rsid w:val="7C400CAC"/>
    <w:rsid w:val="7CB93886"/>
    <w:rsid w:val="7CF2DC71"/>
    <w:rsid w:val="7D4DACBD"/>
    <w:rsid w:val="7E76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20309"/>
  <w15:chartTrackingRefBased/>
  <w15:docId w15:val="{39D64A72-29E4-4E4F-94E3-62FB6F61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17E"/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83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3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3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3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3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31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31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31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31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317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317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317E"/>
    <w:rPr>
      <w:rFonts w:eastAsiaTheme="majorEastAsia" w:cstheme="majorBidi"/>
      <w:color w:val="0F4761" w:themeColor="accent1" w:themeShade="BF"/>
      <w:sz w:val="28"/>
      <w:szCs w:val="28"/>
      <w:lang w:val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317E"/>
    <w:rPr>
      <w:rFonts w:eastAsiaTheme="majorEastAsia" w:cstheme="majorBidi"/>
      <w:i/>
      <w:iCs/>
      <w:color w:val="0F4761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317E"/>
    <w:rPr>
      <w:rFonts w:eastAsiaTheme="majorEastAsia" w:cstheme="majorBidi"/>
      <w:color w:val="0F4761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317E"/>
    <w:rPr>
      <w:rFonts w:eastAsiaTheme="majorEastAsia" w:cstheme="majorBidi"/>
      <w:i/>
      <w:iCs/>
      <w:color w:val="595959" w:themeColor="text1" w:themeTint="A6"/>
      <w:lang w:val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317E"/>
    <w:rPr>
      <w:rFonts w:eastAsiaTheme="majorEastAsia" w:cstheme="majorBidi"/>
      <w:color w:val="595959" w:themeColor="text1" w:themeTint="A6"/>
      <w:lang w:val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317E"/>
    <w:rPr>
      <w:rFonts w:eastAsiaTheme="majorEastAsia" w:cstheme="majorBidi"/>
      <w:i/>
      <w:iCs/>
      <w:color w:val="272727" w:themeColor="text1" w:themeTint="D8"/>
      <w:lang w:val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317E"/>
    <w:rPr>
      <w:rFonts w:eastAsiaTheme="majorEastAsia" w:cstheme="majorBidi"/>
      <w:color w:val="272727" w:themeColor="text1" w:themeTint="D8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E831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317E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31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317E"/>
    <w:rPr>
      <w:rFonts w:eastAsiaTheme="majorEastAsia" w:cstheme="majorBidi"/>
      <w:color w:val="595959" w:themeColor="text1" w:themeTint="A6"/>
      <w:spacing w:val="15"/>
      <w:sz w:val="28"/>
      <w:szCs w:val="28"/>
      <w:lang w:val="pt-BR"/>
    </w:rPr>
  </w:style>
  <w:style w:type="paragraph" w:styleId="Citao">
    <w:name w:val="Quote"/>
    <w:basedOn w:val="Normal"/>
    <w:next w:val="Normal"/>
    <w:link w:val="CitaoChar"/>
    <w:uiPriority w:val="29"/>
    <w:qFormat/>
    <w:rsid w:val="00E831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317E"/>
    <w:rPr>
      <w:i/>
      <w:iCs/>
      <w:color w:val="404040" w:themeColor="text1" w:themeTint="BF"/>
      <w:lang w:val="pt-BR"/>
    </w:rPr>
  </w:style>
  <w:style w:type="paragraph" w:styleId="PargrafodaLista">
    <w:name w:val="List Paragraph"/>
    <w:basedOn w:val="Normal"/>
    <w:uiPriority w:val="34"/>
    <w:qFormat/>
    <w:rsid w:val="00E831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317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3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317E"/>
    <w:rPr>
      <w:i/>
      <w:iCs/>
      <w:color w:val="0F4761" w:themeColor="accent1" w:themeShade="BF"/>
      <w:lang w:val="pt-BR"/>
    </w:rPr>
  </w:style>
  <w:style w:type="character" w:styleId="RefernciaIntensa">
    <w:name w:val="Intense Reference"/>
    <w:basedOn w:val="Fontepargpadro"/>
    <w:uiPriority w:val="32"/>
    <w:qFormat/>
    <w:rsid w:val="00E831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rsid w:val="00E8317E"/>
    <w:rPr>
      <w:color w:val="0000FF"/>
      <w:u w:val="single"/>
    </w:rPr>
  </w:style>
  <w:style w:type="character" w:styleId="Refdenotaderodap">
    <w:name w:val="footnote reference"/>
    <w:uiPriority w:val="99"/>
    <w:unhideWhenUsed/>
    <w:rsid w:val="00E8317E"/>
    <w:rPr>
      <w:vertAlign w:val="superscript"/>
    </w:rPr>
  </w:style>
  <w:style w:type="character" w:customStyle="1" w:styleId="apple-converted-space">
    <w:name w:val="apple-converted-space"/>
    <w:rsid w:val="00E8317E"/>
  </w:style>
  <w:style w:type="character" w:styleId="nfase">
    <w:name w:val="Emphasis"/>
    <w:uiPriority w:val="20"/>
    <w:qFormat/>
    <w:rsid w:val="00E8317E"/>
    <w:rPr>
      <w:i/>
      <w:iCs/>
    </w:rPr>
  </w:style>
  <w:style w:type="paragraph" w:styleId="NormalWeb">
    <w:name w:val="Normal (Web)"/>
    <w:basedOn w:val="Normal"/>
    <w:uiPriority w:val="99"/>
    <w:unhideWhenUsed/>
    <w:rsid w:val="00E8317E"/>
    <w:pPr>
      <w:spacing w:before="100" w:beforeAutospacing="1" w:after="100" w:afterAutospacing="1"/>
    </w:pPr>
    <w:rPr>
      <w:lang w:eastAsia="en-GB"/>
    </w:rPr>
  </w:style>
  <w:style w:type="paragraph" w:styleId="Cabealho">
    <w:name w:val="header"/>
    <w:basedOn w:val="Normal"/>
    <w:link w:val="CabealhoChar"/>
    <w:uiPriority w:val="99"/>
    <w:unhideWhenUsed/>
    <w:rsid w:val="00E8317E"/>
    <w:pPr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317E"/>
    <w:rPr>
      <w:rFonts w:ascii="Times New Roman" w:eastAsia="Times New Roman" w:hAnsi="Times New Roman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8317E"/>
    <w:pPr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E8317E"/>
    <w:rPr>
      <w:rFonts w:ascii="Times New Roman" w:eastAsia="Times New Roman" w:hAnsi="Times New Roman" w:cs="Times New Roman"/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17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17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E8317E"/>
    <w:pPr>
      <w:spacing w:after="160"/>
    </w:pPr>
    <w:rPr>
      <w:rFonts w:ascii="Calibri" w:eastAsiaTheme="minorEastAsia" w:hAnsi="Calibri" w:cs="Calibri"/>
      <w:noProof/>
      <w:kern w:val="2"/>
      <w:sz w:val="22"/>
      <w:szCs w:val="22"/>
      <w:lang w:eastAsia="zh-CN"/>
      <w14:ligatures w14:val="standardContextual"/>
    </w:rPr>
  </w:style>
  <w:style w:type="character" w:customStyle="1" w:styleId="EndNoteBibliographyChar">
    <w:name w:val="EndNote Bibliography Char"/>
    <w:basedOn w:val="Fontepargpadro"/>
    <w:link w:val="EndNoteBibliography"/>
    <w:rsid w:val="00E8317E"/>
    <w:rPr>
      <w:rFonts w:ascii="Calibri" w:eastAsiaTheme="minorEastAsia" w:hAnsi="Calibri" w:cs="Calibri"/>
      <w:noProof/>
      <w:sz w:val="22"/>
      <w:szCs w:val="22"/>
      <w:lang w:val="pt-BR"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827A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7A6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7A6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7A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7A6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o">
    <w:name w:val="Revision"/>
    <w:hidden/>
    <w:uiPriority w:val="99"/>
    <w:semiHidden/>
    <w:rsid w:val="00995D4B"/>
    <w:rPr>
      <w:rFonts w:ascii="Times New Roman" w:eastAsia="Times New Roman" w:hAnsi="Times New Roman" w:cs="Times New Roman"/>
      <w:kern w:val="0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351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rlafoodsingredients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teve@ingredientcommunications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linkedin.com/showcase/arla-foods-ingredients-latin-america/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inkedin.com/company/arla-foods-ingredient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ho.int/europe/publications/i/item/WHO-EURO-2023-8931-48703-72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9D4042-9835-E142-9B6E-FDF0B2426BC1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050cb6-3e2c-47cc-8a5f-36cf5322d026">
      <Terms xmlns="http://schemas.microsoft.com/office/infopath/2007/PartnerControls"/>
    </lcf76f155ced4ddcb4097134ff3c332f>
    <TaxCatchAll xmlns="d8190028-dc51-435f-9363-5e2ecd59fe74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6C2C9CC5A0446BE0214E7D648C95E" ma:contentTypeVersion="19" ma:contentTypeDescription="Create a new document." ma:contentTypeScope="" ma:versionID="a1f68cf85708913a003bbe5f179e41d4">
  <xsd:schema xmlns:xsd="http://www.w3.org/2001/XMLSchema" xmlns:xs="http://www.w3.org/2001/XMLSchema" xmlns:p="http://schemas.microsoft.com/office/2006/metadata/properties" xmlns:ns2="49050cb6-3e2c-47cc-8a5f-36cf5322d026" xmlns:ns3="d8190028-dc51-435f-9363-5e2ecd59fe74" targetNamespace="http://schemas.microsoft.com/office/2006/metadata/properties" ma:root="true" ma:fieldsID="4a02e0b789b16490814f58304e9d50fe" ns2:_="" ns3:_="">
    <xsd:import namespace="49050cb6-3e2c-47cc-8a5f-36cf5322d026"/>
    <xsd:import namespace="d8190028-dc51-435f-9363-5e2ecd59f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0cb6-3e2c-47cc-8a5f-36cf5322d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f51148-d4f0-467b-8af6-adc5aad14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0028-dc51-435f-9363-5e2ecd59f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67ecac-dc47-420b-8d06-7f6653d8c38a}" ma:internalName="TaxCatchAll" ma:showField="CatchAllData" ma:web="d8190028-dc51-435f-9363-5e2ecd59f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DD9C7-5023-4220-8DCA-6A132D6AA8A7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49050cb6-3e2c-47cc-8a5f-36cf5322d026"/>
    <ds:schemaRef ds:uri="http://schemas.microsoft.com/office/infopath/2007/PartnerControls"/>
    <ds:schemaRef ds:uri="d8190028-dc51-435f-9363-5e2ecd59fe74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83C9C6E-49A4-44A8-9BBA-312C3D2800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BD514B-B17C-4EA1-AFE1-2C73FBB685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1F4742-1DC1-4E5B-8325-CA991DE94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50cb6-3e2c-47cc-8a5f-36cf5322d026"/>
    <ds:schemaRef ds:uri="d8190028-dc51-435f-9363-5e2ecd59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5034</Characters>
  <Application>Microsoft Office Word</Application>
  <DocSecurity>4</DocSecurity>
  <Lines>107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Mullins</dc:creator>
  <cp:keywords/>
  <dc:description/>
  <cp:lastModifiedBy>Nathalia Campagnoni</cp:lastModifiedBy>
  <cp:revision>2</cp:revision>
  <cp:lastPrinted>2026-01-12T10:07:00Z</cp:lastPrinted>
  <dcterms:created xsi:type="dcterms:W3CDTF">2026-01-23T14:39:00Z</dcterms:created>
  <dcterms:modified xsi:type="dcterms:W3CDTF">2026-01-23T14:39:00Z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0x01010074A6C2C9CC5A0446BE0214E7D648C95E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3c5cce7d,1a90a858,6921e774</vt:lpwstr>
  </property>
  <property fmtid="{D5CDD505-2E9C-101B-9397-08002B2CF9AE}" pid="5" name="ClassificationContentMarkingHeaderFontProps">
    <vt:lpwstr>#000000,11,Calibri</vt:lpwstr>
  </property>
  <property fmtid="{D5CDD505-2E9C-101B-9397-08002B2CF9AE}" pid="6" name="ClassificationContentMarkingHeaderText">
    <vt:lpwstr>ARLA INTERNAL </vt:lpwstr>
  </property>
  <property fmtid="{D5CDD505-2E9C-101B-9397-08002B2CF9AE}" pid="7" name="MSIP_Label_6f1dfa39-20e6-46a0-a362-a00ad8b9b419_Enabled">
    <vt:lpwstr>true</vt:lpwstr>
  </property>
  <property fmtid="{D5CDD505-2E9C-101B-9397-08002B2CF9AE}" pid="8" name="MSIP_Label_6f1dfa39-20e6-46a0-a362-a00ad8b9b419_SetDate">
    <vt:lpwstr>2025-11-14T13:26:49Z</vt:lpwstr>
  </property>
  <property fmtid="{D5CDD505-2E9C-101B-9397-08002B2CF9AE}" pid="9" name="MSIP_Label_6f1dfa39-20e6-46a0-a362-a00ad8b9b419_Method">
    <vt:lpwstr>Standard</vt:lpwstr>
  </property>
  <property fmtid="{D5CDD505-2E9C-101B-9397-08002B2CF9AE}" pid="10" name="MSIP_Label_6f1dfa39-20e6-46a0-a362-a00ad8b9b419_Name">
    <vt:lpwstr>Arla Internal</vt:lpwstr>
  </property>
  <property fmtid="{D5CDD505-2E9C-101B-9397-08002B2CF9AE}" pid="11" name="MSIP_Label_6f1dfa39-20e6-46a0-a362-a00ad8b9b419_SiteId">
    <vt:lpwstr>f10e34fe-8994-4b52-a7da-4f7aa9068ca0</vt:lpwstr>
  </property>
  <property fmtid="{D5CDD505-2E9C-101B-9397-08002B2CF9AE}" pid="12" name="MSIP_Label_6f1dfa39-20e6-46a0-a362-a00ad8b9b419_ActionId">
    <vt:lpwstr>f4622dcc-d869-4e43-9e19-4e5a11ecfbce</vt:lpwstr>
  </property>
  <property fmtid="{D5CDD505-2E9C-101B-9397-08002B2CF9AE}" pid="13" name="MSIP_Label_6f1dfa39-20e6-46a0-a362-a00ad8b9b419_ContentBits">
    <vt:lpwstr>1</vt:lpwstr>
  </property>
  <property fmtid="{D5CDD505-2E9C-101B-9397-08002B2CF9AE}" pid="14" name="MSIP_Label_6f1dfa39-20e6-46a0-a362-a00ad8b9b419_Tag">
    <vt:lpwstr>10, 3, 0, 1</vt:lpwstr>
  </property>
  <property fmtid="{D5CDD505-2E9C-101B-9397-08002B2CF9AE}" pid="15" name="docLang">
    <vt:lpwstr>en</vt:lpwstr>
  </property>
  <property fmtid="{D5CDD505-2E9C-101B-9397-08002B2CF9AE}" pid="16" name="grammarly_documentId">
    <vt:lpwstr>documentId_7172</vt:lpwstr>
  </property>
  <property fmtid="{D5CDD505-2E9C-101B-9397-08002B2CF9AE}" pid="17" name="grammarly_documentContext">
    <vt:lpwstr>{"goals":["inform","describe","convince","tellStory"],"domain":"business","emotions":["neutral","confident","respectful","analytical"],"dialect":"british"}</vt:lpwstr>
  </property>
</Properties>
</file>