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6"/>
          <w:szCs w:val="36"/>
          <w:rtl w:val="0"/>
        </w:rPr>
        <w:t xml:space="preserve"> Tres soluciones tecnológicas que se utilizarán para comprar en línea en 2021</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b w:val="1"/>
          <w:u w:val="none"/>
        </w:rPr>
      </w:pPr>
      <w:r w:rsidDel="00000000" w:rsidR="00000000" w:rsidRPr="00000000">
        <w:rPr>
          <w:b w:val="1"/>
          <w:i w:val="1"/>
          <w:rtl w:val="0"/>
        </w:rPr>
        <w:t xml:space="preserve">El 72% de los compradores volverán a las tiendas físicas y el 75% tiene temor a ser víctima de fraude, razones para implementar estos métodos.</w:t>
      </w:r>
      <w:r w:rsidDel="00000000" w:rsidR="00000000" w:rsidRPr="00000000">
        <w:rPr>
          <w:rtl w:val="0"/>
        </w:rPr>
      </w:r>
    </w:p>
    <w:p w:rsidR="00000000" w:rsidDel="00000000" w:rsidP="00000000" w:rsidRDefault="00000000" w:rsidRPr="00000000" w14:paraId="00000004">
      <w:pPr>
        <w:jc w:val="both"/>
        <w:rPr>
          <w:b w:val="1"/>
          <w:sz w:val="36"/>
          <w:szCs w:val="3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21 de diciembre de 2020.-</w:t>
      </w:r>
      <w:r w:rsidDel="00000000" w:rsidR="00000000" w:rsidRPr="00000000">
        <w:rPr>
          <w:rtl w:val="0"/>
        </w:rPr>
        <w:t xml:space="preserve"> El año 2021 llega con diversos retos para los comercios en México. Entre ellos, se encuentra el de implementar soluciones de pago innovadoras que les ayuden a generar una mejor experiencia del cliente, que a su vez derive en lealtad, compras recurrentes y una reducción en el índice de </w:t>
      </w:r>
      <w:r w:rsidDel="00000000" w:rsidR="00000000" w:rsidRPr="00000000">
        <w:rPr>
          <w:rtl w:val="0"/>
        </w:rPr>
        <w:t xml:space="preserve">abandono del carrito de compra </w:t>
      </w:r>
      <w:r w:rsidDel="00000000" w:rsidR="00000000" w:rsidRPr="00000000">
        <w:rPr>
          <w:rtl w:val="0"/>
        </w:rPr>
        <w:t xml:space="preserve">durante el proceso de pago, reduciendo el riesgo de fraude al mínimo.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continuación, te decimos cuáles son esas tres soluciones que, aunque no son nuevas, se encuentran en un proceso de adopción y tendrán su auge el próximo año: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i w:val="1"/>
        </w:rPr>
      </w:pPr>
      <w:r w:rsidDel="00000000" w:rsidR="00000000" w:rsidRPr="00000000">
        <w:rPr>
          <w:b w:val="1"/>
          <w:i w:val="1"/>
          <w:rtl w:val="0"/>
        </w:rPr>
        <w:t xml:space="preserve">Network Tokens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Los </w:t>
      </w:r>
      <w:hyperlink r:id="rId6">
        <w:r w:rsidDel="00000000" w:rsidR="00000000" w:rsidRPr="00000000">
          <w:rPr>
            <w:i w:val="1"/>
            <w:color w:val="1155cc"/>
            <w:u w:val="single"/>
            <w:rtl w:val="0"/>
          </w:rPr>
          <w:t xml:space="preserve">network tokens</w:t>
        </w:r>
      </w:hyperlink>
      <w:hyperlink r:id="rId7">
        <w:r w:rsidDel="00000000" w:rsidR="00000000" w:rsidRPr="00000000">
          <w:rPr>
            <w:color w:val="1155cc"/>
            <w:u w:val="single"/>
            <w:rtl w:val="0"/>
          </w:rPr>
          <w:t xml:space="preserve"> o </w:t>
        </w:r>
      </w:hyperlink>
      <w:hyperlink r:id="rId8">
        <w:r w:rsidDel="00000000" w:rsidR="00000000" w:rsidRPr="00000000">
          <w:rPr>
            <w:i w:val="1"/>
            <w:color w:val="1155cc"/>
            <w:u w:val="single"/>
            <w:rtl w:val="0"/>
          </w:rPr>
          <w:t xml:space="preserve">tokens</w:t>
        </w:r>
      </w:hyperlink>
      <w:hyperlink r:id="rId9">
        <w:r w:rsidDel="00000000" w:rsidR="00000000" w:rsidRPr="00000000">
          <w:rPr>
            <w:color w:val="1155cc"/>
            <w:u w:val="single"/>
            <w:rtl w:val="0"/>
          </w:rPr>
          <w:t xml:space="preserve"> de red</w:t>
        </w:r>
      </w:hyperlink>
      <w:r w:rsidDel="00000000" w:rsidR="00000000" w:rsidRPr="00000000">
        <w:rPr>
          <w:rtl w:val="0"/>
        </w:rPr>
        <w:t xml:space="preserve"> son una representación digital de una tarjeta bancaria que permite a los usuarios hacer pagos recurrentes de forma segura y sin comprometer la información de su plástico físico.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Este método, en lugar de utilizar la información almacenada en la tarjeta física del cliente, genera un </w:t>
      </w:r>
      <w:r w:rsidDel="00000000" w:rsidR="00000000" w:rsidRPr="00000000">
        <w:rPr>
          <w:i w:val="1"/>
          <w:rtl w:val="0"/>
        </w:rPr>
        <w:t xml:space="preserve">token</w:t>
      </w:r>
      <w:r w:rsidDel="00000000" w:rsidR="00000000" w:rsidRPr="00000000">
        <w:rPr>
          <w:rtl w:val="0"/>
        </w:rPr>
        <w:t xml:space="preserve"> que hace referencia a dicha data, mismo que es compartido entre el banco emisor y la red de pagos.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Los </w:t>
      </w:r>
      <w:r w:rsidDel="00000000" w:rsidR="00000000" w:rsidRPr="00000000">
        <w:rPr>
          <w:i w:val="1"/>
          <w:rtl w:val="0"/>
        </w:rPr>
        <w:t xml:space="preserve">tokens </w:t>
      </w:r>
      <w:r w:rsidDel="00000000" w:rsidR="00000000" w:rsidRPr="00000000">
        <w:rPr>
          <w:rtl w:val="0"/>
        </w:rPr>
        <w:t xml:space="preserve">son específicos para cada comercio y contrato de cobro recurrente. De esta forma, al realizar pagos como los de una suscripción, por mencionar un ejemplo, se hace referencia a los datos del comprador para concluir la transacción, sin involucrar información sensible del plástico, logrando una mayor tasa de autorización y reducción del riesgo de fraude.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Los </w:t>
      </w:r>
      <w:r w:rsidDel="00000000" w:rsidR="00000000" w:rsidRPr="00000000">
        <w:rPr>
          <w:i w:val="1"/>
          <w:rtl w:val="0"/>
        </w:rPr>
        <w:t xml:space="preserve">network tokens</w:t>
      </w:r>
      <w:r w:rsidDel="00000000" w:rsidR="00000000" w:rsidRPr="00000000">
        <w:rPr>
          <w:rtl w:val="0"/>
        </w:rPr>
        <w:t xml:space="preserve"> son generados de manera segura por el emisor para ser compartidos por el operador de una red de pagos, como puede ser Visa o Mastercard, para intercambiar la información de una tarjeta entre el comercio y el banco, lo que ayuda a mitigar el riesgo de ser víctima de fraude, que es la principal preocupación de los mexicanos al comprar en línea (75%), </w:t>
      </w:r>
      <w:hyperlink r:id="rId10">
        <w:r w:rsidDel="00000000" w:rsidR="00000000" w:rsidRPr="00000000">
          <w:rPr>
            <w:color w:val="1155cc"/>
            <w:u w:val="single"/>
            <w:rtl w:val="0"/>
          </w:rPr>
          <w:t xml:space="preserve">de acuerdo con la Asociación Mexicana de Ventas Online (AMVO).</w:t>
        </w:r>
      </w:hyperlink>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rPr>
          <w:b w:val="1"/>
          <w:i w:val="1"/>
        </w:rPr>
      </w:pPr>
      <w:r w:rsidDel="00000000" w:rsidR="00000000" w:rsidRPr="00000000">
        <w:rPr>
          <w:b w:val="1"/>
          <w:i w:val="1"/>
          <w:rtl w:val="0"/>
        </w:rPr>
        <w:t xml:space="preserve">E-wallet</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 trata de una herramienta que sustituye el uso de tarjetas físicas en compras en línea.  El primer beneficio de usarla es que el cliente puede tener su información bancaria en diferentes dispositivos conectados a internet, realizar pagos de bienes y servicios sin necesidad de llevar consigo la tarjeta física.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Este método ofrece al consumidor una disponibilidad total de su dinero en cualquier momento de forma fácil y segura, ya que permite realizar la transacción sin la necesidad de comprometer su tarjeta física o los datos del plástico.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hyperlink r:id="rId11">
        <w:r w:rsidDel="00000000" w:rsidR="00000000" w:rsidRPr="00000000">
          <w:rPr>
            <w:color w:val="1155cc"/>
            <w:u w:val="single"/>
            <w:rtl w:val="0"/>
          </w:rPr>
          <w:t xml:space="preserve">Datos de The Competitive Intelligence Unit </w:t>
        </w:r>
      </w:hyperlink>
      <w:r w:rsidDel="00000000" w:rsidR="00000000" w:rsidRPr="00000000">
        <w:rPr>
          <w:rtl w:val="0"/>
        </w:rPr>
        <w:t xml:space="preserve">indican que para 2019 el nivel de adopción de este método era de apenas 6.6% entre los internautas, cifra que se prevé se incremente para el año próximo. La misma organización indica que el 90% de los clientes planean utilizar las </w:t>
      </w:r>
      <w:r w:rsidDel="00000000" w:rsidR="00000000" w:rsidRPr="00000000">
        <w:rPr>
          <w:i w:val="1"/>
          <w:rtl w:val="0"/>
        </w:rPr>
        <w:t xml:space="preserve">e-wallets</w:t>
      </w:r>
      <w:r w:rsidDel="00000000" w:rsidR="00000000" w:rsidRPr="00000000">
        <w:rPr>
          <w:rtl w:val="0"/>
        </w:rPr>
        <w:t xml:space="preserve"> para realizar compras, mientras que el 41% optaría por su uso al hacer transferencias y el 38% para el pago de servicios, mientras que el 28% las usarán para realizar depósitos.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También existen otras aplicaciones de pago móvil similares </w:t>
      </w:r>
      <w:r w:rsidDel="00000000" w:rsidR="00000000" w:rsidRPr="00000000">
        <w:rPr>
          <w:rtl w:val="0"/>
        </w:rPr>
        <w:t xml:space="preserve">que permiten al usuario vincular su billetera digital (eWallet) con el</w:t>
      </w:r>
      <w:r w:rsidDel="00000000" w:rsidR="00000000" w:rsidRPr="00000000">
        <w:rPr>
          <w:rtl w:val="0"/>
        </w:rPr>
        <w:t xml:space="preserve"> sistema para realizar pagos sin contacto en establecimientos físicos, únicamente acercando el celular a la terminal. Este tipo de métodos se encuentran en un proceso de implementación y compatibilidad con los distintos dispositivos existentes, además de que no todas las instituciones bancarias permiten aún el registro de sus tarjetas en estas plataformas.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4"/>
        </w:numPr>
        <w:ind w:left="720" w:hanging="360"/>
        <w:jc w:val="both"/>
        <w:rPr>
          <w:b w:val="1"/>
        </w:rPr>
      </w:pPr>
      <w:r w:rsidDel="00000000" w:rsidR="00000000" w:rsidRPr="00000000">
        <w:rPr>
          <w:b w:val="1"/>
          <w:rtl w:val="0"/>
        </w:rPr>
        <w:t xml:space="preserve">Cobros Digitales (CoDi) con QR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En septiembre de 2019, el </w:t>
      </w:r>
      <w:hyperlink r:id="rId12">
        <w:r w:rsidDel="00000000" w:rsidR="00000000" w:rsidRPr="00000000">
          <w:rPr>
            <w:color w:val="1155cc"/>
            <w:u w:val="single"/>
            <w:rtl w:val="0"/>
          </w:rPr>
          <w:t xml:space="preserve">Banco de México lanzó oficialmente CoDi</w:t>
        </w:r>
      </w:hyperlink>
      <w:r w:rsidDel="00000000" w:rsidR="00000000" w:rsidRPr="00000000">
        <w:rPr>
          <w:rtl w:val="0"/>
        </w:rPr>
        <w:t xml:space="preserve">, método con el cual solo se requiere de un dispositivo móvil conectado a internet y un lector de códigos QR para hacer el pago.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Los pagos CoDi, que vivieron durante 2020 un proceso de adopción por parte de comercios y consumidores, podrían tener su auge durante el próximo año, una vez que los consumidores comiencen a volver a las tiendas físicas. Cabe destacar que pese al ‘boom’ del e-commerce en los últimos meses, el 72% de los compradores admiten que volverán a comprar en sucursales físicas pese a tener la posibilidad de comprar por internet, </w:t>
      </w:r>
      <w:hyperlink r:id="rId13">
        <w:r w:rsidDel="00000000" w:rsidR="00000000" w:rsidRPr="00000000">
          <w:rPr>
            <w:color w:val="1155cc"/>
            <w:u w:val="single"/>
            <w:rtl w:val="0"/>
          </w:rPr>
          <w:t xml:space="preserve">según información de McKinsey.</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Para utilizar CoDi, el usuario debe primero vincular su cuenta de banco al teléfono celular mediante la app de su institución bancaria. El comercio debe tener impreso el código QR a escanear para hacer el pago. Una vez escaneado, el cliente recibe un mensaje de cobro en el que se le dice el monto a pagar, para su posterior autorización.</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Como se puede ver, las distintas opciones de pago que existen en la actualidad representan un reto y, al mismo tiempo, una oportunidad para los comercios.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En 2021 las personas querrán que los negocios les ofrezcan métodos que permitan combinar los canales físicos con los digitales, además de evitar filas y contactos cuando acudan a sucursales, razón por la que implementar métodos de pago innovadores que simplifican las transacciones será fundamental si se busca ganar la preferencia de los clientes, tanto nuevos como frecuentes.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pacing w:line="276" w:lineRule="auto"/>
        <w:jc w:val="cente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B">
      <w:pPr>
        <w:spacing w:line="276" w:lineRule="auto"/>
        <w:jc w:val="center"/>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C">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30">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3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3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5">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3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6">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8">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C">
      <w:pPr>
        <w:spacing w:line="276" w:lineRule="auto"/>
        <w:jc w:val="both"/>
        <w:rPr/>
      </w:pPr>
      <w:hyperlink r:id="rId17">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ciu.com/publicaciones-2/2019/9/30/uso-de-wallets-en-mxico" TargetMode="External"/><Relationship Id="rId10" Type="http://schemas.openxmlformats.org/officeDocument/2006/relationships/hyperlink" Target="https://www.amvo.org.mx/wp-content/uploads/2020/01/AMVO_EstudioVentaOnline2020_Versi%C3%B3nP%C3%BAblica-1.pdf" TargetMode="External"/><Relationship Id="rId13" Type="http://schemas.openxmlformats.org/officeDocument/2006/relationships/hyperlink" Target="https://www.mckinsey.com/business-functions/marketing-and-sales/our-insights/survey-mexican-consumer-sentiment-during-the-coronavirus-crisis#" TargetMode="External"/><Relationship Id="rId12" Type="http://schemas.openxmlformats.org/officeDocument/2006/relationships/hyperlink" Target="https://www.banxico.org.mx/sistemas-de-pago/codi-avances-banco-mexico.html#:~:text=Estado%20de%20la%20implantaci%C3%B3n%20de,la%20operaci%C3%B3n%20de%20CoDi%C2%A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yenmx.prezly.com/que-son-los-network-tokens-y-como-ayudan-a-tu-negocio" TargetMode="External"/><Relationship Id="rId15" Type="http://schemas.openxmlformats.org/officeDocument/2006/relationships/hyperlink" Target="https://twitter.com/Adyen" TargetMode="External"/><Relationship Id="rId14" Type="http://schemas.openxmlformats.org/officeDocument/2006/relationships/hyperlink" Target="https://www.facebook.com/AdyenPayments/" TargetMode="External"/><Relationship Id="rId17" Type="http://schemas.openxmlformats.org/officeDocument/2006/relationships/hyperlink" Target="mailto:salvador.sanchez@another.co" TargetMode="External"/><Relationship Id="rId16"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adyenmx.prezly.com/que-son-los-network-tokens-y-como-ayudan-a-tu-negocio" TargetMode="External"/><Relationship Id="rId18" Type="http://schemas.openxmlformats.org/officeDocument/2006/relationships/header" Target="header1.xml"/><Relationship Id="rId7" Type="http://schemas.openxmlformats.org/officeDocument/2006/relationships/hyperlink" Target="https://adyenmx.prezly.com/que-son-los-network-tokens-y-como-ayudan-a-tu-negocio" TargetMode="External"/><Relationship Id="rId8" Type="http://schemas.openxmlformats.org/officeDocument/2006/relationships/hyperlink" Target="https://adyenmx.prezly.com/que-son-los-network-tokens-y-como-ayudan-a-tu-negoc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