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 Narrow" w:cs="Arial Narrow" w:eastAsia="Arial Narrow" w:hAnsi="Arial Narrow"/>
          <w:b w:val="1"/>
          <w:color w:val="000000"/>
          <w:sz w:val="36"/>
          <w:szCs w:val="36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</w:rPr>
        <w:drawing>
          <wp:inline distB="0" distT="0" distL="0" distR="0">
            <wp:extent cx="2510459" cy="114705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0459" cy="1147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 Narrow" w:cs="Arial Narrow" w:eastAsia="Arial Narrow" w:hAnsi="Arial Narrow"/>
          <w:b w:val="1"/>
          <w:color w:val="595959"/>
          <w:sz w:val="36"/>
          <w:szCs w:val="36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595959"/>
          <w:sz w:val="36"/>
          <w:szCs w:val="36"/>
          <w:highlight w:val="white"/>
          <w:rtl w:val="0"/>
        </w:rPr>
        <w:t xml:space="preserve">Curso virtual gratuito: Inclusión financiera en América Latina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Arial Narrow" w:cs="Arial Narrow" w:eastAsia="Arial Narrow" w:hAnsi="Arial Narrow"/>
          <w:color w:val="7f7f7f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4"/>
          <w:szCs w:val="24"/>
          <w:highlight w:val="white"/>
          <w:rtl w:val="0"/>
        </w:rPr>
        <w:t xml:space="preserve">Un nuevo MOOC  (curso masivo, abierto y gratuito) de CAF analizará los mejores mecanismos y políticas públicas para optimizar</w:t>
      </w: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4"/>
          <w:szCs w:val="24"/>
          <w:rtl w:val="0"/>
        </w:rPr>
        <w:t xml:space="preserve"> el acceso, el uso, la calidad y el impacto de los productos financieros en la sociedad. Adicionalmente, ofrecerá herramientas para para incidir en el bienestar financiero de familias y empresas de América Latina.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rtl w:val="0"/>
        </w:rPr>
        <w:t xml:space="preserve">(Lima, 8 de abril de</w:t>
      </w: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rtl w:val="0"/>
        </w:rPr>
        <w:t xml:space="preserve"> 2019</w:t>
      </w: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rtl w:val="0"/>
        </w:rPr>
        <w:t xml:space="preserve">).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El curso virtual y gratuito ofrecido por CAF –banco de desarrollo de América Latina-, tendrá una duración de 4 semanas (iniciando el 2 de mayo) y hará énfasis en el carácter multidimensional de la inclusión financiera, en la relevancia de la educación financiera en el desarrollo de la región y en la innovación para el diseño de productos y servicios financieros centrados en las necesidades del cliente.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En este MOOC, destinado a funcionarios públicos, estudiantes, emprendedores e interesados en la materia, también se discutirán las políticas públicas para la inclusión financiera a partir del análisis de las estrategias llevadas a cabo en varios países de América Latina y de otras regiones en desarrollo. 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El curso se divide en 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cuatro módulos teórico-prácticos: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="240" w:lineRule="auto"/>
        <w:ind w:left="300" w:hanging="360"/>
        <w:jc w:val="both"/>
        <w:rPr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El sector financiero y los beneficios de la inclusión financiera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line="240" w:lineRule="auto"/>
        <w:ind w:left="300" w:hanging="360"/>
        <w:jc w:val="both"/>
        <w:rPr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Educación financiera. Casos de éxito en América Latina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line="240" w:lineRule="auto"/>
        <w:ind w:left="300" w:hanging="360"/>
        <w:jc w:val="both"/>
        <w:rPr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Innovación financiera: proyectos y servicios financieros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="240" w:lineRule="auto"/>
        <w:ind w:left="300" w:hanging="360"/>
        <w:jc w:val="both"/>
        <w:rPr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Políticas públicas para la inclusión financiera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Los interesados en este curso pueden registrarse en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0563c1"/>
            <w:sz w:val="24"/>
            <w:szCs w:val="24"/>
            <w:highlight w:val="white"/>
            <w:u w:val="single"/>
            <w:rtl w:val="0"/>
          </w:rPr>
          <w:t xml:space="preserve">este enlace</w:t>
        </w:r>
      </w:hyperlink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, del 3 de abril al 1 de mayo.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Fecha de inicio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: 02 de mayo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Fecha de finalización: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 02 de junio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Duración: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 4 semanas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Esfuerzo de estudio: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 30 horas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Idioma: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 español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Costo: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 gratuito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Certificados: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 al finalizar el curso y habiendo aprobado el 75% de cada actividad obligatoria, el alumno obtiene un certificado gratuito de participación. Si el alumno desea obtener un certificado de superación, debe aprobar todas las actividades obligatorias con 100% en cada una de ellas y pagar 40 euros.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miriadax.net/web/inclusion-financiera-en-america-latina-retos-y-oportunidad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