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rtl w:val="0"/>
        </w:rPr>
        <w:t xml:space="preserve">Selina presenta sus resultados financieros y mejoras en sus métricas operativas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empresa del sector hotelero para nómadas del mundo, registró el año anterior un aumento de ingresos totales del 98,3% en comparación con el mismo ejercicio del 2021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Los  datos presentados comprenden el ejercicio fiscal 2022 y la optimización de recursos operativos frente a 2021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País, mes xx, 2023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–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sz w:val="20"/>
            <w:szCs w:val="20"/>
            <w:u w:val="single"/>
            <w:rtl w:val="0"/>
          </w:rPr>
          <w:t xml:space="preserve">Selina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la marca de hospitalidad experiencial de rápido crecimiento dirigida a los viajeros de la generación millennial y la generación Z, anuncia sus más recientes resultados financieros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fechados el 31 de diciembre de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5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La estrategia de expansión de Selina para 2023 se centrará en tres principios clave: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la apertura de hoteles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que, por lo general, aumenten más rápidamente su ocupación y ofrezcan un rendimiento financiero más atractivo,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la ampliación de hoteles existentes con remodelaciones y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espacios alquilados adicionales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el aprovechamiento de la marca para negociar condiciones de arrendamiento flexibles con períodos de gracia más largos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, mientras que cambiarán a un alquiler variable en algunas ubicaciones nuevas.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Al respecto,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Rafael Museri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– CEO y cofundador de la marca nacida en 2014 – comenta, “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2022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fue un año muy importante en la historia de Selina. Completamos nuestra cotización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en el Mercado Global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NASDAQ en octubre de 2022 y, nuestro negocio registró una fuerte mejora en métricas operativas claves para la empresa”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Selina inició el 2023 con un fuerte enfoque en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tres objetivos estratégicos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 impulsar el flujo de caja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ejecutar nuestro plan hacia la rentabilidad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y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continuar con la construcción de una marca que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ofrece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 experiencias de viaje diferenciadas a su creciente número de huéspede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”, complementa el directivo de Selina.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Información acerca del ejercicio 2022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Los ingresos totales ascendieron a USD $183.9 millones de dólares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lo que supone un aumento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USD $91.2 millones de dólares (o del 98,3%)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comparación con el mismo ejercicio en 2021, impulsado principalmente por el aumento del número de espacios de cama (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bedspaces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 de los nuevos establecimientos abiertos, las mayores tasas de ocupación registradas y los mayores ingresos totales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espacio de cama.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Sobre una misma base de  tienda (ubicaciones que operan durante todos los períodos comparables),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los ingresos totales aumentaron un 56.8%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impulsados por un aumento en la ocupación que ascendió del 33.2% al 51.1%, y un aumento en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TRevPABs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Total Revenue per available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Bedspaces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 es epañol Ingresos totales por espacios de cama disponibles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  de 4,695 a 7,258.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Selina abrió 18 propiedades durante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terminando el año con un total de 118 propiedades alrededor del mundo, lo que se traduce en 29,600 plazas abiertas y 1,975 camas abiertas (en comparación a las 23,408 plazas abiertas y 18,438 camas abiertas a 31 de diciembre de 2021).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La tasa de ocupación fue del 47.5%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frente al 32.9% del ejercicio de 2021, lo que supone un aumento del 44.4% impulsado por la mejora del conocimiento y la fidelidad a la marca, una fuerza de ventas regional y equipos comerciales dedicados, la temporada continua de nuestras propiedades recientemente abiertas y la reanudación de los viajes después de dos años muy afectados por el COVID-19 y las restricciones de viaje relacionadas.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TRevPOB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fue de 52.60 $ en el ejercicio 2022, frente a los 45.86 $ del ejercicio 2021, lo que supone un aumento del 14,7%.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TRevPOBs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fue de 37.76 $ en el AF 2022, comparado con 35.13 $ en el AF 2021, un aumento del 7.5%. Estos aumentos se debieron principalmente a un cambio en la composición de nuestra cartera hacia mercados desarrollados y a la continua maduración de nuestras propiedades de reciente apertura.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 los 18 nuevos establecimientos abiertos en el ejercicio 2022, 16 están situados en mercados desarrollados.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Los ingresos totales por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bedspaces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fueron de USD $6,547 dólares en el ejercicio 2022, frente a los USD $4,219 dólares del ejercicio de 2021, lo que supone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un incremento del 55.2%, impulsado por el aumento de la ocupación y el crecimiento procedente de los mercados desarrollados.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La pérdida operativa a nivel de unidad fue de USD $6.7 millones de dólares en el AF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comparación con la pérdida de USD $18.0 millones de dólares en el AF 2021, con México y América Central; donde Selina se beneficia de ubicaciones maduras, mejorando año tras año.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Selina se centra en mejorar el rendimiento en América del Norte (EE. UU.), Europa y África e Israel, donde la marca ha crecido en los últimos dos años.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Remote Year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la marca de la empresa que facilita programas de trabajo en grupo y viajes para trabajadores remotos en más de 80 destinos,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aportó USD $10.4 millones de dólares de ingresos en el ejercicio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frente a los USD $4.5 millones del mismo ejercicio de 2021.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Los gastos generales corporativos como porcentaje de los ingresos fueron del 20.6% en el ejercicio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comparación al 33.1% en el ejercicio 2021, impulsados por las economías de escala y un fuerte enfoque en la eficiencia en las funciones nacionales, regionales y globales.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Los costes laborales unitarios como porcentaje de los ingresos unitarios fueron del 27.6% en el ejercicio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frente al 28.3% en el ejercicio 2021.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EBITDA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ajustado (</w:t>
      </w:r>
      <w:r w:rsidDel="00000000" w:rsidR="00000000" w:rsidRPr="00000000">
        <w:rPr>
          <w:rFonts w:ascii="Montserrat" w:cs="Montserrat" w:eastAsia="Montserrat" w:hAnsi="Montserrat"/>
          <w:color w:val="202124"/>
          <w:sz w:val="20"/>
          <w:szCs w:val="20"/>
          <w:highlight w:val="white"/>
          <w:rtl w:val="0"/>
        </w:rPr>
        <w:t xml:space="preserve">Earnings Before Interests, Tax, Depreciation and Amortization) o español ganancias antes de intereses, impuestos, depreciaciones y amortizaciones)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fue de $(14,5) millones en el año fiscal 2022, en comparación con $(25,7) millones en el año fiscal 2021, impulsado por la mejora en el desempeño a nivel de unidad, compensado por un aumento en los gastos generales corporativos y previos a la apertura.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150" w:before="280" w:line="24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Selina completó su combinación de negocios con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BOA Acquisition Corp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y cotización en el mercado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Global Nasdaq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27 de octubre de 2022.</w:t>
      </w:r>
    </w:p>
    <w:p w:rsidR="00000000" w:rsidDel="00000000" w:rsidP="00000000" w:rsidRDefault="00000000" w:rsidRPr="00000000" w14:paraId="0000001A">
      <w:pPr>
        <w:shd w:fill="ffffff" w:val="clear"/>
        <w:spacing w:after="15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5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Aunque Selina seguirá ampliando su huella a nivel global en 2023, la compañía ha moderado sus planes de expansión. Los planes actuales demuestran que la marca está centrada en el flujo de caja y sigue profundamente comprometida con ofrecer una experiencia increíble a los huéspedes de sus destinos y a las comunidades locales en hoteles únicos en todo el mundo, “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lo que a su vez impulsará los ingresos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”,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continúa Museri sobre el crecimiento de la cadena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hd w:fill="ffffff" w:val="clear"/>
        <w:spacing w:after="15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El plan de expansión actual también demuestra que Selina está intensamente centrada en su estructura de costos y en el flujo de caja para posicionar a la compañía, alcanzar y mantener un EBITDA ajustado positivo y un flujo de caja libre antes del servicio de la deuda en el futuro.</w:t>
      </w:r>
    </w:p>
    <w:p w:rsidR="00000000" w:rsidDel="00000000" w:rsidP="00000000" w:rsidRDefault="00000000" w:rsidRPr="00000000" w14:paraId="0000001D">
      <w:pPr>
        <w:shd w:fill="ffffff" w:val="clear"/>
        <w:spacing w:after="15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Acerca de la apertura de nuevos hoteles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Selina abrió 18 hoteles con 3,692 plazas en una combinación de mercados nuevos y existentes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incluidos 2 establecimientos en el cuarto trimestre,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con un total de 323 espacios de camas en Tel Aviv (Israel) y Magnetic Island (Australia).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hanging="360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 han añadido aproximadamente 2,500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bedspaces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 22 propiedades existentes.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 31 de diciembre de 2022, la compañía tenía 118 hoteles abiertos en 24 países de 6 continentes con aproximadamente 29,600 plazas abiertas,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lo que supone un aumento del 27% en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espacios de camas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con respecto al periodo del año anterior.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Selina ha firmado acuerdos con socios inmobiliarios externos que han comprometido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USD $300 millones de dólares de capital para financiar la adquisición y conversión inicial de futuras propiedades Selina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incluidas las aperturas previstas para 2023.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0" w:line="240" w:lineRule="auto"/>
        <w:ind w:left="720" w:firstLine="0"/>
        <w:jc w:val="both"/>
        <w:rPr>
          <w:rFonts w:ascii="Montserrat" w:cs="Montserrat" w:eastAsia="Montserrat" w:hAnsi="Montserrat"/>
          <w:b w:val="1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u w:val="single"/>
          <w:rtl w:val="0"/>
        </w:rPr>
        <w:t xml:space="preserve">Aspectos destacados de la tesorería y el flujo de caja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 31 de diciembre de 2022, la compañía tenía un total de efectivo y equivalentes de efectivo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USD $47.7 millones de dólares.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tesorería neta generada por (y utilizada en) actividades operativas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ascendió a USD $23.6 millones de dólares en el ejercicio 2022, frente a los USD $30.7 millones de dólares del ejercicio 2021.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flujo de caja libre antes del servicio de la deuda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ascendió a USD $72.8 millones de dólares en el ejercicio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frente a los USD $47.2 millones del ejercicio de 2021.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Los gastos de capital, netos de los ingresos procedentes de préstamos de socios,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ascendieron a USD $12,4 millones de dólares en el ejercicio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frente a los USD $5 millones de 2021.</w:t>
      </w:r>
    </w:p>
    <w:p w:rsidR="00000000" w:rsidDel="00000000" w:rsidP="00000000" w:rsidRDefault="00000000" w:rsidRPr="00000000" w14:paraId="0000002E">
      <w:pPr>
        <w:spacing w:after="15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0" w:line="24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Información seleccionada no auditada del cuarto trimestre de 2022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Los ingresos totales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ascendieron a USD $50.8 millones de dólares, lo que supone un aumento del 64% en comparación con el cuarto trimestre de 2021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impulsado principalmente por el incremento de plazas en las nuevas ubicaciones, el aumento de las tasas de ocupación y el aumento de los ingresos totales por plaza.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las mismas tiendas,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los ingresos totales aumentaron un 24% en los establecimientos operados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tanto en el cuarto trimestre de 2021 como en el de 2022.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line="240" w:lineRule="auto"/>
        <w:ind w:left="720" w:hanging="36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29,600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espacios de camas (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Bedspaces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abiertas al final del periodo evaluado.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line="240" w:lineRule="auto"/>
        <w:ind w:left="720" w:hanging="36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Los espacios de camas abiertas al final del periodo fueron de 29,600.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72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promedio de camas  abiertas durante el cuatro trimestre del año 2022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fue de 19,552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promedio de ocupación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creció a 49%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desde el 39% registrado en el cuatro trimestre de 2021.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Las ganancias totales por cama ocupada (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TRevPOB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o Daily Total Revenue Per Occupied Bed en inglés)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incrementaron a USD $59, hasta un 24% comparado con el cuarto trimestre de 2021.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Las ganancias totales por espacios de cama ocupada (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TRevPOBs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o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Daily Total Revenue Per Occupied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Bedspaces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en inglés)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aumentaron a USD $37, hasta un 8%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comparado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con el cuatro trimestre de 2021.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15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Las ganancias anualizadas por espacios de cama ocupada (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Total annualized revenue per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bedspace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inglés)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aumentaron a USD $6,742, hasta un 36% comparado con el cuarto trimestre de 2021.</w:t>
      </w:r>
    </w:p>
    <w:p w:rsidR="00000000" w:rsidDel="00000000" w:rsidP="00000000" w:rsidRDefault="00000000" w:rsidRPr="00000000" w14:paraId="0000003A">
      <w:pPr>
        <w:spacing w:after="15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Perspectivas para 2023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Finalmente, luego de la presentación de estos resultados y de cara al resto del año frente a la principal marca de hospitalidad para nómadas digitales de cualquier origen y procedencia, Selina reafirma sus objetivos principales de cara al 2023. 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Rafael Museri, CEO y cofundador de Selina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se siente positivo sobre la nueva disciplina en torno al crecimiento de la compañía, así como sobre la gestión de costos y su sólida oferta de productos, que tienen el propósito de posicionar a la marca como líder en el espacio hotelero. Así es como las metas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Selina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incluyen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un crecimiento anual de los ingresos del 30 al 40% y la consecución de un EBITDA ajustado y un flujo de caja operativo positivos,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 un portafolio de 118 destinos recientemente expandido – y en planes de continuar su crecimiento – y más de 29,600 camas abiertas a los viajeros del mundo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más​ información​ sobre los estados financieros de Selina visitar</w:t>
      </w:r>
      <w:hyperlink r:id="rId8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u w:val="single"/>
            <w:rtl w:val="0"/>
          </w:rPr>
          <w:t xml:space="preserve"> investor.selina.com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4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32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Acerca de Selina Hospitality PLC. </w:t>
      </w:r>
    </w:p>
    <w:p w:rsidR="00000000" w:rsidDel="00000000" w:rsidP="00000000" w:rsidRDefault="00000000" w:rsidRPr="00000000" w14:paraId="00000045">
      <w:pPr>
        <w:spacing w:after="160"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Selina (NASDAQ: SLNA) es una de las marcas de hospitalidad más grandes del  mundo creada para atender las necesidades de los viajeros millennial y Gen Z que combina alojamiento bellamente diseñado con coworking, recreación, bienestar y experiencias locales. Fundada en 2014 y diseñada a medida para el viajero nómada actual, Selina ofrece a los huéspedes una infraestructura global para viajar y trabajar en el extranjero sin inconvenientes. Cada propiedad de Selina está diseñada en asociación con artistas, artesanos y creadores de contenido,dando nueva vida a los edificios existentes en lugares interesantes en 24 países en seis continentes, desde ciudades urbanas hasta playas y selvas remotas. Para obtener más información, visite </w:t>
      </w:r>
      <w:hyperlink r:id="rId9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u w:val="single"/>
            <w:rtl w:val="0"/>
          </w:rPr>
          <w:t xml:space="preserve">Selina 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o siga a Selina en Twitter, Instagram, Facebook, LinkedIn o YouTube. </w:t>
      </w:r>
      <w:hyperlink r:id="rId10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rtl w:val="0"/>
          </w:rPr>
          <w:t xml:space="preserve">Twitter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rtl w:val="0"/>
          </w:rPr>
          <w:t xml:space="preserve">Instagram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rtl w:val="0"/>
          </w:rPr>
          <w:t xml:space="preserve">LinkedIn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o </w:t>
      </w:r>
      <w:hyperlink r:id="rId14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rtl w:val="0"/>
          </w:rPr>
          <w:t xml:space="preserve">YouTube</w:t>
        </w:r>
      </w:hyperlink>
      <w:hyperlink r:id="rId15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highlight w:val="whit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5840" w:w="12240" w:orient="portrait"/>
      <w:pgMar w:bottom="1440" w:top="187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114300" distT="114300" distL="114300" distR="114300">
          <wp:extent cx="1440656" cy="57626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656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Revision">
    <w:name w:val="Revision"/>
    <w:hidden w:val="1"/>
    <w:uiPriority w:val="99"/>
    <w:semiHidden w:val="1"/>
    <w:rsid w:val="000C20D1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s://cts.businesswire.com/ct/CT?id=smartlink&amp;url=https%3A%2F%2Fwww.instagram.com%2Fselina%2F&amp;esheet=53366113&amp;newsitemid=20230322005489&amp;lan=en-US&amp;anchor=Instagram&amp;index=6&amp;md5=653c9dd91140701c5016c111a9aa7f06" TargetMode="External"/><Relationship Id="rId10" Type="http://schemas.openxmlformats.org/officeDocument/2006/relationships/hyperlink" Target="https://cts.businesswire.com/ct/CT?id=smartlink&amp;url=https%3A%2F%2Ftwitter.com%2Fselinahotels&amp;esheet=53366113&amp;newsitemid=20230322005489&amp;lan=en-US&amp;anchor=Twitter&amp;index=5&amp;md5=df464b1a48871d00cf0babccc8713b63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cts.businesswire.com/ct/CT?id=smartlink&amp;url=https%3A%2F%2Fwww.linkedin.com%2Fcompany%2F5157123%2Fadmin%2F&amp;esheet=53366113&amp;newsitemid=20230322005489&amp;lan=en-US&amp;anchor=LinkedIn&amp;index=8&amp;md5=bc6752e170d8a26bf557228bc084a0fc" TargetMode="External"/><Relationship Id="rId12" Type="http://schemas.openxmlformats.org/officeDocument/2006/relationships/hyperlink" Target="https://cts.businesswire.com/ct/CT?id=smartlink&amp;url=https%3A%2F%2Fwww.facebook.com%2Fselinathenomad&amp;esheet=53366113&amp;newsitemid=20230322005489&amp;lan=en-US&amp;anchor=Facebook&amp;index=7&amp;md5=12f18117d3bfb1c487c08641239997c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lina.com/" TargetMode="External"/><Relationship Id="rId15" Type="http://schemas.openxmlformats.org/officeDocument/2006/relationships/hyperlink" Target="https://cts.businesswire.com/ct/CT?id=smartlink&amp;url=https%3A%2F%2Fwww.youtube.com%2Fselinathenomad&amp;esheet=53366113&amp;newsitemid=20230322005489&amp;lan=en-US&amp;anchor=YouTube.&amp;index=9&amp;md5=ae75f125a3812e9d272c4ebc1cc253b9" TargetMode="External"/><Relationship Id="rId14" Type="http://schemas.openxmlformats.org/officeDocument/2006/relationships/hyperlink" Target="https://cts.businesswire.com/ct/CT?id=smartlink&amp;url=https%3A%2F%2Fwww.youtube.com%2Fselinathenomad&amp;esheet=53366113&amp;newsitemid=20230322005489&amp;lan=en-US&amp;anchor=YouTube.&amp;index=9&amp;md5=ae75f125a3812e9d272c4ebc1cc253b9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https://www.selina.com/" TargetMode="External"/><Relationship Id="rId8" Type="http://schemas.openxmlformats.org/officeDocument/2006/relationships/hyperlink" Target="https://investors.selin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5onJuTnzoyEQ9SxeNuAPjxhFsA==">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2023-04-28T20:43:00Z</dcterms:created>
</cp:coreProperties>
</file>