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62D9976B" w14:textId="77777777" w:rsidTr="00624A03">
        <w:trPr>
          <w:trHeight w:val="433"/>
        </w:trPr>
        <w:tc>
          <w:tcPr>
            <w:tcW w:w="7621" w:type="dxa"/>
            <w:gridSpan w:val="2"/>
          </w:tcPr>
          <w:p w14:paraId="07504BA0" w14:textId="77777777" w:rsidR="009924EC" w:rsidRPr="00B612A0" w:rsidRDefault="009924EC" w:rsidP="00B40816">
            <w:pPr>
              <w:rPr>
                <w:b/>
                <w:bCs/>
                <w:color w:val="00A0CB"/>
                <w:spacing w:val="38"/>
                <w:sz w:val="36"/>
                <w:szCs w:val="36"/>
              </w:rPr>
            </w:pPr>
            <w:r>
              <w:rPr>
                <w:b/>
                <w:color w:val="00A0CB"/>
                <w:spacing w:val="38"/>
                <w:sz w:val="36"/>
              </w:rPr>
              <w:t>Question à un expert</w:t>
            </w:r>
          </w:p>
        </w:tc>
        <w:tc>
          <w:tcPr>
            <w:tcW w:w="1902" w:type="dxa"/>
            <w:vMerge w:val="restart"/>
          </w:tcPr>
          <w:p w14:paraId="2E71E7E2" w14:textId="77777777" w:rsidR="009924EC" w:rsidRDefault="009924EC" w:rsidP="00B40816">
            <w:pPr>
              <w:rPr>
                <w:rFonts w:ascii="Calibri" w:hAnsi="Calibri"/>
                <w:sz w:val="24"/>
              </w:rPr>
            </w:pPr>
            <w:r>
              <w:rPr>
                <w:rFonts w:ascii="Calibri" w:hAnsi="Calibri"/>
                <w:noProof/>
                <w:sz w:val="24"/>
                <w:lang w:val="en-US" w:eastAsia="en-US" w:bidi="ar-SA"/>
              </w:rPr>
              <w:drawing>
                <wp:anchor distT="0" distB="0" distL="114300" distR="114300" simplePos="0" relativeHeight="251659776" behindDoc="0" locked="0" layoutInCell="1" allowOverlap="1" wp14:anchorId="2AE491FA" wp14:editId="106838E0">
                  <wp:simplePos x="0" y="0"/>
                  <wp:positionH relativeFrom="column">
                    <wp:posOffset>50165</wp:posOffset>
                  </wp:positionH>
                  <wp:positionV relativeFrom="paragraph">
                    <wp:posOffset>462280</wp:posOffset>
                  </wp:positionV>
                  <wp:extent cx="958215" cy="1437640"/>
                  <wp:effectExtent l="25400" t="25400" r="32385" b="3556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8215" cy="1437640"/>
                          </a:xfrm>
                          <a:prstGeom prst="rect">
                            <a:avLst/>
                          </a:prstGeom>
                          <a:ln>
                            <a:solidFill>
                              <a:schemeClr val="tx2">
                                <a:lumMod val="40000"/>
                                <a:lumOff val="60000"/>
                              </a:schemeClr>
                            </a:solidFill>
                          </a:ln>
                          <a:effectLst/>
                        </pic:spPr>
                      </pic:pic>
                    </a:graphicData>
                  </a:graphic>
                  <wp14:sizeRelH relativeFrom="page">
                    <wp14:pctWidth>0</wp14:pctWidth>
                  </wp14:sizeRelH>
                  <wp14:sizeRelV relativeFrom="page">
                    <wp14:pctHeight>0</wp14:pctHeight>
                  </wp14:sizeRelV>
                </wp:anchor>
              </w:drawing>
            </w:r>
          </w:p>
        </w:tc>
      </w:tr>
      <w:tr w:rsidR="005539DF" w:rsidRPr="007F1E37" w14:paraId="1D300503" w14:textId="77777777" w:rsidTr="00624A03">
        <w:trPr>
          <w:trHeight w:val="1680"/>
        </w:trPr>
        <w:tc>
          <w:tcPr>
            <w:tcW w:w="5642" w:type="dxa"/>
          </w:tcPr>
          <w:p w14:paraId="442F17D9" w14:textId="4FE4D7DC" w:rsidR="00180C46" w:rsidRPr="00180C46" w:rsidRDefault="00180C46" w:rsidP="00180C46">
            <w:pPr>
              <w:spacing w:line="280" w:lineRule="exact"/>
              <w:rPr>
                <w:b/>
                <w:color w:val="0071A7"/>
                <w:sz w:val="28"/>
              </w:rPr>
            </w:pPr>
            <w:r w:rsidRPr="00180C46">
              <w:rPr>
                <w:b/>
                <w:color w:val="0071A7"/>
                <w:sz w:val="28"/>
              </w:rPr>
              <w:t>Les mesures gouvernementales demandent des investissements dans la formation pour les travailleurs</w:t>
            </w:r>
          </w:p>
          <w:p w14:paraId="2C059871" w14:textId="08454813" w:rsidR="005539DF" w:rsidRPr="00180C46" w:rsidRDefault="00A63506" w:rsidP="00B40816">
            <w:pPr>
              <w:spacing w:line="280" w:lineRule="exact"/>
              <w:jc w:val="both"/>
              <w:rPr>
                <w:rFonts w:cs="Arial"/>
                <w:i/>
                <w:sz w:val="22"/>
                <w:szCs w:val="28"/>
              </w:rPr>
            </w:pPr>
            <w:r>
              <w:rPr>
                <w:i/>
                <w:color w:val="0071A7"/>
                <w:sz w:val="22"/>
              </w:rPr>
              <w:t>Quelles sont les c</w:t>
            </w:r>
            <w:r w:rsidR="00180C46" w:rsidRPr="00180C46">
              <w:rPr>
                <w:i/>
                <w:color w:val="0071A7"/>
                <w:sz w:val="22"/>
              </w:rPr>
              <w:t xml:space="preserve">onséquences possibles </w:t>
            </w:r>
            <w:r w:rsidR="00180C46">
              <w:rPr>
                <w:i/>
                <w:color w:val="0071A7"/>
                <w:sz w:val="22"/>
              </w:rPr>
              <w:t xml:space="preserve">du </w:t>
            </w:r>
            <w:r w:rsidR="00180C46" w:rsidRPr="00180C46">
              <w:rPr>
                <w:i/>
                <w:color w:val="0071A7"/>
                <w:sz w:val="22"/>
              </w:rPr>
              <w:t>projet de loi "</w:t>
            </w:r>
            <w:r w:rsidR="00180C46">
              <w:rPr>
                <w:i/>
                <w:color w:val="0071A7"/>
                <w:sz w:val="22"/>
              </w:rPr>
              <w:t>Travail faisable et maniable</w:t>
            </w:r>
            <w:r w:rsidR="00180C46" w:rsidRPr="00180C46">
              <w:rPr>
                <w:i/>
                <w:color w:val="0071A7"/>
                <w:sz w:val="22"/>
              </w:rPr>
              <w:t>"</w:t>
            </w:r>
            <w:r>
              <w:rPr>
                <w:i/>
                <w:color w:val="0071A7"/>
                <w:sz w:val="22"/>
              </w:rPr>
              <w:t> ?</w:t>
            </w:r>
            <w:r w:rsidR="00180C46" w:rsidRPr="00180C46" w:rsidDel="00180C46">
              <w:rPr>
                <w:i/>
                <w:color w:val="0071A7"/>
                <w:sz w:val="22"/>
              </w:rPr>
              <w:t xml:space="preserve"> </w:t>
            </w:r>
          </w:p>
          <w:p w14:paraId="6DB5ECA8" w14:textId="77777777" w:rsidR="005539DF" w:rsidRDefault="005539DF" w:rsidP="00B40816">
            <w:pPr>
              <w:spacing w:line="280" w:lineRule="exact"/>
              <w:jc w:val="both"/>
              <w:rPr>
                <w:rFonts w:cs="Arial"/>
                <w:sz w:val="28"/>
                <w:szCs w:val="28"/>
              </w:rPr>
            </w:pPr>
          </w:p>
          <w:p w14:paraId="7744DF6A" w14:textId="77777777" w:rsidR="005539DF" w:rsidRDefault="005539DF" w:rsidP="00B40816">
            <w:pPr>
              <w:spacing w:line="280" w:lineRule="exact"/>
              <w:jc w:val="both"/>
              <w:rPr>
                <w:rFonts w:cs="Arial"/>
                <w:sz w:val="28"/>
                <w:szCs w:val="28"/>
              </w:rPr>
            </w:pPr>
          </w:p>
          <w:p w14:paraId="283BE56A" w14:textId="77777777" w:rsidR="005539DF" w:rsidRPr="00573DFB" w:rsidRDefault="005539DF" w:rsidP="00B40816">
            <w:pPr>
              <w:spacing w:line="280" w:lineRule="exact"/>
              <w:jc w:val="both"/>
              <w:rPr>
                <w:rFonts w:cs="Arial"/>
                <w:sz w:val="28"/>
                <w:szCs w:val="28"/>
              </w:rPr>
            </w:pPr>
          </w:p>
        </w:tc>
        <w:tc>
          <w:tcPr>
            <w:tcW w:w="1979" w:type="dxa"/>
            <w:vAlign w:val="bottom"/>
          </w:tcPr>
          <w:p w14:paraId="1CDCC962" w14:textId="77777777" w:rsidR="005539DF" w:rsidRPr="007F1E37" w:rsidRDefault="007F1E37" w:rsidP="005539DF">
            <w:pPr>
              <w:jc w:val="right"/>
              <w:rPr>
                <w:rFonts w:cs="Arial"/>
                <w:sz w:val="18"/>
                <w:szCs w:val="18"/>
                <w:lang w:val="en-US"/>
              </w:rPr>
            </w:pPr>
            <w:r w:rsidRPr="007F1E37">
              <w:rPr>
                <w:sz w:val="18"/>
                <w:lang w:val="en-US"/>
              </w:rPr>
              <w:t xml:space="preserve">Catherine </w:t>
            </w:r>
            <w:proofErr w:type="spellStart"/>
            <w:r w:rsidRPr="007F1E37">
              <w:rPr>
                <w:sz w:val="18"/>
                <w:lang w:val="en-US"/>
              </w:rPr>
              <w:t>Mairy</w:t>
            </w:r>
            <w:proofErr w:type="spellEnd"/>
          </w:p>
          <w:p w14:paraId="5D267F14" w14:textId="77777777" w:rsidR="005539DF" w:rsidRPr="007F1E37" w:rsidRDefault="00646539" w:rsidP="007F1E37">
            <w:pPr>
              <w:jc w:val="right"/>
              <w:rPr>
                <w:rFonts w:cs="Arial"/>
                <w:sz w:val="28"/>
                <w:szCs w:val="28"/>
                <w:lang w:val="en-US"/>
              </w:rPr>
            </w:pPr>
            <w:r w:rsidRPr="007F1E37">
              <w:rPr>
                <w:sz w:val="18"/>
                <w:lang w:val="en-US"/>
              </w:rPr>
              <w:t xml:space="preserve">Legal </w:t>
            </w:r>
            <w:r w:rsidR="007F1E37" w:rsidRPr="007F1E37">
              <w:rPr>
                <w:sz w:val="18"/>
                <w:lang w:val="en-US"/>
              </w:rPr>
              <w:t>Expert</w:t>
            </w:r>
            <w:r w:rsidRPr="007F1E37">
              <w:rPr>
                <w:sz w:val="18"/>
                <w:lang w:val="en-US"/>
              </w:rPr>
              <w:t xml:space="preserve"> </w:t>
            </w:r>
            <w:r w:rsidRPr="007F1E37">
              <w:rPr>
                <w:rFonts w:cs="Arial"/>
                <w:sz w:val="18"/>
                <w:szCs w:val="18"/>
                <w:lang w:val="en-US"/>
              </w:rPr>
              <w:br/>
            </w:r>
            <w:proofErr w:type="spellStart"/>
            <w:r w:rsidRPr="007F1E37">
              <w:rPr>
                <w:sz w:val="18"/>
                <w:lang w:val="en-US"/>
              </w:rPr>
              <w:t>Partena</w:t>
            </w:r>
            <w:proofErr w:type="spellEnd"/>
            <w:r w:rsidRPr="007F1E37">
              <w:rPr>
                <w:sz w:val="18"/>
                <w:lang w:val="en-US"/>
              </w:rPr>
              <w:t xml:space="preserve"> Professional</w:t>
            </w:r>
          </w:p>
        </w:tc>
        <w:tc>
          <w:tcPr>
            <w:tcW w:w="1902" w:type="dxa"/>
            <w:vMerge/>
          </w:tcPr>
          <w:p w14:paraId="28E6113C" w14:textId="77777777" w:rsidR="005539DF" w:rsidRPr="007F1E37" w:rsidRDefault="005539DF" w:rsidP="00B40816">
            <w:pPr>
              <w:jc w:val="center"/>
              <w:rPr>
                <w:rFonts w:ascii="Calibri" w:hAnsi="Calibri"/>
                <w:sz w:val="24"/>
                <w:lang w:val="en-US"/>
              </w:rPr>
            </w:pPr>
          </w:p>
        </w:tc>
      </w:tr>
    </w:tbl>
    <w:p w14:paraId="563D123D" w14:textId="77777777" w:rsidR="0071493A" w:rsidRPr="007F1E37" w:rsidRDefault="00627FB1" w:rsidP="00AA4348">
      <w:pPr>
        <w:autoSpaceDE w:val="0"/>
        <w:autoSpaceDN w:val="0"/>
        <w:adjustRightInd w:val="0"/>
        <w:jc w:val="both"/>
        <w:rPr>
          <w:rFonts w:ascii="Calibri" w:hAnsi="Calibri" w:cs="Arial"/>
          <w:sz w:val="24"/>
          <w:lang w:val="en-US"/>
        </w:rPr>
      </w:pPr>
      <w:r>
        <w:rPr>
          <w:noProof/>
          <w:lang w:val="en-US" w:eastAsia="en-US" w:bidi="ar-SA"/>
        </w:rPr>
        <mc:AlternateContent>
          <mc:Choice Requires="wps">
            <w:drawing>
              <wp:anchor distT="4294967293" distB="4294967293" distL="114300" distR="114300" simplePos="0" relativeHeight="251658752" behindDoc="0" locked="0" layoutInCell="1" allowOverlap="1" wp14:anchorId="3A66664F" wp14:editId="056FC416">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1BA89866"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7FF1994E" w14:textId="77777777" w:rsidR="00ED5E2F" w:rsidRPr="007F1E37" w:rsidRDefault="00ED5E2F" w:rsidP="00E564FF">
      <w:pPr>
        <w:spacing w:line="280" w:lineRule="exact"/>
        <w:jc w:val="both"/>
        <w:rPr>
          <w:rFonts w:cs="Arial"/>
          <w:sz w:val="28"/>
          <w:szCs w:val="28"/>
          <w:lang w:val="en-US"/>
        </w:rPr>
      </w:pPr>
    </w:p>
    <w:p w14:paraId="72933BCB" w14:textId="77777777" w:rsidR="007F1E37" w:rsidRPr="00180C46" w:rsidRDefault="007F1E37" w:rsidP="00180C46">
      <w:pPr>
        <w:spacing w:line="280" w:lineRule="exact"/>
        <w:jc w:val="both"/>
        <w:rPr>
          <w:b/>
          <w:color w:val="404040" w:themeColor="text1" w:themeTint="BF"/>
          <w:sz w:val="22"/>
          <w:szCs w:val="22"/>
        </w:rPr>
      </w:pPr>
      <w:r w:rsidRPr="00180C46">
        <w:rPr>
          <w:b/>
          <w:color w:val="404040" w:themeColor="text1" w:themeTint="BF"/>
          <w:sz w:val="22"/>
          <w:szCs w:val="22"/>
        </w:rPr>
        <w:t xml:space="preserve">Actuellement, les initiatives globales en matière de formation doivent s’élever à 1,9 % de la masse salariale. L’avant-projet de loi concernant le travail faisable et maniable prévoit </w:t>
      </w:r>
      <w:proofErr w:type="gramStart"/>
      <w:r w:rsidRPr="00180C46">
        <w:rPr>
          <w:b/>
          <w:color w:val="404040" w:themeColor="text1" w:themeTint="BF"/>
          <w:sz w:val="22"/>
          <w:szCs w:val="22"/>
        </w:rPr>
        <w:t>la</w:t>
      </w:r>
      <w:proofErr w:type="gramEnd"/>
      <w:r w:rsidRPr="00180C46">
        <w:rPr>
          <w:b/>
          <w:color w:val="404040" w:themeColor="text1" w:themeTint="BF"/>
          <w:sz w:val="22"/>
          <w:szCs w:val="22"/>
        </w:rPr>
        <w:t xml:space="preserve"> conversion de cet objectif, à partir du 1er janvier 2017, en un objectif interprofessionnel de 5 jours de formation en moyenne par an par équivalent temps plein. Il s’agit donc d’un objectif qui devra être atteint au niveau interprofessionnel non pas obligatoirement en 2017 mais bien à terme (dans le cadre d’une trajectoire de croissance).</w:t>
      </w:r>
    </w:p>
    <w:p w14:paraId="1569E1B2" w14:textId="77777777" w:rsidR="007F1E37" w:rsidRPr="00180C46" w:rsidRDefault="007F1E37" w:rsidP="00180C46">
      <w:pPr>
        <w:spacing w:line="280" w:lineRule="exact"/>
        <w:jc w:val="both"/>
        <w:rPr>
          <w:b/>
          <w:color w:val="404040" w:themeColor="text1" w:themeTint="BF"/>
          <w:sz w:val="22"/>
          <w:szCs w:val="22"/>
        </w:rPr>
      </w:pPr>
    </w:p>
    <w:p w14:paraId="1A042263" w14:textId="7A67C0E1" w:rsidR="00646539" w:rsidRPr="00180C46" w:rsidRDefault="00AC0D57" w:rsidP="00180C46">
      <w:pPr>
        <w:spacing w:line="280" w:lineRule="exact"/>
        <w:jc w:val="both"/>
        <w:rPr>
          <w:rFonts w:cs="Arial"/>
          <w:b/>
          <w:color w:val="404040" w:themeColor="text1" w:themeTint="BF"/>
          <w:sz w:val="22"/>
          <w:szCs w:val="22"/>
        </w:rPr>
      </w:pPr>
      <w:r>
        <w:rPr>
          <w:b/>
          <w:color w:val="404040" w:themeColor="text1" w:themeTint="BF"/>
          <w:sz w:val="22"/>
          <w:szCs w:val="22"/>
        </w:rPr>
        <w:t>Pour rappel,</w:t>
      </w:r>
      <w:r w:rsidR="007F1E37" w:rsidRPr="00180C46">
        <w:rPr>
          <w:b/>
          <w:color w:val="404040" w:themeColor="text1" w:themeTint="BF"/>
          <w:sz w:val="22"/>
          <w:szCs w:val="22"/>
        </w:rPr>
        <w:t xml:space="preserve"> cet avant-projet de loi, proposé par le ministre de l'Emploi Kris Peeters, a été approuvé par le Conseil des ministres le 28 octobre 2016. Les informations reprises ci-dessous n’ont dès lors pas encore fait l’objet d’une publication officielle et ne sont donc pas définitives.</w:t>
      </w:r>
    </w:p>
    <w:p w14:paraId="2BA7F6B3" w14:textId="77777777" w:rsidR="004E4884" w:rsidRPr="00180C46" w:rsidRDefault="004E4884" w:rsidP="00180C46">
      <w:pPr>
        <w:spacing w:line="280" w:lineRule="exact"/>
        <w:jc w:val="both"/>
        <w:rPr>
          <w:rFonts w:cs="Arial"/>
          <w:b/>
          <w:color w:val="404040" w:themeColor="text1" w:themeTint="BF"/>
          <w:sz w:val="22"/>
          <w:szCs w:val="22"/>
        </w:rPr>
      </w:pPr>
    </w:p>
    <w:p w14:paraId="65AFF67C" w14:textId="77777777" w:rsidR="00A14FAF" w:rsidRPr="00180C46" w:rsidRDefault="007F1E37" w:rsidP="00180C46">
      <w:pPr>
        <w:spacing w:line="280" w:lineRule="exact"/>
        <w:jc w:val="both"/>
        <w:rPr>
          <w:b/>
          <w:color w:val="00A0CB"/>
          <w:sz w:val="22"/>
          <w:szCs w:val="22"/>
        </w:rPr>
      </w:pPr>
      <w:r w:rsidRPr="00180C46">
        <w:rPr>
          <w:b/>
          <w:color w:val="00A0CB"/>
          <w:sz w:val="22"/>
          <w:szCs w:val="22"/>
        </w:rPr>
        <w:t>Quels seront les employeurs concernés par ces changements ?</w:t>
      </w:r>
    </w:p>
    <w:p w14:paraId="2A8FDB80" w14:textId="77777777" w:rsidR="007F1E37" w:rsidRPr="00180C46" w:rsidRDefault="007F1E37" w:rsidP="00F01625">
      <w:pPr>
        <w:spacing w:line="280" w:lineRule="exact"/>
        <w:jc w:val="both"/>
        <w:rPr>
          <w:sz w:val="22"/>
          <w:szCs w:val="22"/>
        </w:rPr>
      </w:pPr>
      <w:r w:rsidRPr="00F01625">
        <w:rPr>
          <w:sz w:val="22"/>
          <w:szCs w:val="22"/>
        </w:rPr>
        <w:t xml:space="preserve">Le nouvel objectif interprofessionnel s’imposera principalement à tous les employeurs du secteur privé, à l’exception des employeurs occupant </w:t>
      </w:r>
      <w:r w:rsidRPr="00180C46">
        <w:rPr>
          <w:sz w:val="22"/>
          <w:szCs w:val="22"/>
        </w:rPr>
        <w:t>moins de 10 travailleurs.</w:t>
      </w:r>
    </w:p>
    <w:p w14:paraId="6BE478EA" w14:textId="77777777" w:rsidR="007F1E37" w:rsidRPr="00180C46" w:rsidRDefault="007F1E37" w:rsidP="00F01625">
      <w:pPr>
        <w:spacing w:line="280" w:lineRule="exact"/>
        <w:jc w:val="both"/>
        <w:rPr>
          <w:sz w:val="22"/>
          <w:szCs w:val="22"/>
        </w:rPr>
      </w:pPr>
    </w:p>
    <w:p w14:paraId="36FFAAC9" w14:textId="49E9B6EC" w:rsidR="007F1E37" w:rsidRPr="00F01625" w:rsidRDefault="007F1E37">
      <w:pPr>
        <w:spacing w:line="280" w:lineRule="exact"/>
        <w:jc w:val="both"/>
        <w:rPr>
          <w:sz w:val="22"/>
          <w:szCs w:val="22"/>
        </w:rPr>
      </w:pPr>
      <w:r w:rsidRPr="00180C46">
        <w:rPr>
          <w:sz w:val="22"/>
          <w:szCs w:val="22"/>
        </w:rPr>
        <w:t>Un arrêté royal fixera, en outre, un régime dérogatoire pour les employeurs occupant au moins 10 et moins de 20 travailleurs exprimés en équivalent temps plein. Mais ce régime dérogatoire portera-t-il, par exemple, sur le nombre de jours de formation ? L’avant-projet de loi ne donne aucune précision à ce suje</w:t>
      </w:r>
      <w:r w:rsidR="00F01625">
        <w:rPr>
          <w:sz w:val="22"/>
          <w:szCs w:val="22"/>
        </w:rPr>
        <w:t>t.</w:t>
      </w:r>
    </w:p>
    <w:p w14:paraId="0947AB94" w14:textId="77777777" w:rsidR="007F1E37" w:rsidRPr="00180C46" w:rsidRDefault="007F1E37">
      <w:pPr>
        <w:spacing w:line="280" w:lineRule="exact"/>
        <w:jc w:val="both"/>
        <w:rPr>
          <w:sz w:val="22"/>
          <w:szCs w:val="22"/>
        </w:rPr>
      </w:pPr>
    </w:p>
    <w:p w14:paraId="1D8DF5FB" w14:textId="77777777" w:rsidR="007E2CC6" w:rsidRPr="00F01625" w:rsidRDefault="007F1E37">
      <w:pPr>
        <w:spacing w:line="280" w:lineRule="exact"/>
        <w:jc w:val="both"/>
        <w:rPr>
          <w:rFonts w:cs="Arial"/>
          <w:sz w:val="22"/>
          <w:szCs w:val="22"/>
        </w:rPr>
      </w:pPr>
      <w:r w:rsidRPr="00180C46">
        <w:rPr>
          <w:sz w:val="22"/>
          <w:szCs w:val="22"/>
        </w:rPr>
        <w:t>Quant au nombre de travailleurs occupés, il sera calculé en équivalent temps plein sur la base de l’occupation moyenne de l’année 2016.</w:t>
      </w:r>
      <w:r w:rsidR="009908E4" w:rsidRPr="00180C46">
        <w:rPr>
          <w:sz w:val="22"/>
          <w:szCs w:val="22"/>
        </w:rPr>
        <w:t xml:space="preserve"> </w:t>
      </w:r>
    </w:p>
    <w:p w14:paraId="4113D888" w14:textId="77777777" w:rsidR="004E4884" w:rsidRPr="00F01625" w:rsidRDefault="004E4884" w:rsidP="00180C46">
      <w:pPr>
        <w:spacing w:line="280" w:lineRule="exact"/>
        <w:jc w:val="both"/>
        <w:rPr>
          <w:rFonts w:cs="Arial"/>
          <w:sz w:val="22"/>
          <w:szCs w:val="22"/>
        </w:rPr>
      </w:pPr>
    </w:p>
    <w:p w14:paraId="3166C109" w14:textId="77777777" w:rsidR="000C321E" w:rsidRPr="00180C46" w:rsidRDefault="007F1E37" w:rsidP="00F01625">
      <w:pPr>
        <w:spacing w:line="280" w:lineRule="exact"/>
        <w:jc w:val="both"/>
        <w:rPr>
          <w:b/>
          <w:color w:val="00A0CB"/>
          <w:sz w:val="22"/>
          <w:szCs w:val="22"/>
        </w:rPr>
      </w:pPr>
      <w:r w:rsidRPr="00180C46">
        <w:rPr>
          <w:b/>
          <w:color w:val="00A0CB"/>
          <w:sz w:val="22"/>
          <w:szCs w:val="22"/>
        </w:rPr>
        <w:t>Comment concrétiser l’objectif interprofessionnel ?</w:t>
      </w:r>
    </w:p>
    <w:p w14:paraId="4E0831C3" w14:textId="77777777" w:rsidR="007F1E37" w:rsidRPr="00F01625" w:rsidRDefault="007F1E37" w:rsidP="00180C46">
      <w:pPr>
        <w:spacing w:line="280" w:lineRule="exact"/>
        <w:jc w:val="both"/>
        <w:rPr>
          <w:sz w:val="22"/>
          <w:szCs w:val="22"/>
        </w:rPr>
      </w:pPr>
      <w:r w:rsidRPr="00F01625">
        <w:rPr>
          <w:sz w:val="22"/>
          <w:szCs w:val="22"/>
        </w:rPr>
        <w:t>La concrétisation du nouvel objectif interprofessionnel pourra se faire :</w:t>
      </w:r>
    </w:p>
    <w:p w14:paraId="2B69E839" w14:textId="77777777" w:rsidR="007F1E37" w:rsidRPr="00180C46" w:rsidRDefault="007F1E37" w:rsidP="00180C46">
      <w:pPr>
        <w:pStyle w:val="ListParagraph"/>
        <w:numPr>
          <w:ilvl w:val="0"/>
          <w:numId w:val="22"/>
        </w:numPr>
        <w:spacing w:line="280" w:lineRule="exact"/>
        <w:jc w:val="both"/>
        <w:rPr>
          <w:sz w:val="22"/>
          <w:szCs w:val="22"/>
        </w:rPr>
      </w:pPr>
      <w:r w:rsidRPr="00180C46">
        <w:rPr>
          <w:b/>
          <w:sz w:val="22"/>
          <w:szCs w:val="22"/>
        </w:rPr>
        <w:t>soit au niveau du secteur</w:t>
      </w:r>
      <w:r w:rsidRPr="00180C46">
        <w:rPr>
          <w:sz w:val="22"/>
          <w:szCs w:val="22"/>
        </w:rPr>
        <w:t xml:space="preserve"> : par la conclusion d’une convention collective de travail (C.C.T.) sectorielle ou la prolongation d’une C.C.T. sectorielle existante ;</w:t>
      </w:r>
    </w:p>
    <w:p w14:paraId="18FE9924" w14:textId="77777777" w:rsidR="007F1E37" w:rsidRPr="00180C46" w:rsidRDefault="007F1E37" w:rsidP="00180C46">
      <w:pPr>
        <w:pStyle w:val="ListParagraph"/>
        <w:numPr>
          <w:ilvl w:val="0"/>
          <w:numId w:val="22"/>
        </w:numPr>
        <w:spacing w:line="280" w:lineRule="exact"/>
        <w:jc w:val="both"/>
        <w:rPr>
          <w:sz w:val="22"/>
          <w:szCs w:val="22"/>
        </w:rPr>
      </w:pPr>
      <w:r w:rsidRPr="00180C46">
        <w:rPr>
          <w:b/>
          <w:sz w:val="22"/>
          <w:szCs w:val="22"/>
        </w:rPr>
        <w:t>soit, à défaut de C.C.T. sectorielle, au niveau de l’entreprise</w:t>
      </w:r>
      <w:r w:rsidRPr="00180C46">
        <w:rPr>
          <w:sz w:val="22"/>
          <w:szCs w:val="22"/>
        </w:rPr>
        <w:t xml:space="preserve"> : par l’octroi de jours de formation dans un compte formation </w:t>
      </w:r>
      <w:proofErr w:type="gramStart"/>
      <w:r w:rsidRPr="00180C46">
        <w:rPr>
          <w:sz w:val="22"/>
          <w:szCs w:val="22"/>
        </w:rPr>
        <w:t>individuel</w:t>
      </w:r>
      <w:proofErr w:type="gramEnd"/>
      <w:r w:rsidRPr="00180C46">
        <w:rPr>
          <w:sz w:val="22"/>
          <w:szCs w:val="22"/>
        </w:rPr>
        <w:t>, dont les modalités pratiques devront être fixées par arrêté royal.</w:t>
      </w:r>
    </w:p>
    <w:p w14:paraId="7A45CA06" w14:textId="77777777" w:rsidR="007F1E37" w:rsidRPr="00180C46" w:rsidRDefault="007F1E37" w:rsidP="00180C46">
      <w:pPr>
        <w:spacing w:line="280" w:lineRule="exact"/>
        <w:jc w:val="both"/>
        <w:rPr>
          <w:sz w:val="22"/>
          <w:szCs w:val="22"/>
        </w:rPr>
      </w:pPr>
    </w:p>
    <w:p w14:paraId="6264411D" w14:textId="77777777" w:rsidR="007F1E37" w:rsidRPr="00180C46" w:rsidRDefault="007F1E37" w:rsidP="00180C46">
      <w:pPr>
        <w:spacing w:line="280" w:lineRule="exact"/>
        <w:jc w:val="both"/>
        <w:rPr>
          <w:sz w:val="22"/>
          <w:szCs w:val="22"/>
        </w:rPr>
      </w:pPr>
      <w:r w:rsidRPr="00180C46">
        <w:rPr>
          <w:sz w:val="22"/>
          <w:szCs w:val="22"/>
        </w:rPr>
        <w:t xml:space="preserve">Les secteurs qui négocieront la mise en œuvre de ce nouvel objectif seront connus avec certitude le 30 septembre 2017 au plus tard, date butoir pour le dépôt de la C.C.T. sectorielle </w:t>
      </w:r>
      <w:r w:rsidRPr="00180C46">
        <w:rPr>
          <w:sz w:val="22"/>
          <w:szCs w:val="22"/>
        </w:rPr>
        <w:lastRenderedPageBreak/>
        <w:t xml:space="preserve">auprès du greffe de la direction générale des relations collectives de travail du SPF Emploi, Travail et Concertation sociale. </w:t>
      </w:r>
    </w:p>
    <w:p w14:paraId="3B22D5F8" w14:textId="77777777" w:rsidR="007F1E37" w:rsidRPr="00180C46" w:rsidRDefault="007F1E37" w:rsidP="00180C46">
      <w:pPr>
        <w:spacing w:line="280" w:lineRule="exact"/>
        <w:jc w:val="both"/>
        <w:rPr>
          <w:sz w:val="22"/>
          <w:szCs w:val="22"/>
        </w:rPr>
      </w:pPr>
    </w:p>
    <w:p w14:paraId="42775C2B" w14:textId="261B4EAF" w:rsidR="007F1E37" w:rsidRPr="00F01625" w:rsidRDefault="007F1E37" w:rsidP="00180C46">
      <w:pPr>
        <w:spacing w:line="280" w:lineRule="exact"/>
        <w:jc w:val="both"/>
        <w:rPr>
          <w:sz w:val="22"/>
          <w:szCs w:val="22"/>
        </w:rPr>
      </w:pPr>
      <w:r w:rsidRPr="00180C46">
        <w:rPr>
          <w:sz w:val="22"/>
          <w:szCs w:val="22"/>
        </w:rPr>
        <w:t>La possibilité de recourir à un compte formation individuel existe-t-elle bien uniquement à partir de cette date ? L’avant-projet de loi ne donne aucune précision à ce sujet, ni sur un éventuel délai pour la mise en place de ce mode de concrétisation du nouvel objectif</w:t>
      </w:r>
      <w:r w:rsidR="00F01625">
        <w:rPr>
          <w:sz w:val="22"/>
          <w:szCs w:val="22"/>
        </w:rPr>
        <w:t>.</w:t>
      </w:r>
    </w:p>
    <w:p w14:paraId="7817A5A0" w14:textId="77777777" w:rsidR="007F1E37" w:rsidRPr="00180C46" w:rsidRDefault="007F1E37" w:rsidP="00180C46">
      <w:pPr>
        <w:spacing w:line="280" w:lineRule="exact"/>
        <w:jc w:val="both"/>
        <w:rPr>
          <w:sz w:val="22"/>
          <w:szCs w:val="22"/>
        </w:rPr>
      </w:pPr>
    </w:p>
    <w:p w14:paraId="3E39DA52" w14:textId="77777777" w:rsidR="00461D32" w:rsidRPr="00180C46" w:rsidRDefault="007F1E37" w:rsidP="00180C46">
      <w:pPr>
        <w:spacing w:line="280" w:lineRule="exact"/>
        <w:jc w:val="both"/>
        <w:rPr>
          <w:sz w:val="22"/>
          <w:szCs w:val="22"/>
        </w:rPr>
      </w:pPr>
      <w:r w:rsidRPr="00180C46">
        <w:rPr>
          <w:sz w:val="22"/>
          <w:szCs w:val="22"/>
        </w:rPr>
        <w:t>Quel que soit le mode de concrétisation de l’objectif interprofessionnel, l’effort de formation devra, en principe, être au moins égal à 2 jours en moyenne par an par équivalent temps plein. Une trajectoire de croissance fixera, en outre, une augmentation du nombre de jours de formation afin d’atteindre, au niveau interprofessionnel, l’objectif de 5 jours de formation en moyenne par an par équivalent temps plein.</w:t>
      </w:r>
    </w:p>
    <w:p w14:paraId="4C79448B" w14:textId="77777777" w:rsidR="007F1E37" w:rsidRPr="00180C46" w:rsidRDefault="007F1E37" w:rsidP="00180C46">
      <w:pPr>
        <w:spacing w:line="280" w:lineRule="exact"/>
        <w:jc w:val="both"/>
        <w:rPr>
          <w:rFonts w:cs="Arial"/>
          <w:b/>
          <w:color w:val="00A0CB"/>
          <w:sz w:val="22"/>
          <w:szCs w:val="22"/>
        </w:rPr>
      </w:pPr>
    </w:p>
    <w:p w14:paraId="634770A5" w14:textId="77777777" w:rsidR="004E4884" w:rsidRPr="00180C46" w:rsidRDefault="007F1E37" w:rsidP="00180C46">
      <w:pPr>
        <w:spacing w:line="280" w:lineRule="exact"/>
        <w:jc w:val="both"/>
        <w:rPr>
          <w:b/>
          <w:color w:val="00A0CB"/>
          <w:sz w:val="22"/>
          <w:szCs w:val="22"/>
        </w:rPr>
      </w:pPr>
      <w:r w:rsidRPr="00180C46">
        <w:rPr>
          <w:b/>
          <w:color w:val="00A0CB"/>
          <w:sz w:val="22"/>
          <w:szCs w:val="22"/>
        </w:rPr>
        <w:t>L’employeur doit-il prendre des mesures particulières en l’absence de concrétisation au niveau sectoriel et au niveau de l’entreprise ?</w:t>
      </w:r>
    </w:p>
    <w:p w14:paraId="46B95636" w14:textId="00A645FA" w:rsidR="00DB28F8" w:rsidRPr="00180C46" w:rsidRDefault="007F1E37" w:rsidP="00180C46">
      <w:pPr>
        <w:spacing w:line="280" w:lineRule="exact"/>
        <w:jc w:val="both"/>
        <w:rPr>
          <w:rFonts w:cs="Arial"/>
          <w:b/>
          <w:color w:val="00A0CB"/>
          <w:sz w:val="22"/>
          <w:szCs w:val="22"/>
        </w:rPr>
      </w:pPr>
      <w:r w:rsidRPr="00F01625">
        <w:rPr>
          <w:sz w:val="22"/>
          <w:szCs w:val="22"/>
        </w:rPr>
        <w:t>A défaut de C.C.T. sectorielle et de compte formation individuel, un régime supplétif sera d’application dans l’entreprise à partir du 1er janvier 2017. Celui-ci consistera en un droit à la f</w:t>
      </w:r>
      <w:r w:rsidRPr="00180C46">
        <w:rPr>
          <w:sz w:val="22"/>
          <w:szCs w:val="22"/>
        </w:rPr>
        <w:t>ormation de 2 jours en moyenne par an par équivalent temps plein. Cependant, ce nombre de jours de formation risque d’être augmenté par arrêté royal à partir du 1er janvier 2019</w:t>
      </w:r>
      <w:r w:rsidR="00F01625">
        <w:rPr>
          <w:sz w:val="22"/>
          <w:szCs w:val="22"/>
        </w:rPr>
        <w:t>.</w:t>
      </w:r>
    </w:p>
    <w:p w14:paraId="4F2D4183" w14:textId="77777777" w:rsidR="007F1E37" w:rsidRPr="00180C46" w:rsidRDefault="007F1E37" w:rsidP="00180C46">
      <w:pPr>
        <w:spacing w:line="280" w:lineRule="exact"/>
        <w:jc w:val="both"/>
        <w:rPr>
          <w:b/>
          <w:color w:val="00A0CB"/>
          <w:sz w:val="22"/>
          <w:szCs w:val="22"/>
        </w:rPr>
      </w:pPr>
    </w:p>
    <w:p w14:paraId="16372E03" w14:textId="77777777" w:rsidR="00C122C9" w:rsidRPr="00F01625" w:rsidRDefault="007F1E37" w:rsidP="00180C46">
      <w:pPr>
        <w:spacing w:line="280" w:lineRule="exact"/>
        <w:jc w:val="both"/>
        <w:rPr>
          <w:rFonts w:cs="Arial"/>
          <w:sz w:val="22"/>
          <w:szCs w:val="22"/>
        </w:rPr>
      </w:pPr>
      <w:r w:rsidRPr="00180C46">
        <w:rPr>
          <w:b/>
          <w:color w:val="00A0CB"/>
          <w:sz w:val="22"/>
          <w:szCs w:val="22"/>
        </w:rPr>
        <w:t>Quelles formations seront prises en considération ?</w:t>
      </w:r>
    </w:p>
    <w:p w14:paraId="5DECE063" w14:textId="05D7365B" w:rsidR="007F1E37" w:rsidRPr="00180C46" w:rsidRDefault="007F1E37" w:rsidP="00F01625">
      <w:pPr>
        <w:spacing w:line="280" w:lineRule="exact"/>
        <w:jc w:val="both"/>
        <w:rPr>
          <w:sz w:val="22"/>
          <w:szCs w:val="22"/>
        </w:rPr>
      </w:pPr>
      <w:r w:rsidRPr="00180C46">
        <w:rPr>
          <w:sz w:val="22"/>
          <w:szCs w:val="22"/>
        </w:rPr>
        <w:t>Toujours dans le cadre du nouvel objectif interprofessionnel, les employeurs continueront à rendre compte des efforts fournis en matière de formation par le biais du bilan social. Cependant, les formations qu’il conviendra de prendre en considération ne sont pas énoncées explicitement dans l’avant-projet de loi mais elles pourraient l’être dans un arrêté royal. Seules les notions de « formation formelle » et de « formation informelle » sont définies dans l’avant-projet de loi; il s’agit de notions similaires à celles en vigueur actuellement.</w:t>
      </w:r>
    </w:p>
    <w:p w14:paraId="636911C0" w14:textId="77777777" w:rsidR="007F1E37" w:rsidRPr="00180C46" w:rsidRDefault="007F1E37" w:rsidP="00F01625">
      <w:pPr>
        <w:spacing w:line="280" w:lineRule="exact"/>
        <w:jc w:val="both"/>
        <w:rPr>
          <w:sz w:val="22"/>
          <w:szCs w:val="22"/>
        </w:rPr>
      </w:pPr>
    </w:p>
    <w:p w14:paraId="50DAE025" w14:textId="77777777" w:rsidR="007F1E37" w:rsidRPr="00180C46" w:rsidRDefault="007F1E37">
      <w:pPr>
        <w:spacing w:line="280" w:lineRule="exact"/>
        <w:jc w:val="both"/>
        <w:rPr>
          <w:sz w:val="22"/>
          <w:szCs w:val="22"/>
        </w:rPr>
      </w:pPr>
      <w:r w:rsidRPr="00180C46">
        <w:rPr>
          <w:sz w:val="22"/>
          <w:szCs w:val="22"/>
        </w:rPr>
        <w:t>Par conséquent, ne faudrait-il pas, par analogie avec les règles actuelles et sauf disposition contraire prévue par arrêté royal, prendre en compte à tout le moins :</w:t>
      </w:r>
    </w:p>
    <w:p w14:paraId="77D5CCC5" w14:textId="77777777" w:rsidR="007F1E37" w:rsidRPr="00180C46" w:rsidRDefault="007F1E37">
      <w:pPr>
        <w:pStyle w:val="ListParagraph"/>
        <w:numPr>
          <w:ilvl w:val="0"/>
          <w:numId w:val="23"/>
        </w:numPr>
        <w:spacing w:line="280" w:lineRule="exact"/>
        <w:jc w:val="both"/>
        <w:rPr>
          <w:sz w:val="22"/>
          <w:szCs w:val="22"/>
        </w:rPr>
      </w:pPr>
      <w:r w:rsidRPr="00180C46">
        <w:rPr>
          <w:sz w:val="22"/>
          <w:szCs w:val="22"/>
        </w:rPr>
        <w:t>les formations formelles comme, par exemple, celles suivies dans le cadre du congé-éducation</w:t>
      </w:r>
    </w:p>
    <w:p w14:paraId="601D9FE5" w14:textId="1E25F643" w:rsidR="00A468A7" w:rsidRPr="00F01625" w:rsidRDefault="007F1E37">
      <w:pPr>
        <w:pStyle w:val="ListParagraph"/>
        <w:numPr>
          <w:ilvl w:val="0"/>
          <w:numId w:val="23"/>
        </w:numPr>
        <w:spacing w:line="280" w:lineRule="exact"/>
        <w:jc w:val="both"/>
        <w:rPr>
          <w:sz w:val="22"/>
          <w:szCs w:val="22"/>
        </w:rPr>
      </w:pPr>
      <w:r w:rsidRPr="00180C46">
        <w:rPr>
          <w:sz w:val="22"/>
          <w:szCs w:val="22"/>
        </w:rPr>
        <w:t xml:space="preserve">ainsi que les formations informelles comme, par exemple, le coaching ou la participation à des </w:t>
      </w:r>
      <w:proofErr w:type="spellStart"/>
      <w:r w:rsidRPr="00180C46">
        <w:rPr>
          <w:sz w:val="22"/>
          <w:szCs w:val="22"/>
        </w:rPr>
        <w:t>conférences</w:t>
      </w:r>
      <w:proofErr w:type="gramStart"/>
      <w:r w:rsidR="00F01625">
        <w:rPr>
          <w:sz w:val="22"/>
          <w:szCs w:val="22"/>
        </w:rPr>
        <w:t>,</w:t>
      </w:r>
      <w:r w:rsidRPr="00F01625">
        <w:rPr>
          <w:sz w:val="22"/>
          <w:szCs w:val="22"/>
        </w:rPr>
        <w:t>ateliers</w:t>
      </w:r>
      <w:proofErr w:type="spellEnd"/>
      <w:proofErr w:type="gramEnd"/>
      <w:r w:rsidR="00F01625">
        <w:rPr>
          <w:sz w:val="22"/>
          <w:szCs w:val="22"/>
        </w:rPr>
        <w:t xml:space="preserve"> et </w:t>
      </w:r>
      <w:r w:rsidRPr="00F01625">
        <w:rPr>
          <w:sz w:val="22"/>
          <w:szCs w:val="22"/>
        </w:rPr>
        <w:t>exposés dans un but d’apprentissage ?</w:t>
      </w:r>
      <w:r w:rsidR="00A468A7" w:rsidRPr="00F01625">
        <w:rPr>
          <w:sz w:val="22"/>
          <w:szCs w:val="22"/>
        </w:rPr>
        <w:t xml:space="preserve"> </w:t>
      </w:r>
    </w:p>
    <w:p w14:paraId="6B8BF79E" w14:textId="77777777" w:rsidR="007F1E37" w:rsidRPr="00180C46" w:rsidRDefault="007F1E37">
      <w:pPr>
        <w:spacing w:line="280" w:lineRule="exact"/>
        <w:jc w:val="both"/>
        <w:rPr>
          <w:sz w:val="22"/>
          <w:szCs w:val="22"/>
        </w:rPr>
      </w:pPr>
    </w:p>
    <w:p w14:paraId="73A76A06" w14:textId="77777777" w:rsidR="007F1E37" w:rsidRPr="00180C46" w:rsidRDefault="007F1E37">
      <w:pPr>
        <w:spacing w:line="280" w:lineRule="exact"/>
        <w:jc w:val="both"/>
        <w:rPr>
          <w:b/>
          <w:color w:val="00A0CB"/>
          <w:sz w:val="22"/>
          <w:szCs w:val="22"/>
        </w:rPr>
      </w:pPr>
      <w:r w:rsidRPr="00180C46">
        <w:rPr>
          <w:b/>
          <w:color w:val="00A0CB"/>
          <w:sz w:val="22"/>
          <w:szCs w:val="22"/>
        </w:rPr>
        <w:t xml:space="preserve">Les travailleurs devront-ils suivre les formations pendant et/ou en dehors de leur horaire de travail ? </w:t>
      </w:r>
    </w:p>
    <w:p w14:paraId="789B4B4F" w14:textId="77777777" w:rsidR="007F1E37" w:rsidRPr="00180C46" w:rsidRDefault="007F1E37">
      <w:pPr>
        <w:spacing w:line="280" w:lineRule="exact"/>
        <w:jc w:val="both"/>
        <w:rPr>
          <w:sz w:val="22"/>
          <w:szCs w:val="22"/>
        </w:rPr>
      </w:pPr>
      <w:r w:rsidRPr="00F01625">
        <w:rPr>
          <w:sz w:val="22"/>
          <w:szCs w:val="22"/>
        </w:rPr>
        <w:t>L’avant-projet de loi précise que, dans le cadre du régime supplétif, le travailleur aura la possibilité de suivre la formation non seulement pendant mais également en dehors de son horaire de travail habituel (avec maintien de la ré</w:t>
      </w:r>
      <w:r w:rsidRPr="00180C46">
        <w:rPr>
          <w:sz w:val="22"/>
          <w:szCs w:val="22"/>
        </w:rPr>
        <w:t xml:space="preserve">munération mais sans sursalaire). </w:t>
      </w:r>
    </w:p>
    <w:p w14:paraId="78A4FB86" w14:textId="77777777" w:rsidR="007F1E37" w:rsidRPr="00180C46" w:rsidRDefault="007F1E37">
      <w:pPr>
        <w:spacing w:line="280" w:lineRule="exact"/>
        <w:jc w:val="both"/>
        <w:rPr>
          <w:sz w:val="22"/>
          <w:szCs w:val="22"/>
        </w:rPr>
      </w:pPr>
    </w:p>
    <w:p w14:paraId="6C523E2F" w14:textId="316524D8" w:rsidR="007F1E37" w:rsidRPr="00F01625" w:rsidRDefault="007F1E37">
      <w:pPr>
        <w:spacing w:line="280" w:lineRule="exact"/>
        <w:jc w:val="both"/>
        <w:rPr>
          <w:sz w:val="22"/>
          <w:szCs w:val="22"/>
        </w:rPr>
      </w:pPr>
      <w:r w:rsidRPr="00180C46">
        <w:rPr>
          <w:sz w:val="22"/>
          <w:szCs w:val="22"/>
        </w:rPr>
        <w:t>Cela signifie-t-il a contrario qu’en dehors du régim</w:t>
      </w:r>
      <w:bookmarkStart w:id="0" w:name="_GoBack"/>
      <w:bookmarkEnd w:id="0"/>
      <w:r w:rsidRPr="00180C46">
        <w:rPr>
          <w:sz w:val="22"/>
          <w:szCs w:val="22"/>
        </w:rPr>
        <w:t>e supplétif, le travailleur sera tenu de suivre la formation uniquement pendant son horaire de  travail ? L’avant-projet de loi ne donne aucune précision à ce sujet</w:t>
      </w:r>
      <w:r w:rsidR="00F01625">
        <w:rPr>
          <w:sz w:val="22"/>
          <w:szCs w:val="22"/>
        </w:rPr>
        <w:t>.</w:t>
      </w:r>
    </w:p>
    <w:p w14:paraId="2A2890AE" w14:textId="77777777" w:rsidR="007F1E37" w:rsidRPr="00F01625" w:rsidRDefault="007F1E37">
      <w:pPr>
        <w:spacing w:line="280" w:lineRule="exact"/>
        <w:jc w:val="both"/>
        <w:rPr>
          <w:rFonts w:cs="Arial"/>
          <w:sz w:val="22"/>
          <w:szCs w:val="22"/>
        </w:rPr>
      </w:pPr>
    </w:p>
    <w:p w14:paraId="71432392" w14:textId="77777777" w:rsidR="00F01625" w:rsidRDefault="00F01625" w:rsidP="00F01625">
      <w:pPr>
        <w:spacing w:line="280" w:lineRule="exact"/>
        <w:jc w:val="both"/>
        <w:rPr>
          <w:b/>
          <w:color w:val="00A0CB"/>
          <w:sz w:val="22"/>
          <w:szCs w:val="22"/>
        </w:rPr>
      </w:pPr>
    </w:p>
    <w:p w14:paraId="37B8995E" w14:textId="77777777" w:rsidR="00F01625" w:rsidRDefault="00F01625" w:rsidP="00F01625">
      <w:pPr>
        <w:spacing w:line="280" w:lineRule="exact"/>
        <w:jc w:val="both"/>
        <w:rPr>
          <w:b/>
          <w:color w:val="00A0CB"/>
          <w:sz w:val="22"/>
          <w:szCs w:val="22"/>
        </w:rPr>
      </w:pPr>
    </w:p>
    <w:p w14:paraId="3FE07268" w14:textId="77777777" w:rsidR="00F01625" w:rsidRDefault="00F01625" w:rsidP="00F01625">
      <w:pPr>
        <w:spacing w:line="280" w:lineRule="exact"/>
        <w:jc w:val="both"/>
        <w:rPr>
          <w:b/>
          <w:color w:val="00A0CB"/>
          <w:sz w:val="22"/>
          <w:szCs w:val="22"/>
        </w:rPr>
      </w:pPr>
    </w:p>
    <w:p w14:paraId="2091CFA8" w14:textId="77777777" w:rsidR="007F1E37" w:rsidRPr="00180C46" w:rsidRDefault="007F1E37" w:rsidP="00F01625">
      <w:pPr>
        <w:spacing w:line="280" w:lineRule="exact"/>
        <w:jc w:val="both"/>
        <w:rPr>
          <w:b/>
          <w:color w:val="00A0CB"/>
          <w:sz w:val="22"/>
          <w:szCs w:val="22"/>
        </w:rPr>
      </w:pPr>
      <w:r w:rsidRPr="00180C46">
        <w:rPr>
          <w:b/>
          <w:color w:val="00A0CB"/>
          <w:sz w:val="22"/>
          <w:szCs w:val="22"/>
        </w:rPr>
        <w:lastRenderedPageBreak/>
        <w:t>Et maintenant ?</w:t>
      </w:r>
    </w:p>
    <w:p w14:paraId="14D82BA3" w14:textId="77777777" w:rsidR="007F1E37" w:rsidRPr="00520B8A" w:rsidRDefault="007F1E37" w:rsidP="00F01625">
      <w:pPr>
        <w:spacing w:line="280" w:lineRule="exact"/>
        <w:jc w:val="both"/>
        <w:rPr>
          <w:rFonts w:cs="Arial"/>
          <w:sz w:val="22"/>
          <w:szCs w:val="22"/>
        </w:rPr>
      </w:pPr>
      <w:r w:rsidRPr="00F01625">
        <w:rPr>
          <w:sz w:val="22"/>
          <w:szCs w:val="22"/>
        </w:rPr>
        <w:t>De nombreuses questions se posent donc aujourd’hui. La publication des textes légaux permettra de lever certaines incertitudes. Dans l’intervalle, il est conseillé aux employeurs de (continuer à) fournir des efforts en matière de formation.</w:t>
      </w:r>
    </w:p>
    <w:p w14:paraId="440ECA41" w14:textId="77777777" w:rsidR="002B7226" w:rsidRDefault="002B7226" w:rsidP="00180C46">
      <w:pPr>
        <w:spacing w:line="280" w:lineRule="exact"/>
        <w:jc w:val="both"/>
        <w:rPr>
          <w:rFonts w:cs="Arial"/>
          <w:sz w:val="22"/>
          <w:szCs w:val="22"/>
        </w:rPr>
      </w:pPr>
    </w:p>
    <w:p w14:paraId="067208BE" w14:textId="77777777" w:rsidR="002B7226" w:rsidRPr="00520B8A" w:rsidRDefault="002B7226" w:rsidP="00180C46">
      <w:pPr>
        <w:spacing w:line="280" w:lineRule="exact"/>
        <w:jc w:val="both"/>
        <w:rPr>
          <w:rFonts w:cs="Arial"/>
          <w:sz w:val="22"/>
          <w:szCs w:val="22"/>
        </w:rPr>
      </w:pPr>
    </w:p>
    <w:p w14:paraId="5FC60E6E" w14:textId="77777777" w:rsidR="00520B8A" w:rsidRPr="00624A03" w:rsidRDefault="00520B8A" w:rsidP="00180C46">
      <w:pPr>
        <w:jc w:val="both"/>
        <w:rPr>
          <w:rFonts w:cs="Arial"/>
          <w:color w:val="F6A500"/>
          <w:sz w:val="28"/>
          <w:szCs w:val="28"/>
        </w:rPr>
      </w:pPr>
      <w:r>
        <w:rPr>
          <w:color w:val="F6A500"/>
          <w:sz w:val="28"/>
        </w:rPr>
        <w:t xml:space="preserve">A propos de </w:t>
      </w:r>
      <w:proofErr w:type="spellStart"/>
      <w:r>
        <w:rPr>
          <w:color w:val="F6A500"/>
          <w:sz w:val="28"/>
        </w:rPr>
        <w:t>Partena</w:t>
      </w:r>
      <w:proofErr w:type="spellEnd"/>
      <w:r>
        <w:rPr>
          <w:color w:val="F6A500"/>
          <w:sz w:val="28"/>
        </w:rPr>
        <w:t xml:space="preserve"> Professional</w:t>
      </w:r>
    </w:p>
    <w:p w14:paraId="4C246EA6" w14:textId="77777777" w:rsidR="002960B1" w:rsidRPr="00520B8A" w:rsidRDefault="009A4567" w:rsidP="00180C46">
      <w:pPr>
        <w:jc w:val="both"/>
        <w:rPr>
          <w:rFonts w:cs="Arial"/>
          <w:sz w:val="22"/>
          <w:szCs w:val="22"/>
        </w:rPr>
      </w:pPr>
      <w:proofErr w:type="spellStart"/>
      <w:r w:rsidRPr="00417321">
        <w:rPr>
          <w:sz w:val="18"/>
          <w:szCs w:val="18"/>
        </w:rPr>
        <w:t>Partena</w:t>
      </w:r>
      <w:proofErr w:type="spellEnd"/>
      <w:r w:rsidRPr="00417321">
        <w:rPr>
          <w:sz w:val="18"/>
          <w:szCs w:val="18"/>
        </w:rPr>
        <w:t xml:space="preserve"> Professional est un prestataire de services qui met résolument l’accent sur l’entrepreneuriat et la gestion du personnel.</w:t>
      </w:r>
      <w:r>
        <w:rPr>
          <w:sz w:val="18"/>
          <w:szCs w:val="18"/>
        </w:rPr>
        <w:t xml:space="preserve"> </w:t>
      </w:r>
      <w:proofErr w:type="spellStart"/>
      <w:r w:rsidRPr="00417321">
        <w:rPr>
          <w:sz w:val="18"/>
          <w:szCs w:val="18"/>
        </w:rPr>
        <w:t>Partena</w:t>
      </w:r>
      <w:proofErr w:type="spellEnd"/>
      <w:r w:rsidRPr="00417321">
        <w:rPr>
          <w:sz w:val="18"/>
          <w:szCs w:val="18"/>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w:t>
      </w:r>
      <w:r>
        <w:rPr>
          <w:sz w:val="18"/>
          <w:szCs w:val="18"/>
        </w:rPr>
        <w:t xml:space="preserve"> </w:t>
      </w:r>
      <w:r w:rsidRPr="00417321">
        <w:rPr>
          <w:sz w:val="18"/>
          <w:szCs w:val="18"/>
        </w:rPr>
        <w:t>Quelque</w:t>
      </w:r>
      <w:r>
        <w:rPr>
          <w:sz w:val="18"/>
          <w:szCs w:val="18"/>
        </w:rPr>
        <w:t>s</w:t>
      </w:r>
      <w:r w:rsidRPr="00417321">
        <w:rPr>
          <w:sz w:val="18"/>
          <w:szCs w:val="18"/>
        </w:rPr>
        <w:t xml:space="preserve"> 1500 collaborateurs sont au service de plus de 200.000 entreprises et indépendants et réalisent 150 millions d’euros de chiffre d’affaires par an.</w:t>
      </w:r>
      <w:r>
        <w:rPr>
          <w:sz w:val="18"/>
          <w:szCs w:val="18"/>
        </w:rPr>
        <w:t xml:space="preserve"> </w:t>
      </w:r>
      <w:r w:rsidRPr="00417321">
        <w:rPr>
          <w:sz w:val="18"/>
          <w:szCs w:val="18"/>
        </w:rPr>
        <w:t xml:space="preserve">Plus d’informations sur </w:t>
      </w:r>
      <w:hyperlink r:id="rId9" w:history="1">
        <w:r w:rsidRPr="00417321">
          <w:rPr>
            <w:rStyle w:val="Hyperlink"/>
            <w:sz w:val="18"/>
            <w:szCs w:val="18"/>
          </w:rPr>
          <w:t>www.partena-professional.be</w:t>
        </w:r>
      </w:hyperlink>
    </w:p>
    <w:sectPr w:rsidR="002960B1" w:rsidRPr="00520B8A" w:rsidSect="00F13C96">
      <w:headerReference w:type="default" r:id="rId10"/>
      <w:footerReference w:type="default" r:id="rId11"/>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809D6" w14:textId="77777777" w:rsidR="00AC0D57" w:rsidRDefault="00AC0D57">
      <w:r>
        <w:separator/>
      </w:r>
    </w:p>
  </w:endnote>
  <w:endnote w:type="continuationSeparator" w:id="0">
    <w:p w14:paraId="596F611C" w14:textId="77777777" w:rsidR="00AC0D57" w:rsidRDefault="00AC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058B8" w14:textId="4C3667E6" w:rsidR="00AC0D57" w:rsidRPr="00CB07BB" w:rsidRDefault="00AC0D57">
    <w:pPr>
      <w:pStyle w:val="Footer"/>
      <w:rPr>
        <w:rFonts w:ascii="Arial" w:hAnsi="Arial" w:cs="Arial"/>
        <w:sz w:val="16"/>
      </w:rPr>
    </w:pPr>
    <w:r>
      <w:rPr>
        <w:noProof/>
        <w:lang w:val="en-US" w:eastAsia="en-US" w:bidi="ar-SA"/>
      </w:rPr>
      <mc:AlternateContent>
        <mc:Choice Requires="wps">
          <w:drawing>
            <wp:anchor distT="4294967293" distB="4294967293" distL="114300" distR="114300" simplePos="0" relativeHeight="251659264" behindDoc="0" locked="0" layoutInCell="1" allowOverlap="1" wp14:anchorId="37CAF352" wp14:editId="7FE55B44">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3504D3DF"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en-US" w:eastAsia="en-US" w:bidi="ar-SA"/>
      </w:rPr>
      <mc:AlternateContent>
        <mc:Choice Requires="wps">
          <w:drawing>
            <wp:anchor distT="0" distB="0" distL="114300" distR="114300" simplePos="0" relativeHeight="251656192" behindDoc="0" locked="0" layoutInCell="1" allowOverlap="1" wp14:anchorId="1CEB2EAD" wp14:editId="056A56C7">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BF0C" w14:textId="5190CF1D" w:rsidR="00AC0D57" w:rsidRDefault="00AC0D57">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83516">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83516">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5B8FBF0C" w14:textId="5190CF1D" w:rsidR="00AC0D57" w:rsidRDefault="00AC0D57">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83516">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83516">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sz w:val="16"/>
      </w:rPr>
      <w:t xml:space="preserve"> Décembre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3C3C" w14:textId="77777777" w:rsidR="00AC0D57" w:rsidRDefault="00AC0D57">
      <w:r>
        <w:separator/>
      </w:r>
    </w:p>
  </w:footnote>
  <w:footnote w:type="continuationSeparator" w:id="0">
    <w:p w14:paraId="3604F34D" w14:textId="77777777" w:rsidR="00AC0D57" w:rsidRDefault="00AC0D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D321" w14:textId="77777777" w:rsidR="00AC0D57" w:rsidRDefault="00AC0D57" w:rsidP="00CC3F32">
    <w:pPr>
      <w:pStyle w:val="Header"/>
      <w:jc w:val="center"/>
    </w:pPr>
    <w:r>
      <w:rPr>
        <w:noProof/>
        <w:lang w:val="en-US" w:eastAsia="en-US" w:bidi="ar-SA"/>
      </w:rPr>
      <w:drawing>
        <wp:inline distT="0" distB="0" distL="0" distR="0" wp14:anchorId="6FB600EB" wp14:editId="344E3819">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49697A18" w14:textId="77777777" w:rsidR="00AC0D57" w:rsidRDefault="00AC0D57"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1A10F9"/>
    <w:multiLevelType w:val="hybridMultilevel"/>
    <w:tmpl w:val="95FC6FC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B002E1"/>
    <w:multiLevelType w:val="hybridMultilevel"/>
    <w:tmpl w:val="CFA8DF7A"/>
    <w:lvl w:ilvl="0" w:tplc="58E6FC1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9433A"/>
    <w:multiLevelType w:val="hybridMultilevel"/>
    <w:tmpl w:val="9CA866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7"/>
  </w:num>
  <w:num w:numId="5">
    <w:abstractNumId w:val="1"/>
  </w:num>
  <w:num w:numId="6">
    <w:abstractNumId w:val="6"/>
  </w:num>
  <w:num w:numId="7">
    <w:abstractNumId w:val="2"/>
  </w:num>
  <w:num w:numId="8">
    <w:abstractNumId w:val="4"/>
  </w:num>
  <w:num w:numId="9">
    <w:abstractNumId w:val="18"/>
  </w:num>
  <w:num w:numId="10">
    <w:abstractNumId w:val="10"/>
  </w:num>
  <w:num w:numId="11">
    <w:abstractNumId w:val="12"/>
  </w:num>
  <w:num w:numId="12">
    <w:abstractNumId w:val="3"/>
  </w:num>
  <w:num w:numId="13">
    <w:abstractNumId w:val="19"/>
  </w:num>
  <w:num w:numId="14">
    <w:abstractNumId w:val="8"/>
  </w:num>
  <w:num w:numId="15">
    <w:abstractNumId w:val="9"/>
  </w:num>
  <w:num w:numId="16">
    <w:abstractNumId w:val="21"/>
  </w:num>
  <w:num w:numId="17">
    <w:abstractNumId w:val="15"/>
  </w:num>
  <w:num w:numId="18">
    <w:abstractNumId w:val="16"/>
  </w:num>
  <w:num w:numId="19">
    <w:abstractNumId w:val="20"/>
  </w:num>
  <w:num w:numId="20">
    <w:abstractNumId w:val="5"/>
  </w:num>
  <w:num w:numId="21">
    <w:abstractNumId w:val="14"/>
  </w:num>
  <w:num w:numId="22">
    <w:abstractNumId w:val="22"/>
  </w:num>
  <w:num w:numId="23">
    <w:abstractNumId w:val="1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7320"/>
    <w:rsid w:val="00037DBF"/>
    <w:rsid w:val="00037F58"/>
    <w:rsid w:val="00040D75"/>
    <w:rsid w:val="00043B84"/>
    <w:rsid w:val="000500ED"/>
    <w:rsid w:val="00050ABC"/>
    <w:rsid w:val="000562B4"/>
    <w:rsid w:val="00063A7A"/>
    <w:rsid w:val="00066118"/>
    <w:rsid w:val="000679D9"/>
    <w:rsid w:val="00067EF7"/>
    <w:rsid w:val="00071D95"/>
    <w:rsid w:val="00072460"/>
    <w:rsid w:val="000800C2"/>
    <w:rsid w:val="00080EC8"/>
    <w:rsid w:val="00084AE7"/>
    <w:rsid w:val="00092A5D"/>
    <w:rsid w:val="00096AE0"/>
    <w:rsid w:val="000A17B8"/>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21E"/>
    <w:rsid w:val="000C3B4C"/>
    <w:rsid w:val="000D1133"/>
    <w:rsid w:val="000D2124"/>
    <w:rsid w:val="000D305B"/>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0C46"/>
    <w:rsid w:val="00187E6F"/>
    <w:rsid w:val="001A0394"/>
    <w:rsid w:val="001A38CD"/>
    <w:rsid w:val="001A3B58"/>
    <w:rsid w:val="001A53ED"/>
    <w:rsid w:val="001B3B64"/>
    <w:rsid w:val="001B603D"/>
    <w:rsid w:val="001B6808"/>
    <w:rsid w:val="001C3351"/>
    <w:rsid w:val="001C39CC"/>
    <w:rsid w:val="001C47EF"/>
    <w:rsid w:val="001C4B35"/>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555DA"/>
    <w:rsid w:val="00260AD8"/>
    <w:rsid w:val="00262D2D"/>
    <w:rsid w:val="00262F71"/>
    <w:rsid w:val="0027610F"/>
    <w:rsid w:val="00280E7A"/>
    <w:rsid w:val="00281109"/>
    <w:rsid w:val="00282A40"/>
    <w:rsid w:val="00290EF5"/>
    <w:rsid w:val="002960B1"/>
    <w:rsid w:val="002963DE"/>
    <w:rsid w:val="002971E3"/>
    <w:rsid w:val="002A0503"/>
    <w:rsid w:val="002A08D0"/>
    <w:rsid w:val="002A3A4D"/>
    <w:rsid w:val="002A451B"/>
    <w:rsid w:val="002B31FC"/>
    <w:rsid w:val="002B7226"/>
    <w:rsid w:val="002B7C69"/>
    <w:rsid w:val="002C0F73"/>
    <w:rsid w:val="002C1C53"/>
    <w:rsid w:val="002C1CFF"/>
    <w:rsid w:val="002C2322"/>
    <w:rsid w:val="002C351C"/>
    <w:rsid w:val="002C59CA"/>
    <w:rsid w:val="002C6179"/>
    <w:rsid w:val="002C7E4C"/>
    <w:rsid w:val="002D2EFA"/>
    <w:rsid w:val="002D5C10"/>
    <w:rsid w:val="002E1070"/>
    <w:rsid w:val="002E60CC"/>
    <w:rsid w:val="002E6354"/>
    <w:rsid w:val="002F79FB"/>
    <w:rsid w:val="002F7B36"/>
    <w:rsid w:val="003032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34F6"/>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456"/>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079F6"/>
    <w:rsid w:val="004106B1"/>
    <w:rsid w:val="00422FFB"/>
    <w:rsid w:val="00432F5D"/>
    <w:rsid w:val="00433113"/>
    <w:rsid w:val="00441D35"/>
    <w:rsid w:val="0045395B"/>
    <w:rsid w:val="00453B04"/>
    <w:rsid w:val="0045420F"/>
    <w:rsid w:val="00454A33"/>
    <w:rsid w:val="00454DB2"/>
    <w:rsid w:val="00456B19"/>
    <w:rsid w:val="004617B3"/>
    <w:rsid w:val="00461D32"/>
    <w:rsid w:val="004750FC"/>
    <w:rsid w:val="004773B9"/>
    <w:rsid w:val="00482546"/>
    <w:rsid w:val="004833B4"/>
    <w:rsid w:val="00483DAC"/>
    <w:rsid w:val="004900ED"/>
    <w:rsid w:val="00493704"/>
    <w:rsid w:val="00494A93"/>
    <w:rsid w:val="00495CF0"/>
    <w:rsid w:val="00497757"/>
    <w:rsid w:val="004A6E43"/>
    <w:rsid w:val="004A7EC0"/>
    <w:rsid w:val="004B2CAA"/>
    <w:rsid w:val="004B3726"/>
    <w:rsid w:val="004B4EF3"/>
    <w:rsid w:val="004B7187"/>
    <w:rsid w:val="004C1CAF"/>
    <w:rsid w:val="004C2A3D"/>
    <w:rsid w:val="004C515F"/>
    <w:rsid w:val="004C7CEE"/>
    <w:rsid w:val="004D56BE"/>
    <w:rsid w:val="004D5F3B"/>
    <w:rsid w:val="004D6C75"/>
    <w:rsid w:val="004E2569"/>
    <w:rsid w:val="004E4884"/>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578F6"/>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B74C3"/>
    <w:rsid w:val="005D11A9"/>
    <w:rsid w:val="005D1FDA"/>
    <w:rsid w:val="005D2E5C"/>
    <w:rsid w:val="005D2ED3"/>
    <w:rsid w:val="005D6A12"/>
    <w:rsid w:val="005E0964"/>
    <w:rsid w:val="005E0CB6"/>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27FB1"/>
    <w:rsid w:val="00631FF8"/>
    <w:rsid w:val="0063591B"/>
    <w:rsid w:val="00636F72"/>
    <w:rsid w:val="00637B9A"/>
    <w:rsid w:val="0064458A"/>
    <w:rsid w:val="0064548A"/>
    <w:rsid w:val="00646539"/>
    <w:rsid w:val="00647226"/>
    <w:rsid w:val="00647290"/>
    <w:rsid w:val="00650DF9"/>
    <w:rsid w:val="0065130C"/>
    <w:rsid w:val="0065243F"/>
    <w:rsid w:val="006565A3"/>
    <w:rsid w:val="00657F89"/>
    <w:rsid w:val="00661BC9"/>
    <w:rsid w:val="006637E0"/>
    <w:rsid w:val="006639B1"/>
    <w:rsid w:val="00671D35"/>
    <w:rsid w:val="00673509"/>
    <w:rsid w:val="00681007"/>
    <w:rsid w:val="00690F93"/>
    <w:rsid w:val="00692830"/>
    <w:rsid w:val="006928D1"/>
    <w:rsid w:val="00696071"/>
    <w:rsid w:val="006971FE"/>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165D"/>
    <w:rsid w:val="00725228"/>
    <w:rsid w:val="0072740D"/>
    <w:rsid w:val="0073134F"/>
    <w:rsid w:val="00732976"/>
    <w:rsid w:val="00735396"/>
    <w:rsid w:val="00736878"/>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5789"/>
    <w:rsid w:val="0079583B"/>
    <w:rsid w:val="00796BD2"/>
    <w:rsid w:val="007A3644"/>
    <w:rsid w:val="007A3C41"/>
    <w:rsid w:val="007A627A"/>
    <w:rsid w:val="007B11E0"/>
    <w:rsid w:val="007B7DAA"/>
    <w:rsid w:val="007C176B"/>
    <w:rsid w:val="007C6AB8"/>
    <w:rsid w:val="007D4278"/>
    <w:rsid w:val="007E20E9"/>
    <w:rsid w:val="007E2CC6"/>
    <w:rsid w:val="007E3927"/>
    <w:rsid w:val="007E4C0B"/>
    <w:rsid w:val="007E4E11"/>
    <w:rsid w:val="007E5A31"/>
    <w:rsid w:val="007E6744"/>
    <w:rsid w:val="007E72A2"/>
    <w:rsid w:val="007E7565"/>
    <w:rsid w:val="007F1C30"/>
    <w:rsid w:val="007F1E37"/>
    <w:rsid w:val="007F29A2"/>
    <w:rsid w:val="007F2E1A"/>
    <w:rsid w:val="007F3680"/>
    <w:rsid w:val="00803E50"/>
    <w:rsid w:val="008051A9"/>
    <w:rsid w:val="008120E5"/>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61F2"/>
    <w:rsid w:val="008F73A0"/>
    <w:rsid w:val="00900F8B"/>
    <w:rsid w:val="0090487F"/>
    <w:rsid w:val="009103A8"/>
    <w:rsid w:val="0091077F"/>
    <w:rsid w:val="00911D59"/>
    <w:rsid w:val="00913F93"/>
    <w:rsid w:val="0091484C"/>
    <w:rsid w:val="00914A95"/>
    <w:rsid w:val="00916110"/>
    <w:rsid w:val="00923112"/>
    <w:rsid w:val="00925119"/>
    <w:rsid w:val="009337E5"/>
    <w:rsid w:val="00933EDA"/>
    <w:rsid w:val="00940CF0"/>
    <w:rsid w:val="00941196"/>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8E4"/>
    <w:rsid w:val="00990E59"/>
    <w:rsid w:val="009924EC"/>
    <w:rsid w:val="00992786"/>
    <w:rsid w:val="00992A96"/>
    <w:rsid w:val="00996569"/>
    <w:rsid w:val="009A40E6"/>
    <w:rsid w:val="009A4567"/>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468A7"/>
    <w:rsid w:val="00A503F8"/>
    <w:rsid w:val="00A50959"/>
    <w:rsid w:val="00A61B73"/>
    <w:rsid w:val="00A62820"/>
    <w:rsid w:val="00A63506"/>
    <w:rsid w:val="00A65C7F"/>
    <w:rsid w:val="00A677C5"/>
    <w:rsid w:val="00A73F5E"/>
    <w:rsid w:val="00A74D7E"/>
    <w:rsid w:val="00A7562D"/>
    <w:rsid w:val="00A77529"/>
    <w:rsid w:val="00A8106B"/>
    <w:rsid w:val="00A82220"/>
    <w:rsid w:val="00A82374"/>
    <w:rsid w:val="00A82FB6"/>
    <w:rsid w:val="00A83E41"/>
    <w:rsid w:val="00A8499E"/>
    <w:rsid w:val="00A854BA"/>
    <w:rsid w:val="00A875D2"/>
    <w:rsid w:val="00A8788D"/>
    <w:rsid w:val="00A9036A"/>
    <w:rsid w:val="00A9672D"/>
    <w:rsid w:val="00AA4348"/>
    <w:rsid w:val="00AA5697"/>
    <w:rsid w:val="00AA7BD1"/>
    <w:rsid w:val="00AB3F5C"/>
    <w:rsid w:val="00AB5CD7"/>
    <w:rsid w:val="00AB6AEF"/>
    <w:rsid w:val="00AC031F"/>
    <w:rsid w:val="00AC0D57"/>
    <w:rsid w:val="00AC44F5"/>
    <w:rsid w:val="00AC6812"/>
    <w:rsid w:val="00AC7FEA"/>
    <w:rsid w:val="00AD081A"/>
    <w:rsid w:val="00AD0F86"/>
    <w:rsid w:val="00AD640B"/>
    <w:rsid w:val="00AD6A40"/>
    <w:rsid w:val="00AE0158"/>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341C"/>
    <w:rsid w:val="00B649C6"/>
    <w:rsid w:val="00B7113B"/>
    <w:rsid w:val="00B73B2E"/>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B74C9"/>
    <w:rsid w:val="00BC3F79"/>
    <w:rsid w:val="00BC444D"/>
    <w:rsid w:val="00BC4DAD"/>
    <w:rsid w:val="00BC5FD5"/>
    <w:rsid w:val="00BC667D"/>
    <w:rsid w:val="00BC697F"/>
    <w:rsid w:val="00BE0595"/>
    <w:rsid w:val="00BE6ADE"/>
    <w:rsid w:val="00BF1832"/>
    <w:rsid w:val="00BF1D48"/>
    <w:rsid w:val="00C06BC0"/>
    <w:rsid w:val="00C07182"/>
    <w:rsid w:val="00C07F38"/>
    <w:rsid w:val="00C122C9"/>
    <w:rsid w:val="00C12E63"/>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E36"/>
    <w:rsid w:val="00C82919"/>
    <w:rsid w:val="00C83516"/>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F37"/>
    <w:rsid w:val="00D335D3"/>
    <w:rsid w:val="00D40592"/>
    <w:rsid w:val="00D42584"/>
    <w:rsid w:val="00D44E5F"/>
    <w:rsid w:val="00D47365"/>
    <w:rsid w:val="00D50882"/>
    <w:rsid w:val="00D52258"/>
    <w:rsid w:val="00D53F76"/>
    <w:rsid w:val="00D5505B"/>
    <w:rsid w:val="00D56317"/>
    <w:rsid w:val="00D56D32"/>
    <w:rsid w:val="00D60FBB"/>
    <w:rsid w:val="00D6305A"/>
    <w:rsid w:val="00D657F7"/>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28F8"/>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9F4"/>
    <w:rsid w:val="00DF3F0D"/>
    <w:rsid w:val="00E01357"/>
    <w:rsid w:val="00E15798"/>
    <w:rsid w:val="00E17D25"/>
    <w:rsid w:val="00E21483"/>
    <w:rsid w:val="00E21B44"/>
    <w:rsid w:val="00E223C0"/>
    <w:rsid w:val="00E22819"/>
    <w:rsid w:val="00E2376F"/>
    <w:rsid w:val="00E27676"/>
    <w:rsid w:val="00E27791"/>
    <w:rsid w:val="00E325DE"/>
    <w:rsid w:val="00E3440E"/>
    <w:rsid w:val="00E36288"/>
    <w:rsid w:val="00E37B4D"/>
    <w:rsid w:val="00E41B0A"/>
    <w:rsid w:val="00E467B8"/>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02CA"/>
    <w:rsid w:val="00F01625"/>
    <w:rsid w:val="00F05D93"/>
    <w:rsid w:val="00F067CC"/>
    <w:rsid w:val="00F10653"/>
    <w:rsid w:val="00F12C81"/>
    <w:rsid w:val="00F131A5"/>
    <w:rsid w:val="00F133C4"/>
    <w:rsid w:val="00F13C96"/>
    <w:rsid w:val="00F15774"/>
    <w:rsid w:val="00F21470"/>
    <w:rsid w:val="00F2346C"/>
    <w:rsid w:val="00F2720E"/>
    <w:rsid w:val="00F35C41"/>
    <w:rsid w:val="00F37B7F"/>
    <w:rsid w:val="00F429B9"/>
    <w:rsid w:val="00F43408"/>
    <w:rsid w:val="00F43B31"/>
    <w:rsid w:val="00F448DC"/>
    <w:rsid w:val="00F536FC"/>
    <w:rsid w:val="00F53870"/>
    <w:rsid w:val="00F5439D"/>
    <w:rsid w:val="00F54BC7"/>
    <w:rsid w:val="00F56E8B"/>
    <w:rsid w:val="00F57289"/>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4569"/>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shapedefaults>
    <o:shapelayout v:ext="edit">
      <o:idmap v:ext="edit" data="1"/>
    </o:shapelayout>
  </w:shapeDefaults>
  <w:decimalSymbol w:val=","/>
  <w:listSeparator w:val=";"/>
  <w14:docId w14:val="6A02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5578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557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029602212">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5548</Characters>
  <Application>Microsoft Macintosh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6508</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4</cp:revision>
  <cp:lastPrinted>2016-06-05T10:34:00Z</cp:lastPrinted>
  <dcterms:created xsi:type="dcterms:W3CDTF">2016-12-02T08:43:00Z</dcterms:created>
  <dcterms:modified xsi:type="dcterms:W3CDTF">2016-12-02T08:53:00Z</dcterms:modified>
</cp:coreProperties>
</file>