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E0BB" w14:textId="77777777" w:rsidR="0007747B" w:rsidRDefault="0007747B" w:rsidP="0007747B">
      <w:pPr>
        <w:pStyle w:val="Heading2"/>
        <w:spacing w:line="240" w:lineRule="exact"/>
        <w:ind w:left="-142" w:right="-8"/>
        <w:rPr>
          <w:rFonts w:ascii="Noto Sans" w:eastAsia="Arial" w:hAnsi="Noto Sans" w:cs="Noto Sans"/>
          <w:b w:val="0"/>
          <w:color w:val="000000" w:themeColor="text1"/>
        </w:rPr>
      </w:pPr>
    </w:p>
    <w:p w14:paraId="02D53AC7" w14:textId="77777777" w:rsidR="001F06C4" w:rsidRDefault="001F06C4" w:rsidP="001F06C4">
      <w:r>
        <w:rPr>
          <w:rFonts w:ascii="Aptos Display" w:hAnsi="Aptos Display"/>
          <w:color w:val="0F4761"/>
          <w:sz w:val="40"/>
          <w:szCs w:val="40"/>
        </w:rPr>
        <w:t>Lubrizol’s Apisolex™ Polymer Wins Silver at CPhI China’s 2026 Pharma Excipients Awards</w:t>
      </w:r>
    </w:p>
    <w:p w14:paraId="493C870F" w14:textId="01432BAF" w:rsidR="001F06C4" w:rsidRPr="00725E14" w:rsidRDefault="00A31C8C" w:rsidP="001F06C4">
      <w:pPr>
        <w:spacing w:before="120" w:after="240"/>
      </w:pPr>
      <w:r w:rsidRPr="00A31C8C">
        <w:rPr>
          <w:rFonts w:ascii="Noto Sans" w:hAnsi="Noto Sans" w:cs="Noto Sans"/>
          <w:b/>
          <w:bCs/>
        </w:rPr>
        <w:t xml:space="preserve">Shanghai, China, </w:t>
      </w:r>
      <w:r w:rsidR="001F06C4" w:rsidRPr="00725E14">
        <w:rPr>
          <w:rFonts w:ascii="Noto Sans" w:hAnsi="Noto Sans" w:cs="Noto Sans"/>
        </w:rPr>
        <w:t xml:space="preserve">Lubrizol’s Apisolex™ polymer excipient </w:t>
      </w:r>
      <w:r w:rsidR="00703E2E">
        <w:rPr>
          <w:rFonts w:ascii="Noto Sans" w:hAnsi="Noto Sans" w:cs="Noto Sans"/>
        </w:rPr>
        <w:t xml:space="preserve">has </w:t>
      </w:r>
      <w:r w:rsidR="001F06C4" w:rsidRPr="00725E14">
        <w:rPr>
          <w:rFonts w:ascii="Noto Sans" w:hAnsi="Noto Sans" w:cs="Noto Sans"/>
        </w:rPr>
        <w:t>earned a Silver award in the Drug Delivery Empowerment category at the 2026 CPhI China Pharma Excipients Awards. Part of the broader CPhI Celebration awards program, the recognition honors innovative excipient technologies that advance drug delivery, improve bioavailability, and demonstrate strong market potential.</w:t>
      </w:r>
    </w:p>
    <w:p w14:paraId="32162F15" w14:textId="1DA78472" w:rsidR="001F06C4" w:rsidRPr="00725E14" w:rsidRDefault="00621D7E" w:rsidP="001F06C4">
      <w:pPr>
        <w:spacing w:before="120" w:after="240"/>
        <w:rPr>
          <w:rFonts w:ascii="Noto Sans" w:hAnsi="Noto Sans" w:cs="Noto Sans"/>
        </w:rPr>
      </w:pPr>
      <w:r>
        <w:rPr>
          <w:rFonts w:ascii="Noto Sans" w:hAnsi="Noto Sans" w:cs="Noto Sans"/>
          <w:noProof/>
        </w:rPr>
        <w:drawing>
          <wp:inline distT="0" distB="0" distL="0" distR="0" wp14:anchorId="3E90C608" wp14:editId="2D7638CA">
            <wp:extent cx="6156960" cy="4104640"/>
            <wp:effectExtent l="0" t="0" r="0" b="0"/>
            <wp:docPr id="1910373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73457" name="Picture 19103734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56960" cy="4104640"/>
                    </a:xfrm>
                    <a:prstGeom prst="rect">
                      <a:avLst/>
                    </a:prstGeom>
                  </pic:spPr>
                </pic:pic>
              </a:graphicData>
            </a:graphic>
          </wp:inline>
        </w:drawing>
      </w:r>
    </w:p>
    <w:p w14:paraId="181900F0" w14:textId="77777777" w:rsidR="001F06C4" w:rsidRPr="00725E14" w:rsidRDefault="001F06C4" w:rsidP="001F06C4">
      <w:pPr>
        <w:spacing w:before="120" w:after="240"/>
      </w:pPr>
      <w:r w:rsidRPr="00725E14">
        <w:rPr>
          <w:rFonts w:ascii="Noto Sans" w:hAnsi="Noto Sans" w:cs="Noto Sans"/>
        </w:rPr>
        <w:t>The Pharma Excipients Awards spotlight forward-looking companies and breakthrough products that are helping raise technical standards across the pharmaceutical excipients sector, shape best practices, and influence the future of the industry.</w:t>
      </w:r>
    </w:p>
    <w:p w14:paraId="1245B588" w14:textId="77777777" w:rsidR="001F06C4" w:rsidRPr="00725E14" w:rsidRDefault="001F06C4" w:rsidP="001F06C4">
      <w:pPr>
        <w:spacing w:before="120" w:after="240"/>
      </w:pPr>
      <w:r w:rsidRPr="00725E14">
        <w:rPr>
          <w:rFonts w:ascii="Noto Sans" w:hAnsi="Noto Sans" w:cs="Noto Sans"/>
        </w:rPr>
        <w:t xml:space="preserve">Selected from a field of more than 100 nominees across all award categories, Apisolex™ polymer was recognized for addressing one of drug development’s most persistent formulation challenges. The </w:t>
      </w:r>
      <w:r w:rsidRPr="00725E14">
        <w:rPr>
          <w:rFonts w:ascii="Noto Sans" w:hAnsi="Noto Sans" w:cs="Noto Sans"/>
        </w:rPr>
        <w:lastRenderedPageBreak/>
        <w:t>injectable excipient can enhance the solubility of poorly soluble BCS Class II and IV APIs by up to 50,000-fold, helping overcome a critical barrier in a pipeline where approximately 60% of candidate drugs face solubility limitations.</w:t>
      </w:r>
    </w:p>
    <w:p w14:paraId="1751DAAE" w14:textId="77777777" w:rsidR="001F06C4" w:rsidRPr="00725E14" w:rsidRDefault="001F06C4" w:rsidP="001F06C4">
      <w:pPr>
        <w:spacing w:before="120" w:after="240"/>
        <w:rPr>
          <w:rFonts w:ascii="Noto Sans" w:hAnsi="Noto Sans" w:cs="Noto Sans"/>
        </w:rPr>
      </w:pPr>
      <w:r w:rsidRPr="00725E14">
        <w:rPr>
          <w:rFonts w:ascii="Noto Sans" w:hAnsi="Noto Sans" w:cs="Noto Sans"/>
        </w:rPr>
        <w:t xml:space="preserve">This latest recognition adds to Apisolex™ polymer’s growing track record of industry honors, including CPhI China’s Pharma Excipients Award in the Advanced Technology category in 2023 and a Finished Formulation award at CPhI Barcelona in 2023. </w:t>
      </w:r>
    </w:p>
    <w:p w14:paraId="3A3F087F" w14:textId="62315C9E" w:rsidR="001F06C4" w:rsidRPr="00725E14" w:rsidRDefault="001F06C4" w:rsidP="001F06C4">
      <w:pPr>
        <w:spacing w:before="120" w:after="240"/>
        <w:rPr>
          <w:rFonts w:ascii="Noto Sans" w:hAnsi="Noto Sans" w:cs="Noto Sans"/>
        </w:rPr>
      </w:pPr>
      <w:r w:rsidRPr="00725E14">
        <w:rPr>
          <w:rFonts w:ascii="Noto Sans" w:hAnsi="Noto Sans" w:cs="Noto Sans"/>
        </w:rPr>
        <w:t xml:space="preserve">In addition, </w:t>
      </w:r>
      <w:r w:rsidR="00A31C8C" w:rsidRPr="00725E14">
        <w:rPr>
          <w:rFonts w:ascii="Noto Sans" w:hAnsi="Noto Sans" w:cs="Noto Sans"/>
        </w:rPr>
        <w:t>Lubrizol’s Apinovex</w:t>
      </w:r>
      <w:r w:rsidRPr="00725E14">
        <w:rPr>
          <w:rFonts w:ascii="Noto Sans" w:hAnsi="Noto Sans" w:cs="Noto Sans"/>
        </w:rPr>
        <w:t>™ polymer received a Celebration Award in the Pharma Excipients category at CPhI China 2025</w:t>
      </w:r>
      <w:r>
        <w:rPr>
          <w:rFonts w:ascii="Noto Sans" w:hAnsi="Noto Sans" w:cs="Noto Sans"/>
        </w:rPr>
        <w:t>.</w:t>
      </w:r>
      <w:r w:rsidRPr="00725E14">
        <w:rPr>
          <w:rFonts w:ascii="Noto Sans" w:hAnsi="Noto Sans" w:cs="Noto Sans"/>
        </w:rPr>
        <w:t xml:space="preserve"> </w:t>
      </w:r>
    </w:p>
    <w:p w14:paraId="1F35CE53" w14:textId="0AEC7E65" w:rsidR="001F06C4" w:rsidRDefault="001F06C4" w:rsidP="001F06C4">
      <w:pPr>
        <w:spacing w:before="120" w:after="240"/>
        <w:rPr>
          <w:rFonts w:ascii="Noto Sans" w:hAnsi="Noto Sans" w:cs="Noto Sans"/>
        </w:rPr>
      </w:pPr>
      <w:r w:rsidRPr="04AF6890">
        <w:rPr>
          <w:rFonts w:ascii="Noto Sans" w:hAnsi="Noto Sans" w:cs="Noto Sans"/>
        </w:rPr>
        <w:t xml:space="preserve">Says Kevin Song, Sr. Director, </w:t>
      </w:r>
      <w:r w:rsidR="57EC9903" w:rsidRPr="04AF6890">
        <w:rPr>
          <w:rFonts w:ascii="Noto Sans" w:hAnsi="Noto Sans" w:cs="Noto Sans"/>
        </w:rPr>
        <w:t>Global</w:t>
      </w:r>
      <w:r w:rsidRPr="04AF6890">
        <w:rPr>
          <w:rFonts w:ascii="Noto Sans" w:hAnsi="Noto Sans" w:cs="Noto Sans"/>
        </w:rPr>
        <w:t xml:space="preserve"> Nutraceutical</w:t>
      </w:r>
      <w:r w:rsidR="0168ECCF" w:rsidRPr="04AF6890">
        <w:rPr>
          <w:rFonts w:ascii="Noto Sans" w:hAnsi="Noto Sans" w:cs="Noto Sans"/>
        </w:rPr>
        <w:t xml:space="preserve"> </w:t>
      </w:r>
      <w:r w:rsidRPr="04AF6890">
        <w:rPr>
          <w:rFonts w:ascii="Noto Sans" w:hAnsi="Noto Sans" w:cs="Noto Sans"/>
        </w:rPr>
        <w:t>and Pharmaceutical</w:t>
      </w:r>
      <w:r w:rsidR="6EA072B1" w:rsidRPr="04AF6890">
        <w:rPr>
          <w:rFonts w:ascii="Noto Sans" w:hAnsi="Noto Sans" w:cs="Noto Sans"/>
        </w:rPr>
        <w:t xml:space="preserve"> Businesses</w:t>
      </w:r>
      <w:r w:rsidRPr="04AF6890">
        <w:rPr>
          <w:rFonts w:ascii="Noto Sans" w:hAnsi="Noto Sans" w:cs="Noto Sans"/>
        </w:rPr>
        <w:t xml:space="preserve">, who accepted the award on behalf of the Lubrizol China team, </w:t>
      </w:r>
      <w:r w:rsidR="00A31C8C" w:rsidRPr="04AF6890">
        <w:rPr>
          <w:rFonts w:ascii="Noto Sans" w:hAnsi="Noto Sans" w:cs="Noto Sans"/>
        </w:rPr>
        <w:t>“Being</w:t>
      </w:r>
      <w:r w:rsidRPr="04AF6890">
        <w:rPr>
          <w:rFonts w:ascii="Noto Sans" w:hAnsi="Noto Sans" w:cs="Noto Sans"/>
        </w:rPr>
        <w:t xml:space="preserve"> recognized by CPhI, the industry’s primary showcase of pharmaceutical innovation, underscores Lubrizol’s continued commitment to next-generation excipient technologies that expand formulation possibilities and improve drug delivery.”</w:t>
      </w:r>
    </w:p>
    <w:p w14:paraId="6E3905FD" w14:textId="77777777" w:rsidR="001F06C4" w:rsidRDefault="001F06C4" w:rsidP="001F06C4">
      <w:pPr>
        <w:spacing w:before="120" w:after="240"/>
        <w:rPr>
          <w:rFonts w:ascii="Noto Sans" w:hAnsi="Noto Sans" w:cs="Noto Sans"/>
        </w:rPr>
      </w:pPr>
      <w:r>
        <w:rPr>
          <w:rFonts w:ascii="Noto Sans" w:hAnsi="Noto Sans" w:cs="Noto Sans"/>
        </w:rPr>
        <w:t xml:space="preserve">Learn more about our award-winning excipients </w:t>
      </w:r>
      <w:hyperlink r:id="rId10" w:history="1">
        <w:r w:rsidRPr="00A31C8C">
          <w:rPr>
            <w:rStyle w:val="Hyperlink"/>
            <w:rFonts w:ascii="Noto Sans" w:hAnsi="Noto Sans" w:cs="Noto Sans"/>
            <w:b/>
            <w:bCs/>
          </w:rPr>
          <w:t>here</w:t>
        </w:r>
      </w:hyperlink>
      <w:r>
        <w:rPr>
          <w:rFonts w:ascii="Noto Sans" w:hAnsi="Noto Sans" w:cs="Noto Sans"/>
        </w:rPr>
        <w:t>.</w:t>
      </w:r>
    </w:p>
    <w:p w14:paraId="1CA7B1D3" w14:textId="77777777" w:rsidR="001F06C4" w:rsidRPr="00AC1D47" w:rsidRDefault="001F06C4" w:rsidP="001F06C4">
      <w:pPr>
        <w:spacing w:before="120" w:after="240"/>
        <w:rPr>
          <w:rFonts w:ascii="Noto Sans" w:hAnsi="Noto Sans" w:cs="Noto Sans"/>
        </w:rPr>
      </w:pPr>
      <w:r w:rsidRPr="00AC1D47">
        <w:rPr>
          <w:rFonts w:ascii="Noto Sans" w:hAnsi="Noto Sans" w:cs="Noto Sans"/>
          <w:b/>
          <w:bCs/>
        </w:rPr>
        <w:t>About The Lubrizol Corporation</w:t>
      </w:r>
    </w:p>
    <w:p w14:paraId="685DA951" w14:textId="77777777" w:rsidR="001F06C4" w:rsidRPr="00AC1D47" w:rsidRDefault="001F06C4" w:rsidP="001F06C4">
      <w:pPr>
        <w:spacing w:before="120" w:after="240"/>
        <w:rPr>
          <w:rFonts w:ascii="Noto Sans" w:hAnsi="Noto Sans" w:cs="Noto Sans"/>
        </w:rPr>
      </w:pPr>
      <w:r w:rsidRPr="00AC1D47">
        <w:rPr>
          <w:rFonts w:ascii="Noto Sans" w:hAnsi="Noto Sans" w:cs="Noto Sans"/>
        </w:rPr>
        <w:t>Lubrizol, a Berkshire Hathaway company, is a science-based company whose specialty chemistry delivers sustainable solutions to advance mobility, improve well-being and enhance modern life. Every day, the innovators of Lubrizol strive to create extraordinary value for customers at the intersection of science, market needs and business success, driving discovery and creating breakthrough solutions that enhance life and make the world work better. Founded in 1928, Lubrizol has global reach and local presence, with more than 100 manufacturing facilities, sales and technical offices and more than 7,000 employees around the world. For more information, visit </w:t>
      </w:r>
      <w:hyperlink r:id="rId11" w:history="1">
        <w:r w:rsidRPr="00AC1D47">
          <w:rPr>
            <w:rStyle w:val="Hyperlink"/>
            <w:rFonts w:ascii="Noto Sans" w:hAnsi="Noto Sans" w:cs="Noto Sans"/>
            <w:b/>
            <w:bCs/>
          </w:rPr>
          <w:t>www.Lubrizol.com</w:t>
        </w:r>
      </w:hyperlink>
      <w:r w:rsidRPr="00AC1D47">
        <w:rPr>
          <w:rFonts w:ascii="Noto Sans" w:hAnsi="Noto Sans" w:cs="Noto Sans"/>
        </w:rPr>
        <w:t>.</w:t>
      </w:r>
    </w:p>
    <w:p w14:paraId="6C357512" w14:textId="77777777" w:rsidR="001F06C4" w:rsidRPr="00D92151" w:rsidRDefault="001F06C4" w:rsidP="001F06C4">
      <w:pPr>
        <w:spacing w:before="120" w:after="240"/>
        <w:rPr>
          <w:rFonts w:ascii="Noto Sans" w:hAnsi="Noto Sans" w:cs="Noto Sans"/>
        </w:rPr>
      </w:pPr>
    </w:p>
    <w:p w14:paraId="59D91BEA" w14:textId="77777777" w:rsidR="001F06C4" w:rsidRPr="00725E14" w:rsidRDefault="001F06C4" w:rsidP="001F06C4"/>
    <w:p w14:paraId="3656B9AB" w14:textId="77777777" w:rsidR="00D077E8" w:rsidRPr="005117AA" w:rsidRDefault="00D077E8" w:rsidP="001F06C4">
      <w:pPr>
        <w:pStyle w:val="Heading1"/>
      </w:pPr>
    </w:p>
    <w:sectPr w:rsidR="00D077E8" w:rsidRPr="005117AA" w:rsidSect="00DE2084">
      <w:headerReference w:type="even" r:id="rId12"/>
      <w:headerReference w:type="default" r:id="rId13"/>
      <w:footerReference w:type="even" r:id="rId14"/>
      <w:footerReference w:type="default" r:id="rId15"/>
      <w:headerReference w:type="first" r:id="rId16"/>
      <w:footerReference w:type="first" r:id="rId17"/>
      <w:pgSz w:w="12240" w:h="15840"/>
      <w:pgMar w:top="1985" w:right="1126" w:bottom="1418" w:left="1418" w:header="851"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729D5" w14:textId="77777777" w:rsidR="005E0AC0" w:rsidRDefault="005E0AC0">
      <w:r>
        <w:separator/>
      </w:r>
    </w:p>
  </w:endnote>
  <w:endnote w:type="continuationSeparator" w:id="0">
    <w:p w14:paraId="4D62374C" w14:textId="77777777" w:rsidR="005E0AC0" w:rsidRDefault="005E0AC0">
      <w:r>
        <w:continuationSeparator/>
      </w:r>
    </w:p>
  </w:endnote>
  <w:endnote w:type="continuationNotice" w:id="1">
    <w:p w14:paraId="589B91FE" w14:textId="77777777" w:rsidR="005E0AC0" w:rsidRDefault="005E0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5A05" w14:textId="77777777" w:rsidR="00621D7E" w:rsidRDefault="00621D7E">
    <w:pPr>
      <w:pStyle w:val="Footer"/>
    </w:pPr>
    <w:r>
      <w:rPr>
        <w:noProof/>
      </w:rPr>
      <mc:AlternateContent>
        <mc:Choice Requires="wps">
          <w:drawing>
            <wp:anchor distT="0" distB="0" distL="0" distR="0" simplePos="0" relativeHeight="251663364" behindDoc="0" locked="0" layoutInCell="1" allowOverlap="1" wp14:anchorId="0E906ACF" wp14:editId="555E3474">
              <wp:simplePos x="635" y="635"/>
              <wp:positionH relativeFrom="page">
                <wp:align>right</wp:align>
              </wp:positionH>
              <wp:positionV relativeFrom="page">
                <wp:align>bottom</wp:align>
              </wp:positionV>
              <wp:extent cx="1393825" cy="345440"/>
              <wp:effectExtent l="0" t="0" r="0" b="0"/>
              <wp:wrapNone/>
              <wp:docPr id="111033559" name="Text Box 3" descr="Lubrizol Confidential">
                <a:extLst xmlns:a="http://schemas.openxmlformats.org/drawingml/2006/main">
                  <a:ext uri="{FF2B5EF4-FFF2-40B4-BE49-F238E27FC236}">
                    <a16:creationId xmlns:a16="http://schemas.microsoft.com/office/drawing/2014/main" id="{45CC52E3-426C-4B0C-B4E6-A915970963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3825" cy="345440"/>
                      </a:xfrm>
                      <a:prstGeom prst="rect">
                        <a:avLst/>
                      </a:prstGeom>
                      <a:noFill/>
                      <a:ln>
                        <a:noFill/>
                      </a:ln>
                    </wps:spPr>
                    <wps:txbx>
                      <w:txbxContent>
                        <w:p w14:paraId="534F22FE" w14:textId="77777777" w:rsidR="00621D7E" w:rsidRPr="00656A0E" w:rsidRDefault="00621D7E" w:rsidP="00656A0E">
                          <w:pPr>
                            <w:rPr>
                              <w:rFonts w:ascii="Aptos" w:eastAsia="Aptos" w:hAnsi="Aptos" w:cs="Aptos"/>
                              <w:noProof/>
                              <w:color w:val="000000"/>
                            </w:rPr>
                          </w:pPr>
                          <w:r w:rsidRPr="00656A0E">
                            <w:rPr>
                              <w:rFonts w:ascii="Aptos" w:eastAsia="Aptos" w:hAnsi="Aptos" w:cs="Aptos"/>
                              <w:noProof/>
                              <w:color w:val="000000"/>
                            </w:rPr>
                            <w:t>Lubrizol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E906ACF" id="_x0000_t202" coordsize="21600,21600" o:spt="202" path="m,l,21600r21600,l21600,xe">
              <v:stroke joinstyle="miter"/>
              <v:path gradientshapeok="t" o:connecttype="rect"/>
            </v:shapetype>
            <v:shape id="Text Box 3" o:spid="_x0000_s1026" type="#_x0000_t202" alt="Lubrizol Confidential" style="position:absolute;margin-left:58.55pt;margin-top:0;width:109.75pt;height:27.2pt;z-index:2516633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" filled="f" stroked="f">
              <v:textbox style="mso-fit-shape-to-text:t" inset="0,0,20pt,15pt">
                <w:txbxContent>
                  <w:p w14:paraId="534F22FE" w14:textId="77777777" w:rsidR="00621D7E" w:rsidRPr="00656A0E" w:rsidRDefault="00621D7E" w:rsidP="00656A0E">
                    <w:pPr>
                      <w:rPr>
                        <w:rFonts w:ascii="Aptos" w:eastAsia="Aptos" w:hAnsi="Aptos" w:cs="Aptos"/>
                        <w:noProof/>
                        <w:color w:val="000000"/>
                      </w:rPr>
                    </w:pPr>
                    <w:r w:rsidRPr="00656A0E">
                      <w:rPr>
                        <w:rFonts w:ascii="Aptos" w:eastAsia="Aptos" w:hAnsi="Aptos" w:cs="Aptos"/>
                        <w:noProof/>
                        <w:color w:val="000000"/>
                      </w:rPr>
                      <w:t>Lubrizol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AEB4" w14:textId="5DBC2921" w:rsidR="00621D7E" w:rsidRPr="00CC104A" w:rsidRDefault="00621D7E">
    <w:pPr>
      <w:pStyle w:val="Footer"/>
      <w:rPr>
        <w:rFonts w:ascii="Noto Sans" w:hAnsi="Noto Sans" w:cs="Noto Sans"/>
      </w:rPr>
    </w:pPr>
    <w:r w:rsidRPr="00A17C6C">
      <w:rPr>
        <w:rFonts w:ascii="Noto Sans" w:hAnsi="Noto Sans" w:cs="Noto Sans"/>
      </w:rPr>
      <w:t>www.Lubrizol.com</w:t>
    </w:r>
    <w:r>
      <w:rPr>
        <w:noProof/>
      </w:rPr>
      <mc:AlternateContent>
        <mc:Choice Requires="wps">
          <w:drawing>
            <wp:anchor distT="0" distB="0" distL="114300" distR="114300" simplePos="0" relativeHeight="251660292" behindDoc="0" locked="0" layoutInCell="0" allowOverlap="1" wp14:anchorId="05B48827" wp14:editId="79D7FD4E">
              <wp:simplePos x="0" y="0"/>
              <wp:positionH relativeFrom="column">
                <wp:posOffset>-111760</wp:posOffset>
              </wp:positionH>
              <wp:positionV relativeFrom="paragraph">
                <wp:posOffset>-344805</wp:posOffset>
              </wp:positionV>
              <wp:extent cx="6213475" cy="698500"/>
              <wp:effectExtent l="0" t="0" r="0" b="0"/>
              <wp:wrapNone/>
              <wp:docPr id="2" name="Text Box 4">
                <a:extLst xmlns:a="http://schemas.openxmlformats.org/drawingml/2006/main">
                  <a:ext uri="{FF2B5EF4-FFF2-40B4-BE49-F238E27FC236}">
                    <a16:creationId xmlns:a16="http://schemas.microsoft.com/office/drawing/2014/main" id="{A7529E8F-EE59-4D33-BD96-71E1DDF508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1347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3E479" w14:textId="77777777" w:rsidR="00621D7E" w:rsidRDefault="00621D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48827" id="_x0000_t202" coordsize="21600,21600" o:spt="202" path="m,l,21600r21600,l21600,xe">
              <v:stroke joinstyle="miter"/>
              <v:path gradientshapeok="t" o:connecttype="rect"/>
            </v:shapetype>
            <v:shape id="Text Box 4" o:spid="_x0000_s1027" type="#_x0000_t202" style="position:absolute;margin-left:-8.8pt;margin-top:-27.15pt;width:489.25pt;height:5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" o:allowincell="f" filled="f" stroked="f">
              <v:path arrowok="t"/>
              <v:textbox>
                <w:txbxContent>
                  <w:p w14:paraId="40C3E479" w14:textId="77777777" w:rsidR="00621D7E" w:rsidRDefault="00621D7E"/>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B0AE" w14:textId="3BE6ABD9" w:rsidR="00621D7E" w:rsidRDefault="00621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CDE9" w14:textId="77777777" w:rsidR="005E0AC0" w:rsidRDefault="005E0AC0">
      <w:r>
        <w:separator/>
      </w:r>
    </w:p>
  </w:footnote>
  <w:footnote w:type="continuationSeparator" w:id="0">
    <w:p w14:paraId="6C3B9907" w14:textId="77777777" w:rsidR="005E0AC0" w:rsidRDefault="005E0AC0">
      <w:r>
        <w:continuationSeparator/>
      </w:r>
    </w:p>
  </w:footnote>
  <w:footnote w:type="continuationNotice" w:id="1">
    <w:p w14:paraId="2539803E" w14:textId="77777777" w:rsidR="005E0AC0" w:rsidRDefault="005E0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08FED" w14:textId="77777777" w:rsidR="00621D7E" w:rsidRDefault="00621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D2A7" w14:textId="77777777" w:rsidR="00621D7E" w:rsidRDefault="00621D7E" w:rsidP="0007747B">
    <w:pPr>
      <w:pStyle w:val="Header"/>
      <w:ind w:left="-142"/>
    </w:pPr>
    <w:r>
      <w:t xml:space="preserve">     </w:t>
    </w:r>
    <w:r>
      <w:rPr>
        <w:noProof/>
      </w:rPr>
      <w:drawing>
        <wp:inline distT="0" distB="0" distL="0" distR="0" wp14:anchorId="48EA9557" wp14:editId="6A70197F">
          <wp:extent cx="1576800" cy="424747"/>
          <wp:effectExtent l="0" t="0" r="0" b="0"/>
          <wp:docPr id="1354161106" name="Picture 3" descr="A close-up of a logo&#10;&#10;Description automatically generated">
            <a:extLst xmlns:a="http://schemas.openxmlformats.org/drawingml/2006/main">
              <a:ext uri="{FF2B5EF4-FFF2-40B4-BE49-F238E27FC236}">
                <a16:creationId xmlns:a16="http://schemas.microsoft.com/office/drawing/2014/main" id="{AE8731B5-4ECC-4CF1-A311-003B1C9B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61106" name="Picture 3"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l="13214" t="25398" r="13026" b="24951"/>
                  <a:stretch/>
                </pic:blipFill>
                <pic:spPr bwMode="auto">
                  <a:xfrm>
                    <a:off x="0" y="0"/>
                    <a:ext cx="1670193" cy="44990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98F16BE" wp14:editId="31686FA9">
          <wp:extent cx="2026488" cy="105377"/>
          <wp:effectExtent l="0" t="0" r="0" b="0"/>
          <wp:docPr id="1172926786" name="Picture 3">
            <a:extLst xmlns:a="http://schemas.openxmlformats.org/drawingml/2006/main">
              <a:ext uri="{FF2B5EF4-FFF2-40B4-BE49-F238E27FC236}">
                <a16:creationId xmlns:a16="http://schemas.microsoft.com/office/drawing/2014/main" id="{FAD21925-B4EC-4C0E-B5D9-93CFCF129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6786" name="Picture 1172926786"/>
                  <pic:cNvPicPr/>
                </pic:nvPicPr>
                <pic:blipFill>
                  <a:blip r:embed="rId2">
                    <a:extLst>
                      <a:ext uri="{28A0092B-C50C-407E-A947-70E740481C1C}">
                        <a14:useLocalDpi xmlns:a14="http://schemas.microsoft.com/office/drawing/2010/main" val="0"/>
                      </a:ext>
                    </a:extLst>
                  </a:blip>
                  <a:stretch>
                    <a:fillRect/>
                  </a:stretch>
                </pic:blipFill>
                <pic:spPr>
                  <a:xfrm>
                    <a:off x="0" y="0"/>
                    <a:ext cx="2320998" cy="1206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4D67" w14:textId="77777777" w:rsidR="00621D7E" w:rsidRDefault="00621D7E">
    <w:pPr>
      <w:pStyle w:val="Header"/>
    </w:pPr>
    <w:r>
      <w:rPr>
        <w:noProof/>
      </w:rPr>
      <w:drawing>
        <wp:anchor distT="0" distB="0" distL="114300" distR="114300" simplePos="0" relativeHeight="251661316" behindDoc="0" locked="0" layoutInCell="1" allowOverlap="1" wp14:anchorId="6E1DA1ED" wp14:editId="01DA0666">
          <wp:simplePos x="0" y="0"/>
          <wp:positionH relativeFrom="page">
            <wp:posOffset>104775</wp:posOffset>
          </wp:positionH>
          <wp:positionV relativeFrom="paragraph">
            <wp:posOffset>-466725</wp:posOffset>
          </wp:positionV>
          <wp:extent cx="7543800" cy="1548130"/>
          <wp:effectExtent l="0" t="0" r="0" b="0"/>
          <wp:wrapThrough wrapText="bothSides">
            <wp:wrapPolygon edited="0">
              <wp:start x="0" y="0"/>
              <wp:lineTo x="0" y="21263"/>
              <wp:lineTo x="21545" y="21263"/>
              <wp:lineTo x="21545" y="0"/>
              <wp:lineTo x="0" y="0"/>
            </wp:wrapPolygon>
          </wp:wrapThrough>
          <wp:docPr id="351247687" name="Picture 1" descr="A blue and white background&#10;&#10;AI-generated content may be incorrect.">
            <a:extLst xmlns:a="http://schemas.openxmlformats.org/drawingml/2006/main">
              <a:ext uri="{FF2B5EF4-FFF2-40B4-BE49-F238E27FC236}">
                <a16:creationId xmlns:a16="http://schemas.microsoft.com/office/drawing/2014/main" id="{FF269383-0A94-488F-B05D-D577F8F9C6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7687" name="Picture 1" descr="A blue and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54813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45"/>
    <w:rsid w:val="00002319"/>
    <w:rsid w:val="0001538D"/>
    <w:rsid w:val="00017CE5"/>
    <w:rsid w:val="000215E2"/>
    <w:rsid w:val="00061467"/>
    <w:rsid w:val="00074283"/>
    <w:rsid w:val="0007747B"/>
    <w:rsid w:val="000A504A"/>
    <w:rsid w:val="000C51DC"/>
    <w:rsid w:val="000C7EE4"/>
    <w:rsid w:val="000D016C"/>
    <w:rsid w:val="000D4D5D"/>
    <w:rsid w:val="000D535E"/>
    <w:rsid w:val="000D585C"/>
    <w:rsid w:val="000D7AF5"/>
    <w:rsid w:val="000F6413"/>
    <w:rsid w:val="00112452"/>
    <w:rsid w:val="0011321F"/>
    <w:rsid w:val="00113565"/>
    <w:rsid w:val="00121F69"/>
    <w:rsid w:val="0012709F"/>
    <w:rsid w:val="00131380"/>
    <w:rsid w:val="00155AB7"/>
    <w:rsid w:val="00176EE0"/>
    <w:rsid w:val="0019143D"/>
    <w:rsid w:val="001B60BE"/>
    <w:rsid w:val="001C3ACE"/>
    <w:rsid w:val="001D2AE8"/>
    <w:rsid w:val="001F06C4"/>
    <w:rsid w:val="001F5443"/>
    <w:rsid w:val="00204F38"/>
    <w:rsid w:val="00214CE3"/>
    <w:rsid w:val="00243EE9"/>
    <w:rsid w:val="00263A94"/>
    <w:rsid w:val="00282CD0"/>
    <w:rsid w:val="00286F83"/>
    <w:rsid w:val="002A3A4D"/>
    <w:rsid w:val="002A430F"/>
    <w:rsid w:val="002A6D69"/>
    <w:rsid w:val="002A7BCE"/>
    <w:rsid w:val="002B685B"/>
    <w:rsid w:val="002C2E4A"/>
    <w:rsid w:val="002D1E3D"/>
    <w:rsid w:val="002E4300"/>
    <w:rsid w:val="002E45E5"/>
    <w:rsid w:val="002F710D"/>
    <w:rsid w:val="00305A9D"/>
    <w:rsid w:val="003076A8"/>
    <w:rsid w:val="003168FA"/>
    <w:rsid w:val="00327807"/>
    <w:rsid w:val="00332F9C"/>
    <w:rsid w:val="003333F0"/>
    <w:rsid w:val="00336AE3"/>
    <w:rsid w:val="003671D4"/>
    <w:rsid w:val="003750C2"/>
    <w:rsid w:val="00392112"/>
    <w:rsid w:val="003A1FA7"/>
    <w:rsid w:val="003A24EF"/>
    <w:rsid w:val="003B61B2"/>
    <w:rsid w:val="003C1084"/>
    <w:rsid w:val="004136A2"/>
    <w:rsid w:val="00422A6A"/>
    <w:rsid w:val="00425A6F"/>
    <w:rsid w:val="00454127"/>
    <w:rsid w:val="00470D20"/>
    <w:rsid w:val="00497F45"/>
    <w:rsid w:val="004A07B4"/>
    <w:rsid w:val="004B0783"/>
    <w:rsid w:val="004D7B10"/>
    <w:rsid w:val="004E0173"/>
    <w:rsid w:val="004F4981"/>
    <w:rsid w:val="005002A8"/>
    <w:rsid w:val="00500EBE"/>
    <w:rsid w:val="00506DC0"/>
    <w:rsid w:val="005117AA"/>
    <w:rsid w:val="0054632F"/>
    <w:rsid w:val="00553F2C"/>
    <w:rsid w:val="00584F99"/>
    <w:rsid w:val="005A7A25"/>
    <w:rsid w:val="005B56D9"/>
    <w:rsid w:val="005E0AC0"/>
    <w:rsid w:val="005E0E9A"/>
    <w:rsid w:val="006054F7"/>
    <w:rsid w:val="00616918"/>
    <w:rsid w:val="00621D7E"/>
    <w:rsid w:val="00632F45"/>
    <w:rsid w:val="00646849"/>
    <w:rsid w:val="00656A0E"/>
    <w:rsid w:val="00656FF1"/>
    <w:rsid w:val="00686D40"/>
    <w:rsid w:val="006919FE"/>
    <w:rsid w:val="006B4BB8"/>
    <w:rsid w:val="006C00F9"/>
    <w:rsid w:val="006C56F6"/>
    <w:rsid w:val="006D047F"/>
    <w:rsid w:val="006D1CB5"/>
    <w:rsid w:val="00703E2E"/>
    <w:rsid w:val="00715BD8"/>
    <w:rsid w:val="00720BDD"/>
    <w:rsid w:val="00751699"/>
    <w:rsid w:val="00761F68"/>
    <w:rsid w:val="00781E38"/>
    <w:rsid w:val="00786D31"/>
    <w:rsid w:val="00794F61"/>
    <w:rsid w:val="00796151"/>
    <w:rsid w:val="007A53E3"/>
    <w:rsid w:val="007B1CFB"/>
    <w:rsid w:val="007C354A"/>
    <w:rsid w:val="007D6AAE"/>
    <w:rsid w:val="007D6CD5"/>
    <w:rsid w:val="007E1113"/>
    <w:rsid w:val="007E4067"/>
    <w:rsid w:val="007E4E8C"/>
    <w:rsid w:val="007F1730"/>
    <w:rsid w:val="007F6603"/>
    <w:rsid w:val="00807F0F"/>
    <w:rsid w:val="008159D4"/>
    <w:rsid w:val="0082512D"/>
    <w:rsid w:val="00834D45"/>
    <w:rsid w:val="00856463"/>
    <w:rsid w:val="008711EB"/>
    <w:rsid w:val="00880108"/>
    <w:rsid w:val="00881059"/>
    <w:rsid w:val="00883E77"/>
    <w:rsid w:val="00896948"/>
    <w:rsid w:val="008A65D0"/>
    <w:rsid w:val="008B00E2"/>
    <w:rsid w:val="008B217F"/>
    <w:rsid w:val="008B4959"/>
    <w:rsid w:val="008B5392"/>
    <w:rsid w:val="008C14E1"/>
    <w:rsid w:val="008D2789"/>
    <w:rsid w:val="008D5606"/>
    <w:rsid w:val="008D6A33"/>
    <w:rsid w:val="008E0534"/>
    <w:rsid w:val="008E2B97"/>
    <w:rsid w:val="008F2DB2"/>
    <w:rsid w:val="008F4849"/>
    <w:rsid w:val="008F6D28"/>
    <w:rsid w:val="00905669"/>
    <w:rsid w:val="00906CE6"/>
    <w:rsid w:val="00910832"/>
    <w:rsid w:val="009134BA"/>
    <w:rsid w:val="0091390E"/>
    <w:rsid w:val="00926272"/>
    <w:rsid w:val="009361A8"/>
    <w:rsid w:val="00971847"/>
    <w:rsid w:val="009916F1"/>
    <w:rsid w:val="009A647D"/>
    <w:rsid w:val="009B492C"/>
    <w:rsid w:val="009C0CC5"/>
    <w:rsid w:val="009F0E9A"/>
    <w:rsid w:val="009F6C3E"/>
    <w:rsid w:val="00A07408"/>
    <w:rsid w:val="00A31C8C"/>
    <w:rsid w:val="00A6059C"/>
    <w:rsid w:val="00A665DF"/>
    <w:rsid w:val="00A83960"/>
    <w:rsid w:val="00A84F3F"/>
    <w:rsid w:val="00AB0312"/>
    <w:rsid w:val="00AB6ED9"/>
    <w:rsid w:val="00AC12A1"/>
    <w:rsid w:val="00AD4A5A"/>
    <w:rsid w:val="00AE3178"/>
    <w:rsid w:val="00AE33CE"/>
    <w:rsid w:val="00B0686B"/>
    <w:rsid w:val="00B06B4A"/>
    <w:rsid w:val="00B14D0F"/>
    <w:rsid w:val="00B452F9"/>
    <w:rsid w:val="00B51D3A"/>
    <w:rsid w:val="00B70CAD"/>
    <w:rsid w:val="00B91F7E"/>
    <w:rsid w:val="00BA0953"/>
    <w:rsid w:val="00BA7299"/>
    <w:rsid w:val="00BB5C41"/>
    <w:rsid w:val="00BC2A31"/>
    <w:rsid w:val="00BD63C3"/>
    <w:rsid w:val="00BE738F"/>
    <w:rsid w:val="00BF3AAB"/>
    <w:rsid w:val="00C00253"/>
    <w:rsid w:val="00C02361"/>
    <w:rsid w:val="00C044E6"/>
    <w:rsid w:val="00C11F26"/>
    <w:rsid w:val="00C31267"/>
    <w:rsid w:val="00C83ABC"/>
    <w:rsid w:val="00C92FCC"/>
    <w:rsid w:val="00CC104A"/>
    <w:rsid w:val="00CD4AD3"/>
    <w:rsid w:val="00D077E8"/>
    <w:rsid w:val="00D13D75"/>
    <w:rsid w:val="00D350BD"/>
    <w:rsid w:val="00D36FFE"/>
    <w:rsid w:val="00D6275D"/>
    <w:rsid w:val="00D83B7D"/>
    <w:rsid w:val="00D85784"/>
    <w:rsid w:val="00DB270D"/>
    <w:rsid w:val="00DE2084"/>
    <w:rsid w:val="00DF0223"/>
    <w:rsid w:val="00E137F4"/>
    <w:rsid w:val="00E14980"/>
    <w:rsid w:val="00E3783B"/>
    <w:rsid w:val="00E43FE7"/>
    <w:rsid w:val="00E52CA6"/>
    <w:rsid w:val="00E662C7"/>
    <w:rsid w:val="00E670B0"/>
    <w:rsid w:val="00E86ACA"/>
    <w:rsid w:val="00E94073"/>
    <w:rsid w:val="00E94A4A"/>
    <w:rsid w:val="00EB5F23"/>
    <w:rsid w:val="00ED3135"/>
    <w:rsid w:val="00ED4846"/>
    <w:rsid w:val="00ED68F2"/>
    <w:rsid w:val="00EE1661"/>
    <w:rsid w:val="00F17525"/>
    <w:rsid w:val="00F24B2F"/>
    <w:rsid w:val="00F525AF"/>
    <w:rsid w:val="00F574B4"/>
    <w:rsid w:val="00F57A41"/>
    <w:rsid w:val="00F60261"/>
    <w:rsid w:val="00F60BB1"/>
    <w:rsid w:val="00F847D6"/>
    <w:rsid w:val="00F94F8F"/>
    <w:rsid w:val="00FA1792"/>
    <w:rsid w:val="00FC4A79"/>
    <w:rsid w:val="00FD0EF6"/>
    <w:rsid w:val="00FD217F"/>
    <w:rsid w:val="00FD71D7"/>
    <w:rsid w:val="00FF2239"/>
    <w:rsid w:val="0168ECCF"/>
    <w:rsid w:val="018D4934"/>
    <w:rsid w:val="025AE8B4"/>
    <w:rsid w:val="02EA2ECD"/>
    <w:rsid w:val="03372FFC"/>
    <w:rsid w:val="043BD0B3"/>
    <w:rsid w:val="04AF6890"/>
    <w:rsid w:val="05DE70C7"/>
    <w:rsid w:val="0622C7E5"/>
    <w:rsid w:val="06BD138A"/>
    <w:rsid w:val="097BA092"/>
    <w:rsid w:val="0A5F5F27"/>
    <w:rsid w:val="0E240C1D"/>
    <w:rsid w:val="0FBC5C6A"/>
    <w:rsid w:val="10D04E5E"/>
    <w:rsid w:val="1175BF1C"/>
    <w:rsid w:val="11E240B2"/>
    <w:rsid w:val="12D1898C"/>
    <w:rsid w:val="148DCF9B"/>
    <w:rsid w:val="1519BDDA"/>
    <w:rsid w:val="166E1D40"/>
    <w:rsid w:val="16E09B59"/>
    <w:rsid w:val="199051F2"/>
    <w:rsid w:val="1A36692D"/>
    <w:rsid w:val="1C76D0CE"/>
    <w:rsid w:val="1CABDD17"/>
    <w:rsid w:val="1DABCB57"/>
    <w:rsid w:val="1DCED851"/>
    <w:rsid w:val="20F16F86"/>
    <w:rsid w:val="247CB59E"/>
    <w:rsid w:val="24C722CB"/>
    <w:rsid w:val="269ECCDE"/>
    <w:rsid w:val="274145B6"/>
    <w:rsid w:val="280C6754"/>
    <w:rsid w:val="286E7DF0"/>
    <w:rsid w:val="2A0517B8"/>
    <w:rsid w:val="2A4B67AD"/>
    <w:rsid w:val="2A986D24"/>
    <w:rsid w:val="2AAD11F4"/>
    <w:rsid w:val="2B331403"/>
    <w:rsid w:val="2B4B3DCF"/>
    <w:rsid w:val="2BAAC912"/>
    <w:rsid w:val="2CF57D21"/>
    <w:rsid w:val="2D0E53D8"/>
    <w:rsid w:val="2DFF9EE2"/>
    <w:rsid w:val="2E5F890A"/>
    <w:rsid w:val="2FB20EB4"/>
    <w:rsid w:val="2FD97EDB"/>
    <w:rsid w:val="3037469A"/>
    <w:rsid w:val="317339F0"/>
    <w:rsid w:val="332A382E"/>
    <w:rsid w:val="33393847"/>
    <w:rsid w:val="342AA1CD"/>
    <w:rsid w:val="35084D4E"/>
    <w:rsid w:val="367F9AD8"/>
    <w:rsid w:val="370B9A5B"/>
    <w:rsid w:val="3733F691"/>
    <w:rsid w:val="37BEFD0A"/>
    <w:rsid w:val="37EE38E8"/>
    <w:rsid w:val="3F8CF62B"/>
    <w:rsid w:val="409E3A21"/>
    <w:rsid w:val="42BF8C90"/>
    <w:rsid w:val="4459EFCE"/>
    <w:rsid w:val="44FB86FA"/>
    <w:rsid w:val="4571E7F0"/>
    <w:rsid w:val="45834974"/>
    <w:rsid w:val="470E8F2F"/>
    <w:rsid w:val="49F69863"/>
    <w:rsid w:val="4C3B9BB4"/>
    <w:rsid w:val="4D4BE461"/>
    <w:rsid w:val="4DED103B"/>
    <w:rsid w:val="4E1EC5B8"/>
    <w:rsid w:val="503269D5"/>
    <w:rsid w:val="51CA6026"/>
    <w:rsid w:val="531F1DA3"/>
    <w:rsid w:val="53412813"/>
    <w:rsid w:val="5445B071"/>
    <w:rsid w:val="553F0CF9"/>
    <w:rsid w:val="568375BD"/>
    <w:rsid w:val="5702A848"/>
    <w:rsid w:val="57EC9903"/>
    <w:rsid w:val="5981B7DE"/>
    <w:rsid w:val="5A1EF032"/>
    <w:rsid w:val="5B3E36C2"/>
    <w:rsid w:val="5CDB5C7A"/>
    <w:rsid w:val="5CE1B3E5"/>
    <w:rsid w:val="5D280B5B"/>
    <w:rsid w:val="5E124587"/>
    <w:rsid w:val="5E88D91F"/>
    <w:rsid w:val="60A28A42"/>
    <w:rsid w:val="6155C7F5"/>
    <w:rsid w:val="61991758"/>
    <w:rsid w:val="623A7205"/>
    <w:rsid w:val="626DF56B"/>
    <w:rsid w:val="6382CC04"/>
    <w:rsid w:val="651A1FD6"/>
    <w:rsid w:val="6565FDAA"/>
    <w:rsid w:val="673C6B91"/>
    <w:rsid w:val="695C1ADD"/>
    <w:rsid w:val="6A9FFAA4"/>
    <w:rsid w:val="6C5E21AA"/>
    <w:rsid w:val="6CBC47BB"/>
    <w:rsid w:val="6CD11670"/>
    <w:rsid w:val="6D3A1172"/>
    <w:rsid w:val="6EA072B1"/>
    <w:rsid w:val="70254922"/>
    <w:rsid w:val="71A39125"/>
    <w:rsid w:val="72875615"/>
    <w:rsid w:val="7396632D"/>
    <w:rsid w:val="73F30C5B"/>
    <w:rsid w:val="75CEA616"/>
    <w:rsid w:val="77580A0E"/>
    <w:rsid w:val="78A032AF"/>
    <w:rsid w:val="7964A2E0"/>
    <w:rsid w:val="79D06501"/>
    <w:rsid w:val="7A03B7A9"/>
    <w:rsid w:val="7A348EDB"/>
    <w:rsid w:val="7BB0D869"/>
    <w:rsid w:val="7BE44073"/>
    <w:rsid w:val="7E1C5184"/>
    <w:rsid w:val="7E956315"/>
    <w:rsid w:val="7FE748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AD7D4"/>
  <w15:chartTrackingRefBased/>
  <w15:docId w15:val="{FC82565A-1F53-4904-9781-736C42C3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qFormat/>
    <w:pPr>
      <w:keepNext/>
      <w:spacing w:line="720" w:lineRule="exact"/>
      <w:outlineLvl w:val="0"/>
    </w:pPr>
    <w:rPr>
      <w:color w:val="000000"/>
      <w:kern w:val="40"/>
      <w:sz w:val="72"/>
    </w:rPr>
  </w:style>
  <w:style w:type="paragraph" w:styleId="Heading2">
    <w:name w:val="heading 2"/>
    <w:basedOn w:val="Normal"/>
    <w:next w:val="Normal"/>
    <w:qFormat/>
    <w:pPr>
      <w:keepNext/>
      <w:spacing w:line="480" w:lineRule="exac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D13D75"/>
    <w:rPr>
      <w:rFonts w:ascii="Arial" w:hAnsi="Arial"/>
      <w:lang w:val="en-US" w:eastAsia="ja-JP"/>
    </w:rPr>
  </w:style>
  <w:style w:type="paragraph" w:styleId="NormalWeb">
    <w:name w:val="Normal (Web)"/>
    <w:basedOn w:val="Normal"/>
    <w:uiPriority w:val="99"/>
    <w:unhideWhenUsed/>
    <w:rsid w:val="00506DC0"/>
    <w:pPr>
      <w:spacing w:before="100" w:beforeAutospacing="1" w:after="100" w:afterAutospacing="1"/>
    </w:pPr>
    <w:rPr>
      <w:rFonts w:ascii="Times New Roman" w:hAnsi="Times New Roman"/>
      <w:sz w:val="24"/>
      <w:szCs w:val="24"/>
      <w:lang w:eastAsia="en-US"/>
    </w:rPr>
  </w:style>
  <w:style w:type="paragraph" w:customStyle="1" w:styleId="Default">
    <w:name w:val="Default"/>
    <w:rsid w:val="00506DC0"/>
    <w:pPr>
      <w:autoSpaceDE w:val="0"/>
      <w:autoSpaceDN w:val="0"/>
      <w:adjustRightInd w:val="0"/>
    </w:pPr>
    <w:rPr>
      <w:color w:val="000000"/>
      <w:sz w:val="24"/>
      <w:szCs w:val="24"/>
      <w:lang w:val="en-US"/>
    </w:rPr>
  </w:style>
  <w:style w:type="character" w:styleId="Hyperlink">
    <w:name w:val="Hyperlink"/>
    <w:basedOn w:val="DefaultParagraphFont"/>
    <w:uiPriority w:val="99"/>
    <w:unhideWhenUsed/>
    <w:rsid w:val="00506DC0"/>
    <w:rPr>
      <w:color w:val="0563C1" w:themeColor="hyperlink"/>
      <w:u w:val="single"/>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ascii="Arial" w:hAnsi="Arial"/>
      <w:lang w:val="en-US" w:eastAsia="ja-JP"/>
    </w:rPr>
  </w:style>
  <w:style w:type="character" w:styleId="CommentReference">
    <w:name w:val="annotation reference"/>
    <w:basedOn w:val="DefaultParagraphFont"/>
    <w:rPr>
      <w:sz w:val="16"/>
      <w:szCs w:val="16"/>
    </w:rPr>
  </w:style>
  <w:style w:type="paragraph" w:styleId="Revision">
    <w:name w:val="Revision"/>
    <w:hidden/>
    <w:uiPriority w:val="99"/>
    <w:semiHidden/>
    <w:rsid w:val="005A7A25"/>
    <w:rPr>
      <w:rFonts w:ascii="Arial" w:hAnsi="Arial"/>
      <w:lang w:val="en-US" w:eastAsia="ja-JP"/>
    </w:rPr>
  </w:style>
  <w:style w:type="paragraph" w:styleId="CommentSubject">
    <w:name w:val="annotation subject"/>
    <w:basedOn w:val="CommentText"/>
    <w:next w:val="CommentText"/>
    <w:link w:val="CommentSubjectChar"/>
    <w:rsid w:val="0054632F"/>
    <w:rPr>
      <w:b/>
      <w:bCs/>
    </w:rPr>
  </w:style>
  <w:style w:type="character" w:customStyle="1" w:styleId="CommentSubjectChar">
    <w:name w:val="Comment Subject Char"/>
    <w:basedOn w:val="CommentTextChar"/>
    <w:link w:val="CommentSubject"/>
    <w:rsid w:val="0054632F"/>
    <w:rPr>
      <w:rFonts w:ascii="Arial" w:hAnsi="Arial"/>
      <w:b/>
      <w:bCs/>
      <w:lang w:val="en-US" w:eastAsia="ja-JP"/>
    </w:rPr>
  </w:style>
  <w:style w:type="character" w:styleId="FollowedHyperlink">
    <w:name w:val="FollowedHyperlink"/>
    <w:basedOn w:val="DefaultParagraphFont"/>
    <w:rsid w:val="00834D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ubrizo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lubrizol.com/industries/healthcare/pharmaceuticals/patient-centric-solutions?utm_campaign=Patient-Centric-Solutions&amp;utm_source=Lubrizol&amp;utm_medium=paid-placement&amp;utm_content=Lubrizol&amp;utm_agency=grey"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Props1.xml><?xml version="1.0" encoding="utf-8"?>
<ds:datastoreItem xmlns:ds="http://schemas.openxmlformats.org/officeDocument/2006/customXml" ds:itemID="{07C31F8C-B891-4F7B-936D-23AD3B93AC32}">
  <ds:schemaRefs>
    <ds:schemaRef ds:uri="http://schemas.microsoft.com/sharepoint/v3/contenttype/forms"/>
  </ds:schemaRefs>
</ds:datastoreItem>
</file>

<file path=customXml/itemProps2.xml><?xml version="1.0" encoding="utf-8"?>
<ds:datastoreItem xmlns:ds="http://schemas.openxmlformats.org/officeDocument/2006/customXml" ds:itemID="{CDE95607-4854-4B3F-BCFB-7F46B13F9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1E319-F8F4-4C09-8B2C-41FFFE16ECC3}">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437</Words>
  <Characters>2491</Characters>
  <Application>Microsoft Office Word</Application>
  <DocSecurity>0</DocSecurity>
  <Lines>20</Lines>
  <Paragraphs>5</Paragraphs>
  <ScaleCrop>false</ScaleCrop>
  <Company>Lubrizol</Company>
  <LinksUpToDate>false</LinksUpToDate>
  <CharactersWithSpaces>2923</CharactersWithSpaces>
  <SharedDoc>false</SharedDoc>
  <HLinks>
    <vt:vector size="12" baseType="variant">
      <vt:variant>
        <vt:i4>5701641</vt:i4>
      </vt:variant>
      <vt:variant>
        <vt:i4>3</vt:i4>
      </vt:variant>
      <vt:variant>
        <vt:i4>0</vt:i4>
      </vt:variant>
      <vt:variant>
        <vt:i4>5</vt:i4>
      </vt:variant>
      <vt:variant>
        <vt:lpwstr>https://www.lubrizol.com/</vt:lpwstr>
      </vt:variant>
      <vt:variant>
        <vt:lpwstr/>
      </vt:variant>
      <vt:variant>
        <vt:i4>65598</vt:i4>
      </vt:variant>
      <vt:variant>
        <vt:i4>0</vt:i4>
      </vt:variant>
      <vt:variant>
        <vt:i4>0</vt:i4>
      </vt:variant>
      <vt:variant>
        <vt:i4>5</vt:i4>
      </vt:variant>
      <vt:variant>
        <vt:lpwstr>https://www.lubrizol.com/industries/healthcare/pharmaceuticals/patient-centric-solutions?utm_campaign=Patient-Centric-Solutions&amp;utm_source=Lubrizol&amp;utm_medium=paid-placement&amp;utm_content=Lubrizol&amp;utm_agency=grey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Interoffice Memorandum</dc:title>
  <dc:subject/>
  <dc:creator>Microsoft Office User</dc:creator>
  <cp:keywords/>
  <dc:description/>
  <cp:lastModifiedBy>Steve Harman</cp:lastModifiedBy>
  <cp:revision>3</cp:revision>
  <cp:lastPrinted>2026-06-18T14:46:00Z</cp:lastPrinted>
  <dcterms:created xsi:type="dcterms:W3CDTF">2026-06-18T14:46:00Z</dcterms:created>
  <dcterms:modified xsi:type="dcterms:W3CDTF">2026-06-18T14:48:00Z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words0">
    <vt:lpwstr>Business Letterhead</vt:lpwstr>
  </property>
  <property fmtid="{D5CDD505-2E9C-101B-9397-08002B2CF9AE}" pid="3" name="Division">
    <vt:lpwstr/>
  </property>
  <property fmtid="{D5CDD505-2E9C-101B-9397-08002B2CF9AE}" pid="4" name="Form/Template Subtype">
    <vt:lpwstr/>
  </property>
  <property fmtid="{D5CDD505-2E9C-101B-9397-08002B2CF9AE}" pid="5" name="Cluster">
    <vt:lpwstr/>
  </property>
  <property fmtid="{D5CDD505-2E9C-101B-9397-08002B2CF9AE}" pid="6" name="Description0">
    <vt:lpwstr>Business Letterhead</vt:lpwstr>
  </property>
  <property fmtid="{D5CDD505-2E9C-101B-9397-08002B2CF9AE}" pid="7" name="Location">
    <vt:lpwstr>All</vt:lpwstr>
  </property>
  <property fmtid="{D5CDD505-2E9C-101B-9397-08002B2CF9AE}" pid="8" name="Language">
    <vt:lpwstr/>
  </property>
  <property fmtid="{D5CDD505-2E9C-101B-9397-08002B2CF9AE}" pid="9" name="Equipment Type">
    <vt:lpwstr/>
  </property>
  <property fmtid="{D5CDD505-2E9C-101B-9397-08002B2CF9AE}" pid="10" name="Title0">
    <vt:lpwstr>Business Letterhead</vt:lpwstr>
  </property>
  <property fmtid="{D5CDD505-2E9C-101B-9397-08002B2CF9AE}" pid="11" name="Author0">
    <vt:lpwstr>Clegg, Karen</vt:lpwstr>
  </property>
  <property fmtid="{D5CDD505-2E9C-101B-9397-08002B2CF9AE}" pid="12" name="Document Type">
    <vt:lpwstr>Template</vt:lpwstr>
  </property>
  <property fmtid="{D5CDD505-2E9C-101B-9397-08002B2CF9AE}" pid="13" name="Geographical Region">
    <vt:lpwstr/>
  </property>
  <property fmtid="{D5CDD505-2E9C-101B-9397-08002B2CF9AE}" pid="14" name="Business Segment">
    <vt:lpwstr/>
  </property>
  <property fmtid="{D5CDD505-2E9C-101B-9397-08002B2CF9AE}" pid="15" name="Form/Template Type">
    <vt:lpwstr/>
  </property>
  <property fmtid="{D5CDD505-2E9C-101B-9397-08002B2CF9AE}" pid="16" name="ContentTypeId">
    <vt:lpwstr>0x010100E61FCAE1430C0D41B3840ADAA7397EA2</vt:lpwstr>
  </property>
  <property fmtid="{D5CDD505-2E9C-101B-9397-08002B2CF9AE}" pid="17" name="MediaServiceImageTags">
    <vt:lpwstr/>
  </property>
  <property fmtid="{D5CDD505-2E9C-101B-9397-08002B2CF9AE}" pid="18" name="_dlc_DocIdItemGuid">
    <vt:lpwstr>d41182da-de4c-4b7b-a4ee-8730a5760609</vt:lpwstr>
  </property>
  <property fmtid="{D5CDD505-2E9C-101B-9397-08002B2CF9AE}" pid="19" name="GrammarlyDocumentId">
    <vt:lpwstr>fa8605227d98e60f0c62a756dadf99c069aad18955665b2798f3d2ba6bdbcfaa</vt:lpwstr>
  </property>
  <property fmtid="{D5CDD505-2E9C-101B-9397-08002B2CF9AE}" pid="20" name="ClassificationContentMarkingFooterShapeIds">
    <vt:lpwstr>652da4c0,69e3cd7,21bcd7d6</vt:lpwstr>
  </property>
  <property fmtid="{D5CDD505-2E9C-101B-9397-08002B2CF9AE}" pid="21" name="ClassificationContentMarkingFooterFontProps">
    <vt:lpwstr>#000000,10,Aptos</vt:lpwstr>
  </property>
  <property fmtid="{D5CDD505-2E9C-101B-9397-08002B2CF9AE}" pid="22" name="ClassificationContentMarkingFooterText">
    <vt:lpwstr>Lubrizol Confidential</vt:lpwstr>
  </property>
  <property fmtid="{D5CDD505-2E9C-101B-9397-08002B2CF9AE}" pid="23" name="MSIP_Label_babff79a-2244-4cab-a4c2-20458f54f939_Enabled">
    <vt:lpwstr>true</vt:lpwstr>
  </property>
  <property fmtid="{D5CDD505-2E9C-101B-9397-08002B2CF9AE}" pid="24" name="MSIP_Label_babff79a-2244-4cab-a4c2-20458f54f939_SetDate">
    <vt:lpwstr>2026-06-16T20:26:27Z</vt:lpwstr>
  </property>
  <property fmtid="{D5CDD505-2E9C-101B-9397-08002B2CF9AE}" pid="25" name="MSIP_Label_babff79a-2244-4cab-a4c2-20458f54f939_Method">
    <vt:lpwstr>Standard</vt:lpwstr>
  </property>
  <property fmtid="{D5CDD505-2E9C-101B-9397-08002B2CF9AE}" pid="26" name="MSIP_Label_babff79a-2244-4cab-a4c2-20458f54f939_Name">
    <vt:lpwstr>babff79a-2244-4cab-a4c2-20458f54f939</vt:lpwstr>
  </property>
  <property fmtid="{D5CDD505-2E9C-101B-9397-08002B2CF9AE}" pid="27" name="MSIP_Label_babff79a-2244-4cab-a4c2-20458f54f939_SiteId">
    <vt:lpwstr>311c6d14-3b16-4343-b048-f275178f8604</vt:lpwstr>
  </property>
  <property fmtid="{D5CDD505-2E9C-101B-9397-08002B2CF9AE}" pid="28" name="MSIP_Label_babff79a-2244-4cab-a4c2-20458f54f939_ActionId">
    <vt:lpwstr>98b28f25-0524-4a1b-a784-8eb57180ced7</vt:lpwstr>
  </property>
  <property fmtid="{D5CDD505-2E9C-101B-9397-08002B2CF9AE}" pid="29" name="MSIP_Label_babff79a-2244-4cab-a4c2-20458f54f939_ContentBits">
    <vt:lpwstr>2</vt:lpwstr>
  </property>
  <property fmtid="{D5CDD505-2E9C-101B-9397-08002B2CF9AE}" pid="30" name="MSIP_Label_babff79a-2244-4cab-a4c2-20458f54f939_Tag">
    <vt:lpwstr>10, 3, 0, 1</vt:lpwstr>
  </property>
</Properties>
</file>