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spacing w:after="180"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03">
      <w:pPr>
        <w:spacing w:after="180" w:lineRule="auto"/>
        <w:ind w:left="720" w:firstLine="0"/>
        <w:jc w:val="center"/>
        <w:rPr>
          <w:b w:val="1"/>
          <w:sz w:val="24"/>
          <w:szCs w:val="24"/>
        </w:rPr>
      </w:pPr>
      <w:r w:rsidDel="00000000" w:rsidR="00000000" w:rsidRPr="00000000">
        <w:rPr>
          <w:b w:val="1"/>
          <w:sz w:val="24"/>
          <w:szCs w:val="24"/>
          <w:rtl w:val="0"/>
        </w:rPr>
        <w:t xml:space="preserve">C&amp;A REAFIRMA SU COMPROMISO HACIA LA SUSTENTABILIDAD EN EL ÍNDICE DE TRANSPARENCIA DE LA MODA EN MÉXICO 2020</w:t>
      </w:r>
    </w:p>
    <w:p w:rsidR="00000000" w:rsidDel="00000000" w:rsidP="00000000" w:rsidRDefault="00000000" w:rsidRPr="00000000" w14:paraId="00000004">
      <w:pPr>
        <w:spacing w:line="276" w:lineRule="auto"/>
        <w:ind w:left="720"/>
        <w:jc w:val="both"/>
        <w:rPr>
          <w:b w:val="1"/>
        </w:rPr>
      </w:pPr>
      <w:r w:rsidDel="00000000" w:rsidR="00000000" w:rsidRPr="00000000">
        <w:rPr>
          <w:rtl w:val="0"/>
        </w:rPr>
      </w:r>
    </w:p>
    <w:p w:rsidR="00000000" w:rsidDel="00000000" w:rsidP="00000000" w:rsidRDefault="00000000" w:rsidRPr="00000000" w14:paraId="00000005">
      <w:pPr>
        <w:spacing w:line="276" w:lineRule="auto"/>
        <w:jc w:val="both"/>
        <w:rPr>
          <w:sz w:val="24"/>
          <w:szCs w:val="24"/>
        </w:rPr>
      </w:pPr>
      <w:r w:rsidDel="00000000" w:rsidR="00000000" w:rsidRPr="00000000">
        <w:rPr>
          <w:b w:val="1"/>
          <w:sz w:val="24"/>
          <w:szCs w:val="24"/>
          <w:rtl w:val="0"/>
        </w:rPr>
        <w:t xml:space="preserve">Ciudad de México, 17 de diciembre del 2020 – </w:t>
      </w:r>
      <w:r w:rsidDel="00000000" w:rsidR="00000000" w:rsidRPr="00000000">
        <w:rPr>
          <w:sz w:val="24"/>
          <w:szCs w:val="24"/>
          <w:rtl w:val="0"/>
        </w:rPr>
        <w:t xml:space="preserve">En </w:t>
      </w:r>
      <w:r w:rsidDel="00000000" w:rsidR="00000000" w:rsidRPr="00000000">
        <w:rPr>
          <w:b w:val="1"/>
          <w:sz w:val="24"/>
          <w:szCs w:val="24"/>
          <w:rtl w:val="0"/>
        </w:rPr>
        <w:t xml:space="preserve">C&amp;A</w:t>
      </w:r>
      <w:r w:rsidDel="00000000" w:rsidR="00000000" w:rsidRPr="00000000">
        <w:rPr>
          <w:sz w:val="24"/>
          <w:szCs w:val="24"/>
          <w:rtl w:val="0"/>
        </w:rPr>
        <w:t xml:space="preserve">, nos distinguimos por crear moda accesible de manera responsable con prácticas sustentables. Para lograrlo, la transparencia es un valor esencial. Por esa razón, participamos en el Índice de Transparencia de la Moda en México 2020, una herramienta </w:t>
      </w:r>
      <w:r w:rsidDel="00000000" w:rsidR="00000000" w:rsidRPr="00000000">
        <w:rPr>
          <w:color w:val="3c4043"/>
          <w:sz w:val="24"/>
          <w:szCs w:val="24"/>
          <w:highlight w:val="white"/>
          <w:rtl w:val="0"/>
        </w:rPr>
        <w:t xml:space="preserve">que promueve la transparencia de las </w:t>
      </w:r>
      <w:r w:rsidDel="00000000" w:rsidR="00000000" w:rsidRPr="00000000">
        <w:rPr>
          <w:sz w:val="24"/>
          <w:szCs w:val="24"/>
          <w:highlight w:val="white"/>
          <w:rtl w:val="0"/>
        </w:rPr>
        <w:t xml:space="preserve">marcas y empresas de la moda en nuestro país, y que tiene como objetivo contribuir a mejorar la calidad de vida de los trabajadores involucrados en la industria, estimular la seguridad, trazabilidad y la justicia social y ambiental.</w:t>
      </w:r>
      <w:r w:rsidDel="00000000" w:rsidR="00000000" w:rsidRPr="00000000">
        <w:rPr>
          <w:rtl w:val="0"/>
        </w:rPr>
      </w:r>
    </w:p>
    <w:p w:rsidR="00000000" w:rsidDel="00000000" w:rsidP="00000000" w:rsidRDefault="00000000" w:rsidRPr="00000000" w14:paraId="00000006">
      <w:pPr>
        <w:spacing w:line="276" w:lineRule="auto"/>
        <w:jc w:val="both"/>
        <w:rPr>
          <w:sz w:val="24"/>
          <w:szCs w:val="24"/>
        </w:rPr>
      </w:pPr>
      <w:r w:rsidDel="00000000" w:rsidR="00000000" w:rsidRPr="00000000">
        <w:rPr>
          <w:rtl w:val="0"/>
        </w:rPr>
      </w:r>
    </w:p>
    <w:p w:rsidR="00000000" w:rsidDel="00000000" w:rsidP="00000000" w:rsidRDefault="00000000" w:rsidRPr="00000000" w14:paraId="00000007">
      <w:pPr>
        <w:spacing w:line="276" w:lineRule="auto"/>
        <w:jc w:val="both"/>
        <w:rPr>
          <w:sz w:val="24"/>
          <w:szCs w:val="24"/>
        </w:rPr>
      </w:pPr>
      <w:r w:rsidDel="00000000" w:rsidR="00000000" w:rsidRPr="00000000">
        <w:rPr>
          <w:sz w:val="24"/>
          <w:szCs w:val="24"/>
          <w:rtl w:val="0"/>
        </w:rPr>
        <w:t xml:space="preserve">En su primera edición para México, esta herramienta fue gestionada durante el periodo febrero-diciembre de 2020 por </w:t>
      </w:r>
      <w:r w:rsidDel="00000000" w:rsidR="00000000" w:rsidRPr="00000000">
        <w:rPr>
          <w:b w:val="1"/>
          <w:sz w:val="24"/>
          <w:szCs w:val="24"/>
          <w:rtl w:val="0"/>
        </w:rPr>
        <w:t xml:space="preserve">Fashion Revolution México </w:t>
      </w:r>
      <w:r w:rsidDel="00000000" w:rsidR="00000000" w:rsidRPr="00000000">
        <w:rPr>
          <w:sz w:val="24"/>
          <w:szCs w:val="24"/>
          <w:rtl w:val="0"/>
        </w:rPr>
        <w:t xml:space="preserve">y </w:t>
      </w:r>
      <w:r w:rsidDel="00000000" w:rsidR="00000000" w:rsidRPr="00000000">
        <w:rPr>
          <w:b w:val="1"/>
          <w:sz w:val="24"/>
          <w:szCs w:val="24"/>
          <w:rtl w:val="0"/>
        </w:rPr>
        <w:t xml:space="preserve">Arlenica </w:t>
      </w:r>
      <w:r w:rsidDel="00000000" w:rsidR="00000000" w:rsidRPr="00000000">
        <w:rPr>
          <w:sz w:val="24"/>
          <w:szCs w:val="24"/>
          <w:rtl w:val="0"/>
        </w:rPr>
        <w:t xml:space="preserve">(Arte, Lenguaje e Investigación para el Cambio Social, A.C.), analizando la divulgación pública de 20 marcas mexicanas en cuanto a datos</w:t>
      </w:r>
      <w:r w:rsidDel="00000000" w:rsidR="00000000" w:rsidRPr="00000000">
        <w:rPr>
          <w:sz w:val="24"/>
          <w:szCs w:val="24"/>
          <w:rtl w:val="0"/>
        </w:rPr>
        <w:t xml:space="preserve"> e información </w:t>
      </w:r>
      <w:r w:rsidDel="00000000" w:rsidR="00000000" w:rsidRPr="00000000">
        <w:rPr>
          <w:sz w:val="24"/>
          <w:szCs w:val="24"/>
          <w:highlight w:val="white"/>
          <w:rtl w:val="0"/>
        </w:rPr>
        <w:t xml:space="preserve">creíble, completa y comparable sobre las políticas, las prácticas y las repercusiones sociales y ambientales de las empresas a lo largo de su cadena de valor.</w:t>
      </w:r>
      <w:r w:rsidDel="00000000" w:rsidR="00000000" w:rsidRPr="00000000">
        <w:rPr>
          <w:sz w:val="24"/>
          <w:szCs w:val="24"/>
          <w:rtl w:val="0"/>
        </w:rPr>
        <w:t xml:space="preserve"> </w:t>
      </w:r>
    </w:p>
    <w:p w:rsidR="00000000" w:rsidDel="00000000" w:rsidP="00000000" w:rsidRDefault="00000000" w:rsidRPr="00000000" w14:paraId="00000008">
      <w:pPr>
        <w:spacing w:line="276" w:lineRule="auto"/>
        <w:jc w:val="both"/>
        <w:rPr>
          <w:sz w:val="24"/>
          <w:szCs w:val="24"/>
        </w:rPr>
      </w:pPr>
      <w:r w:rsidDel="00000000" w:rsidR="00000000" w:rsidRPr="00000000">
        <w:rPr>
          <w:rtl w:val="0"/>
        </w:rPr>
      </w:r>
    </w:p>
    <w:p w:rsidR="00000000" w:rsidDel="00000000" w:rsidP="00000000" w:rsidRDefault="00000000" w:rsidRPr="00000000" w14:paraId="00000009">
      <w:pPr>
        <w:spacing w:line="276" w:lineRule="auto"/>
        <w:jc w:val="both"/>
        <w:rPr>
          <w:sz w:val="24"/>
          <w:szCs w:val="24"/>
        </w:rPr>
      </w:pPr>
      <w:r w:rsidDel="00000000" w:rsidR="00000000" w:rsidRPr="00000000">
        <w:rPr>
          <w:sz w:val="24"/>
          <w:szCs w:val="24"/>
          <w:rtl w:val="0"/>
        </w:rPr>
        <w:t xml:space="preserve">Esta evaluación se realizó a través de un cuestionario escrito, el cual se dividió en cinco secciones: </w:t>
      </w:r>
    </w:p>
    <w:p w:rsidR="00000000" w:rsidDel="00000000" w:rsidP="00000000" w:rsidRDefault="00000000" w:rsidRPr="00000000" w14:paraId="0000000A">
      <w:pPr>
        <w:spacing w:line="276" w:lineRule="auto"/>
        <w:jc w:val="both"/>
        <w:rPr>
          <w:sz w:val="24"/>
          <w:szCs w:val="24"/>
        </w:rPr>
      </w:pPr>
      <w:r w:rsidDel="00000000" w:rsidR="00000000" w:rsidRPr="00000000">
        <w:rPr>
          <w:rtl w:val="0"/>
        </w:rPr>
      </w:r>
    </w:p>
    <w:p w:rsidR="00000000" w:rsidDel="00000000" w:rsidP="00000000" w:rsidRDefault="00000000" w:rsidRPr="00000000" w14:paraId="0000000B">
      <w:pPr>
        <w:numPr>
          <w:ilvl w:val="0"/>
          <w:numId w:val="2"/>
        </w:numPr>
        <w:spacing w:line="276" w:lineRule="auto"/>
        <w:ind w:left="720" w:hanging="360"/>
        <w:jc w:val="both"/>
        <w:rPr>
          <w:sz w:val="24"/>
          <w:szCs w:val="24"/>
        </w:rPr>
      </w:pPr>
      <w:r w:rsidDel="00000000" w:rsidR="00000000" w:rsidRPr="00000000">
        <w:rPr>
          <w:b w:val="1"/>
          <w:sz w:val="24"/>
          <w:szCs w:val="24"/>
          <w:rtl w:val="0"/>
        </w:rPr>
        <w:t xml:space="preserve">Políticas y Compromisos</w:t>
      </w:r>
      <w:r w:rsidDel="00000000" w:rsidR="00000000" w:rsidRPr="00000000">
        <w:rPr>
          <w:sz w:val="24"/>
          <w:szCs w:val="24"/>
          <w:rtl w:val="0"/>
        </w:rPr>
        <w:t xml:space="preserve">: Disponibilidad pública de la información sobre las políticas de la empresa sobre derechos humanos y medio ambiente.</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C">
      <w:pPr>
        <w:numPr>
          <w:ilvl w:val="0"/>
          <w:numId w:val="2"/>
        </w:numPr>
        <w:spacing w:line="276" w:lineRule="auto"/>
        <w:ind w:left="720" w:hanging="360"/>
        <w:jc w:val="both"/>
        <w:rPr>
          <w:b w:val="1"/>
          <w:sz w:val="24"/>
          <w:szCs w:val="24"/>
        </w:rPr>
      </w:pPr>
      <w:r w:rsidDel="00000000" w:rsidR="00000000" w:rsidRPr="00000000">
        <w:rPr>
          <w:b w:val="1"/>
          <w:sz w:val="24"/>
          <w:szCs w:val="24"/>
          <w:rtl w:val="0"/>
        </w:rPr>
        <w:t xml:space="preserve">Gobernanza: </w:t>
      </w:r>
      <w:r w:rsidDel="00000000" w:rsidR="00000000" w:rsidRPr="00000000">
        <w:rPr>
          <w:sz w:val="24"/>
          <w:szCs w:val="24"/>
          <w:rtl w:val="0"/>
        </w:rPr>
        <w:t xml:space="preserve">Disponibilidad pública de información sobre los cargos y comités dentro de las empresas que son responsables de temas como derechos humanos, medio ambiente y el aseguramiento de ambos en procesos tales como la compra de suministros.</w:t>
      </w: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jc w:val="both"/>
        <w:rPr>
          <w:b w:val="1"/>
          <w:sz w:val="24"/>
          <w:szCs w:val="24"/>
        </w:rPr>
      </w:pPr>
      <w:r w:rsidDel="00000000" w:rsidR="00000000" w:rsidRPr="00000000">
        <w:rPr>
          <w:b w:val="1"/>
          <w:sz w:val="24"/>
          <w:szCs w:val="24"/>
          <w:rtl w:val="0"/>
        </w:rPr>
        <w:t xml:space="preserve">Trazabilidad: </w:t>
      </w:r>
      <w:r w:rsidDel="00000000" w:rsidR="00000000" w:rsidRPr="00000000">
        <w:rPr>
          <w:sz w:val="24"/>
          <w:szCs w:val="24"/>
          <w:rtl w:val="0"/>
        </w:rPr>
        <w:t xml:space="preserve">Protocolos necesarios para visibilizar la proveniencia de insumos en la producción de moda y conocer tanto prácticas medioambientales como la situación laboral de quienes proveen dichos insumos.</w:t>
      </w:r>
      <w:r w:rsidDel="00000000" w:rsidR="00000000" w:rsidRPr="00000000">
        <w:rPr>
          <w:rtl w:val="0"/>
        </w:rPr>
      </w:r>
    </w:p>
    <w:p w:rsidR="00000000" w:rsidDel="00000000" w:rsidP="00000000" w:rsidRDefault="00000000" w:rsidRPr="00000000" w14:paraId="0000000E">
      <w:pPr>
        <w:numPr>
          <w:ilvl w:val="0"/>
          <w:numId w:val="2"/>
        </w:numPr>
        <w:spacing w:line="276" w:lineRule="auto"/>
        <w:ind w:left="720" w:hanging="360"/>
        <w:jc w:val="both"/>
        <w:rPr>
          <w:sz w:val="24"/>
          <w:szCs w:val="24"/>
        </w:rPr>
      </w:pPr>
      <w:r w:rsidDel="00000000" w:rsidR="00000000" w:rsidRPr="00000000">
        <w:rPr>
          <w:b w:val="1"/>
          <w:i w:val="1"/>
          <w:sz w:val="24"/>
          <w:szCs w:val="24"/>
          <w:rtl w:val="0"/>
        </w:rPr>
        <w:t xml:space="preserve">Due-Diligence</w:t>
      </w:r>
      <w:r w:rsidDel="00000000" w:rsidR="00000000" w:rsidRPr="00000000">
        <w:rPr>
          <w:sz w:val="24"/>
          <w:szCs w:val="24"/>
          <w:rtl w:val="0"/>
        </w:rPr>
        <w:t xml:space="preserve">: Mecanismos empresariales para conocer, mostrar y arreglar riesgos e impactos negativos en su cadena de suministro.</w:t>
      </w:r>
    </w:p>
    <w:p w:rsidR="00000000" w:rsidDel="00000000" w:rsidP="00000000" w:rsidRDefault="00000000" w:rsidRPr="00000000" w14:paraId="0000000F">
      <w:pPr>
        <w:numPr>
          <w:ilvl w:val="0"/>
          <w:numId w:val="2"/>
        </w:numPr>
        <w:spacing w:line="276" w:lineRule="auto"/>
        <w:ind w:left="720" w:hanging="360"/>
        <w:jc w:val="both"/>
        <w:rPr>
          <w:sz w:val="24"/>
          <w:szCs w:val="24"/>
        </w:rPr>
      </w:pPr>
      <w:r w:rsidDel="00000000" w:rsidR="00000000" w:rsidRPr="00000000">
        <w:rPr>
          <w:b w:val="1"/>
          <w:sz w:val="24"/>
          <w:szCs w:val="24"/>
          <w:rtl w:val="0"/>
        </w:rPr>
        <w:t xml:space="preserve">Temáticas Destacadas:</w:t>
      </w:r>
      <w:r w:rsidDel="00000000" w:rsidR="00000000" w:rsidRPr="00000000">
        <w:rPr>
          <w:sz w:val="24"/>
          <w:szCs w:val="24"/>
          <w:rtl w:val="0"/>
        </w:rPr>
        <w:t xml:space="preserve"> Asuntos como cambio climático, equidad de género y prácticas de compra, entre otros. </w:t>
      </w:r>
    </w:p>
    <w:p w:rsidR="00000000" w:rsidDel="00000000" w:rsidP="00000000" w:rsidRDefault="00000000" w:rsidRPr="00000000" w14:paraId="00000010">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1">
      <w:pPr>
        <w:spacing w:line="276" w:lineRule="auto"/>
        <w:jc w:val="both"/>
        <w:rPr>
          <w:sz w:val="24"/>
          <w:szCs w:val="24"/>
        </w:rPr>
      </w:pPr>
      <w:r w:rsidDel="00000000" w:rsidR="00000000" w:rsidRPr="00000000">
        <w:rPr>
          <w:rtl w:val="0"/>
        </w:rPr>
      </w:r>
    </w:p>
    <w:p w:rsidR="00000000" w:rsidDel="00000000" w:rsidP="00000000" w:rsidRDefault="00000000" w:rsidRPr="00000000" w14:paraId="00000012">
      <w:pPr>
        <w:widowControl w:val="0"/>
        <w:spacing w:line="276" w:lineRule="auto"/>
        <w:jc w:val="both"/>
        <w:rPr>
          <w:sz w:val="24"/>
          <w:szCs w:val="24"/>
        </w:rPr>
      </w:pPr>
      <w:r w:rsidDel="00000000" w:rsidR="00000000" w:rsidRPr="00000000">
        <w:rPr>
          <w:sz w:val="24"/>
          <w:szCs w:val="24"/>
          <w:rtl w:val="0"/>
        </w:rPr>
        <w:t xml:space="preserve">“Participar en el Índice de Transparencia de la Moda en México no solo nos permite evaluar nuestras buenas prácticas, sino conocer nuestras áreas de oportunidad y trabajar en ellas para seguir creando moda accesible de manera responsable”, </w:t>
      </w:r>
      <w:r w:rsidDel="00000000" w:rsidR="00000000" w:rsidRPr="00000000">
        <w:rPr>
          <w:sz w:val="24"/>
          <w:szCs w:val="24"/>
          <w:highlight w:val="white"/>
          <w:rtl w:val="0"/>
        </w:rPr>
        <w:t xml:space="preserve">expresó Alejandra Sánchez, Líder de Sustentabilidad de</w:t>
      </w:r>
      <w:r w:rsidDel="00000000" w:rsidR="00000000" w:rsidRPr="00000000">
        <w:rPr>
          <w:b w:val="1"/>
          <w:sz w:val="24"/>
          <w:szCs w:val="24"/>
          <w:highlight w:val="white"/>
          <w:rtl w:val="0"/>
        </w:rPr>
        <w:t xml:space="preserve"> C&amp;A </w:t>
      </w:r>
      <w:r w:rsidDel="00000000" w:rsidR="00000000" w:rsidRPr="00000000">
        <w:rPr>
          <w:sz w:val="24"/>
          <w:szCs w:val="24"/>
          <w:highlight w:val="white"/>
          <w:rtl w:val="0"/>
        </w:rPr>
        <w:t xml:space="preserve">México.</w:t>
      </w:r>
      <w:r w:rsidDel="00000000" w:rsidR="00000000" w:rsidRPr="00000000">
        <w:rPr>
          <w:rtl w:val="0"/>
        </w:rPr>
      </w:r>
    </w:p>
    <w:p w:rsidR="00000000" w:rsidDel="00000000" w:rsidP="00000000" w:rsidRDefault="00000000" w:rsidRPr="00000000" w14:paraId="0000001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4">
      <w:pPr>
        <w:spacing w:line="276" w:lineRule="auto"/>
        <w:ind w:left="0" w:firstLine="0"/>
        <w:jc w:val="both"/>
        <w:rPr>
          <w:sz w:val="24"/>
          <w:szCs w:val="24"/>
        </w:rPr>
      </w:pPr>
      <w:r w:rsidDel="00000000" w:rsidR="00000000" w:rsidRPr="00000000">
        <w:rPr>
          <w:sz w:val="24"/>
          <w:szCs w:val="24"/>
          <w:rtl w:val="0"/>
        </w:rPr>
        <w:t xml:space="preserve">En un promedio general, </w:t>
      </w:r>
      <w:r w:rsidDel="00000000" w:rsidR="00000000" w:rsidRPr="00000000">
        <w:rPr>
          <w:b w:val="1"/>
          <w:sz w:val="24"/>
          <w:szCs w:val="24"/>
          <w:rtl w:val="0"/>
        </w:rPr>
        <w:t xml:space="preserve">C&amp;A </w:t>
      </w:r>
      <w:r w:rsidDel="00000000" w:rsidR="00000000" w:rsidRPr="00000000">
        <w:rPr>
          <w:sz w:val="24"/>
          <w:szCs w:val="24"/>
          <w:rtl w:val="0"/>
        </w:rPr>
        <w:t xml:space="preserve">logró un puntaje del 68% colocándose en el primer lugar del índice obteniendo las siguientes puntuaciones en las cinco diferentes secciones del cuestionario:</w:t>
      </w:r>
    </w:p>
    <w:p w:rsidR="00000000" w:rsidDel="00000000" w:rsidP="00000000" w:rsidRDefault="00000000" w:rsidRPr="00000000" w14:paraId="00000015">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jc w:val="both"/>
        <w:rPr>
          <w:sz w:val="24"/>
          <w:szCs w:val="24"/>
          <w:u w:val="none"/>
        </w:rPr>
      </w:pPr>
      <w:r w:rsidDel="00000000" w:rsidR="00000000" w:rsidRPr="00000000">
        <w:rPr>
          <w:b w:val="1"/>
          <w:sz w:val="24"/>
          <w:szCs w:val="24"/>
          <w:rtl w:val="0"/>
        </w:rPr>
        <w:t xml:space="preserve">Políticas y Compromisos: </w:t>
      </w:r>
      <w:r w:rsidDel="00000000" w:rsidR="00000000" w:rsidRPr="00000000">
        <w:rPr>
          <w:sz w:val="24"/>
          <w:szCs w:val="24"/>
          <w:rtl w:val="0"/>
        </w:rPr>
        <w:t xml:space="preserve">92%</w:t>
      </w:r>
    </w:p>
    <w:p w:rsidR="00000000" w:rsidDel="00000000" w:rsidP="00000000" w:rsidRDefault="00000000" w:rsidRPr="00000000" w14:paraId="00000017">
      <w:pPr>
        <w:numPr>
          <w:ilvl w:val="0"/>
          <w:numId w:val="1"/>
        </w:numPr>
        <w:spacing w:line="276" w:lineRule="auto"/>
        <w:ind w:left="720" w:hanging="360"/>
        <w:jc w:val="both"/>
        <w:rPr>
          <w:sz w:val="24"/>
          <w:szCs w:val="24"/>
          <w:u w:val="none"/>
        </w:rPr>
      </w:pPr>
      <w:r w:rsidDel="00000000" w:rsidR="00000000" w:rsidRPr="00000000">
        <w:rPr>
          <w:b w:val="1"/>
          <w:sz w:val="24"/>
          <w:szCs w:val="24"/>
          <w:rtl w:val="0"/>
        </w:rPr>
        <w:t xml:space="preserve">Gobernanza: </w:t>
      </w:r>
      <w:r w:rsidDel="00000000" w:rsidR="00000000" w:rsidRPr="00000000">
        <w:rPr>
          <w:sz w:val="24"/>
          <w:szCs w:val="24"/>
          <w:rtl w:val="0"/>
        </w:rPr>
        <w:t xml:space="preserve">100%</w:t>
      </w:r>
    </w:p>
    <w:p w:rsidR="00000000" w:rsidDel="00000000" w:rsidP="00000000" w:rsidRDefault="00000000" w:rsidRPr="00000000" w14:paraId="00000018">
      <w:pPr>
        <w:numPr>
          <w:ilvl w:val="0"/>
          <w:numId w:val="1"/>
        </w:numPr>
        <w:spacing w:line="276" w:lineRule="auto"/>
        <w:ind w:left="720" w:hanging="360"/>
        <w:jc w:val="both"/>
        <w:rPr>
          <w:sz w:val="24"/>
          <w:szCs w:val="24"/>
          <w:u w:val="none"/>
        </w:rPr>
      </w:pPr>
      <w:r w:rsidDel="00000000" w:rsidR="00000000" w:rsidRPr="00000000">
        <w:rPr>
          <w:b w:val="1"/>
          <w:sz w:val="24"/>
          <w:szCs w:val="24"/>
          <w:rtl w:val="0"/>
        </w:rPr>
        <w:t xml:space="preserve">Trazabilidad: </w:t>
      </w:r>
      <w:r w:rsidDel="00000000" w:rsidR="00000000" w:rsidRPr="00000000">
        <w:rPr>
          <w:sz w:val="24"/>
          <w:szCs w:val="24"/>
          <w:rtl w:val="0"/>
        </w:rPr>
        <w:t xml:space="preserve">68%</w:t>
      </w:r>
    </w:p>
    <w:p w:rsidR="00000000" w:rsidDel="00000000" w:rsidP="00000000" w:rsidRDefault="00000000" w:rsidRPr="00000000" w14:paraId="00000019">
      <w:pPr>
        <w:numPr>
          <w:ilvl w:val="0"/>
          <w:numId w:val="1"/>
        </w:numPr>
        <w:spacing w:line="276" w:lineRule="auto"/>
        <w:ind w:left="720" w:hanging="360"/>
        <w:jc w:val="both"/>
        <w:rPr>
          <w:sz w:val="24"/>
          <w:szCs w:val="24"/>
          <w:u w:val="none"/>
        </w:rPr>
      </w:pPr>
      <w:r w:rsidDel="00000000" w:rsidR="00000000" w:rsidRPr="00000000">
        <w:rPr>
          <w:b w:val="1"/>
          <w:i w:val="1"/>
          <w:sz w:val="24"/>
          <w:szCs w:val="24"/>
          <w:rtl w:val="0"/>
        </w:rPr>
        <w:t xml:space="preserve">Due-Diligence</w:t>
      </w:r>
      <w:r w:rsidDel="00000000" w:rsidR="00000000" w:rsidRPr="00000000">
        <w:rPr>
          <w:b w:val="1"/>
          <w:sz w:val="24"/>
          <w:szCs w:val="24"/>
          <w:rtl w:val="0"/>
        </w:rPr>
        <w:t xml:space="preserve">: </w:t>
      </w:r>
      <w:r w:rsidDel="00000000" w:rsidR="00000000" w:rsidRPr="00000000">
        <w:rPr>
          <w:sz w:val="24"/>
          <w:szCs w:val="24"/>
          <w:rtl w:val="0"/>
        </w:rPr>
        <w:t xml:space="preserve">59%</w:t>
      </w:r>
    </w:p>
    <w:p w:rsidR="00000000" w:rsidDel="00000000" w:rsidP="00000000" w:rsidRDefault="00000000" w:rsidRPr="00000000" w14:paraId="0000001A">
      <w:pPr>
        <w:numPr>
          <w:ilvl w:val="0"/>
          <w:numId w:val="1"/>
        </w:numPr>
        <w:spacing w:line="276" w:lineRule="auto"/>
        <w:ind w:left="720" w:hanging="360"/>
        <w:jc w:val="both"/>
        <w:rPr>
          <w:sz w:val="24"/>
          <w:szCs w:val="24"/>
          <w:u w:val="none"/>
        </w:rPr>
      </w:pPr>
      <w:r w:rsidDel="00000000" w:rsidR="00000000" w:rsidRPr="00000000">
        <w:rPr>
          <w:b w:val="1"/>
          <w:sz w:val="24"/>
          <w:szCs w:val="24"/>
          <w:rtl w:val="0"/>
        </w:rPr>
        <w:t xml:space="preserve">Temáticas Destacadas: </w:t>
      </w:r>
      <w:r w:rsidDel="00000000" w:rsidR="00000000" w:rsidRPr="00000000">
        <w:rPr>
          <w:sz w:val="24"/>
          <w:szCs w:val="24"/>
          <w:rtl w:val="0"/>
        </w:rPr>
        <w:t xml:space="preserve">49%</w:t>
      </w:r>
    </w:p>
    <w:p w:rsidR="00000000" w:rsidDel="00000000" w:rsidP="00000000" w:rsidRDefault="00000000" w:rsidRPr="00000000" w14:paraId="0000001B">
      <w:pPr>
        <w:spacing w:line="276" w:lineRule="auto"/>
        <w:jc w:val="both"/>
        <w:rPr>
          <w:sz w:val="24"/>
          <w:szCs w:val="24"/>
        </w:rPr>
      </w:pPr>
      <w:r w:rsidDel="00000000" w:rsidR="00000000" w:rsidRPr="00000000">
        <w:rPr>
          <w:rtl w:val="0"/>
        </w:rPr>
      </w:r>
    </w:p>
    <w:p w:rsidR="00000000" w:rsidDel="00000000" w:rsidP="00000000" w:rsidRDefault="00000000" w:rsidRPr="00000000" w14:paraId="0000001C">
      <w:pPr>
        <w:spacing w:line="276" w:lineRule="auto"/>
        <w:jc w:val="both"/>
        <w:rPr>
          <w:sz w:val="24"/>
          <w:szCs w:val="24"/>
        </w:rPr>
      </w:pPr>
      <w:r w:rsidDel="00000000" w:rsidR="00000000" w:rsidRPr="00000000">
        <w:rPr>
          <w:sz w:val="24"/>
          <w:szCs w:val="24"/>
          <w:rtl w:val="0"/>
        </w:rPr>
        <w:t xml:space="preserve">Con estos resultados, en </w:t>
      </w:r>
      <w:r w:rsidDel="00000000" w:rsidR="00000000" w:rsidRPr="00000000">
        <w:rPr>
          <w:b w:val="1"/>
          <w:sz w:val="24"/>
          <w:szCs w:val="24"/>
          <w:rtl w:val="0"/>
        </w:rPr>
        <w:t xml:space="preserve">C&amp;A</w:t>
      </w:r>
      <w:r w:rsidDel="00000000" w:rsidR="00000000" w:rsidRPr="00000000">
        <w:rPr>
          <w:sz w:val="24"/>
          <w:szCs w:val="24"/>
          <w:rtl w:val="0"/>
        </w:rPr>
        <w:t xml:space="preserve"> seguiremos vistiendo el cambio, y reforzando nuestro compromiso con la sustentabilidad y la transparencia.</w:t>
      </w:r>
    </w:p>
    <w:p w:rsidR="00000000" w:rsidDel="00000000" w:rsidP="00000000" w:rsidRDefault="00000000" w:rsidRPr="00000000" w14:paraId="0000001D">
      <w:pPr>
        <w:spacing w:after="120" w:lineRule="auto"/>
        <w:jc w:val="both"/>
        <w:rPr/>
      </w:pPr>
      <w:r w:rsidDel="00000000" w:rsidR="00000000" w:rsidRPr="00000000">
        <w:rPr>
          <w:rtl w:val="0"/>
        </w:rPr>
      </w:r>
    </w:p>
    <w:p w:rsidR="00000000" w:rsidDel="00000000" w:rsidP="00000000" w:rsidRDefault="00000000" w:rsidRPr="00000000" w14:paraId="0000001E">
      <w:pPr>
        <w:spacing w:after="120"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sz w:val="18"/>
          <w:szCs w:val="18"/>
        </w:rPr>
      </w:pPr>
      <w:r w:rsidDel="00000000" w:rsidR="00000000" w:rsidRPr="00000000">
        <w:rPr>
          <w:rtl w:val="0"/>
        </w:rPr>
      </w:r>
    </w:p>
    <w:p w:rsidR="00000000" w:rsidDel="00000000" w:rsidP="00000000" w:rsidRDefault="00000000" w:rsidRPr="00000000" w14:paraId="00000020">
      <w:pPr>
        <w:spacing w:line="276" w:lineRule="auto"/>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21">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Actualmente cuenta con 75 sucursales en el interior de la República Mexicana.</w:t>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Para mayor información visita: http://www.cyamoda.com </w:t>
      </w:r>
      <w:r w:rsidDel="00000000" w:rsidR="00000000" w:rsidRPr="00000000">
        <w:rPr>
          <w:rtl w:val="0"/>
        </w:rPr>
      </w:r>
    </w:p>
    <w:p w:rsidR="00000000" w:rsidDel="00000000" w:rsidP="00000000" w:rsidRDefault="00000000" w:rsidRPr="00000000" w14:paraId="00000027">
      <w:pPr>
        <w:spacing w:line="276" w:lineRule="auto"/>
        <w:jc w:val="both"/>
        <w:rPr>
          <w:sz w:val="18"/>
          <w:szCs w:val="18"/>
        </w:rPr>
      </w:pPr>
      <w:r w:rsidDel="00000000" w:rsidR="00000000" w:rsidRPr="00000000">
        <w:rPr>
          <w:rtl w:val="0"/>
        </w:rPr>
      </w:r>
    </w:p>
    <w:p w:rsidR="00000000" w:rsidDel="00000000" w:rsidP="00000000" w:rsidRDefault="00000000" w:rsidRPr="00000000" w14:paraId="00000028">
      <w:pPr>
        <w:spacing w:line="276" w:lineRule="auto"/>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29">
      <w:pPr>
        <w:spacing w:line="276" w:lineRule="auto"/>
        <w:jc w:val="both"/>
        <w:rPr>
          <w:sz w:val="18"/>
          <w:szCs w:val="18"/>
        </w:rPr>
      </w:pPr>
      <w:r w:rsidDel="00000000" w:rsidR="00000000" w:rsidRPr="00000000">
        <w:rPr>
          <w:rtl w:val="0"/>
        </w:rPr>
      </w:r>
    </w:p>
    <w:p w:rsidR="00000000" w:rsidDel="00000000" w:rsidP="00000000" w:rsidRDefault="00000000" w:rsidRPr="00000000" w14:paraId="0000002A">
      <w:pPr>
        <w:spacing w:line="276" w:lineRule="auto"/>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2B">
      <w:pPr>
        <w:spacing w:line="276" w:lineRule="auto"/>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2C">
      <w:pPr>
        <w:spacing w:line="276" w:lineRule="auto"/>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2D">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E">
      <w:pPr>
        <w:spacing w:line="276" w:lineRule="auto"/>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F">
      <w:pPr>
        <w:spacing w:line="276" w:lineRule="auto"/>
        <w:rPr>
          <w:b w:val="1"/>
          <w:sz w:val="18"/>
          <w:szCs w:val="18"/>
        </w:rPr>
      </w:pPr>
      <w:r w:rsidDel="00000000" w:rsidR="00000000" w:rsidRPr="00000000">
        <w:rPr>
          <w:rtl w:val="0"/>
        </w:rPr>
      </w:r>
    </w:p>
    <w:p w:rsidR="00000000" w:rsidDel="00000000" w:rsidP="00000000" w:rsidRDefault="00000000" w:rsidRPr="00000000" w14:paraId="00000030">
      <w:pPr>
        <w:spacing w:line="276" w:lineRule="auto"/>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1">
      <w:pPr>
        <w:spacing w:line="276" w:lineRule="auto"/>
        <w:rPr>
          <w:sz w:val="18"/>
          <w:szCs w:val="18"/>
        </w:rPr>
      </w:pPr>
      <w:r w:rsidDel="00000000" w:rsidR="00000000" w:rsidRPr="00000000">
        <w:rPr>
          <w:sz w:val="18"/>
          <w:szCs w:val="18"/>
          <w:rtl w:val="0"/>
        </w:rPr>
        <w:t xml:space="preserve">Lizeth Escorza</w:t>
      </w:r>
    </w:p>
    <w:p w:rsidR="00000000" w:rsidDel="00000000" w:rsidP="00000000" w:rsidRDefault="00000000" w:rsidRPr="00000000" w14:paraId="00000032">
      <w:pPr>
        <w:spacing w:line="276" w:lineRule="auto"/>
        <w:rPr>
          <w:sz w:val="18"/>
          <w:szCs w:val="18"/>
        </w:rPr>
      </w:pPr>
      <w:r w:rsidDel="00000000" w:rsidR="00000000" w:rsidRPr="00000000">
        <w:rPr>
          <w:sz w:val="18"/>
          <w:szCs w:val="18"/>
          <w:rtl w:val="0"/>
        </w:rPr>
        <w:t xml:space="preserve">Ejecutiva de cuenta</w:t>
      </w:r>
    </w:p>
    <w:p w:rsidR="00000000" w:rsidDel="00000000" w:rsidP="00000000" w:rsidRDefault="00000000" w:rsidRPr="00000000" w14:paraId="00000033">
      <w:pPr>
        <w:spacing w:line="276" w:lineRule="auto"/>
        <w:rPr>
          <w:sz w:val="18"/>
          <w:szCs w:val="18"/>
        </w:rPr>
      </w:pPr>
      <w:hyperlink r:id="rId6">
        <w:r w:rsidDel="00000000" w:rsidR="00000000" w:rsidRPr="00000000">
          <w:rPr>
            <w:color w:val="1155cc"/>
            <w:sz w:val="18"/>
            <w:szCs w:val="18"/>
            <w:u w:val="single"/>
            <w:rtl w:val="0"/>
          </w:rPr>
          <w:t xml:space="preserve">lizeth.escorza@another.co</w:t>
        </w:r>
      </w:hyperlink>
      <w:r w:rsidDel="00000000" w:rsidR="00000000" w:rsidRPr="00000000">
        <w:rPr>
          <w:rtl w:val="0"/>
        </w:rPr>
      </w:r>
    </w:p>
    <w:p w:rsidR="00000000" w:rsidDel="00000000" w:rsidP="00000000" w:rsidRDefault="00000000" w:rsidRPr="00000000" w14:paraId="00000034">
      <w:pPr>
        <w:spacing w:line="276" w:lineRule="auto"/>
        <w:rPr>
          <w:color w:val="222222"/>
          <w:sz w:val="18"/>
          <w:szCs w:val="18"/>
          <w:highlight w:val="white"/>
        </w:rPr>
      </w:pPr>
      <w:r w:rsidDel="00000000" w:rsidR="00000000" w:rsidRPr="00000000">
        <w:rPr>
          <w:sz w:val="18"/>
          <w:szCs w:val="18"/>
          <w:rtl w:val="0"/>
        </w:rPr>
        <w:t xml:space="preserve">Tel: </w:t>
      </w:r>
      <w:r w:rsidDel="00000000" w:rsidR="00000000" w:rsidRPr="00000000">
        <w:rPr>
          <w:color w:val="222222"/>
          <w:sz w:val="18"/>
          <w:szCs w:val="18"/>
          <w:highlight w:val="white"/>
          <w:rtl w:val="0"/>
        </w:rPr>
        <w:t xml:space="preserve">55 4547 0787 </w:t>
      </w:r>
    </w:p>
    <w:p w:rsidR="00000000" w:rsidDel="00000000" w:rsidP="00000000" w:rsidRDefault="00000000" w:rsidRPr="00000000" w14:paraId="00000035">
      <w:pPr>
        <w:spacing w:line="276" w:lineRule="auto"/>
        <w:rPr>
          <w:b w:val="1"/>
          <w:sz w:val="18"/>
          <w:szCs w:val="18"/>
        </w:rPr>
      </w:pPr>
      <w:r w:rsidDel="00000000" w:rsidR="00000000" w:rsidRPr="00000000">
        <w:rPr>
          <w:rtl w:val="0"/>
        </w:rPr>
      </w:r>
    </w:p>
    <w:p w:rsidR="00000000" w:rsidDel="00000000" w:rsidP="00000000" w:rsidRDefault="00000000" w:rsidRPr="00000000" w14:paraId="00000036">
      <w:pPr>
        <w:spacing w:line="276" w:lineRule="auto"/>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7">
      <w:pPr>
        <w:spacing w:line="276" w:lineRule="auto"/>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38">
      <w:pPr>
        <w:spacing w:line="276" w:lineRule="auto"/>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39">
      <w:pPr>
        <w:spacing w:line="276" w:lineRule="auto"/>
        <w:rPr>
          <w:color w:val="555555"/>
          <w:sz w:val="18"/>
          <w:szCs w:val="18"/>
          <w:highlight w:val="white"/>
        </w:rPr>
      </w:pPr>
      <w:hyperlink r:id="rId7">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3A">
      <w:pPr>
        <w:spacing w:line="276" w:lineRule="auto"/>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anchor allowOverlap="1" behindDoc="0" distB="0" distT="0" distL="0" distR="0" hidden="0" layoutInCell="1" locked="0" relativeHeight="0" simplePos="0">
          <wp:simplePos x="0" y="0"/>
          <wp:positionH relativeFrom="page">
            <wp:posOffset>3524250</wp:posOffset>
          </wp:positionH>
          <wp:positionV relativeFrom="page">
            <wp:posOffset>395288</wp:posOffset>
          </wp:positionV>
          <wp:extent cx="867432" cy="661988"/>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867432" cy="6619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izeth.escorza@another.co" TargetMode="External"/><Relationship Id="rId7" Type="http://schemas.openxmlformats.org/officeDocument/2006/relationships/hyperlink" Target="mailto:gvaldez@cyamexico.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