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F2" w:rsidRDefault="001572F2" w:rsidP="004278B1">
      <w:pPr>
        <w:pStyle w:val="NoSpacing"/>
        <w:ind w:left="993"/>
      </w:pPr>
      <w:bookmarkStart w:id="0" w:name="_GoBack"/>
      <w:bookmarkEnd w:id="0"/>
    </w:p>
    <w:p w:rsidR="00B97593" w:rsidRDefault="000358CD" w:rsidP="006917E1">
      <w:pPr>
        <w:pStyle w:val="NoSpacing"/>
        <w:ind w:left="993"/>
      </w:pPr>
      <w:r>
        <w:rPr>
          <w:noProof/>
        </w:rPr>
        <mc:AlternateContent>
          <mc:Choice Requires="wps">
            <w:drawing>
              <wp:anchor distT="0" distB="0" distL="114300" distR="114300" simplePos="0" relativeHeight="251656704" behindDoc="0" locked="0" layoutInCell="1" allowOverlap="1">
                <wp:simplePos x="0" y="0"/>
                <wp:positionH relativeFrom="column">
                  <wp:posOffset>1990725</wp:posOffset>
                </wp:positionH>
                <wp:positionV relativeFrom="paragraph">
                  <wp:posOffset>66040</wp:posOffset>
                </wp:positionV>
                <wp:extent cx="4709795" cy="675640"/>
                <wp:effectExtent l="4445" t="0" r="63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43A" w:rsidRPr="00D01FB0" w:rsidRDefault="00A9543A" w:rsidP="00673D3E">
                            <w:pPr>
                              <w:spacing w:after="0" w:line="240" w:lineRule="auto"/>
                              <w:rPr>
                                <w:rFonts w:ascii="Rockwell" w:hAnsi="Rockwell" w:cs="Rockwell"/>
                                <w:color w:val="00AEEF"/>
                                <w:sz w:val="48"/>
                                <w:szCs w:val="48"/>
                                <w:lang w:val="fr-FR" w:eastAsia="nl-BE"/>
                              </w:rPr>
                            </w:pPr>
                            <w:r w:rsidRPr="00D01FB0">
                              <w:rPr>
                                <w:rFonts w:ascii="Rockwell" w:hAnsi="Rockwell" w:cs="Rockwell"/>
                                <w:color w:val="00AEEF"/>
                                <w:sz w:val="48"/>
                                <w:szCs w:val="48"/>
                                <w:lang w:val="fr-FR" w:eastAsia="nl-BE"/>
                              </w:rPr>
                              <w:t>Communiqué de presse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56.75pt;margin-top:5.2pt;width:370.85pt;height:5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kMtgIAALk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" filled="f" stroked="f">
                <v:textbox>
                  <w:txbxContent>
                    <w:p w:rsidR="00A9543A" w:rsidRPr="00D01FB0" w:rsidRDefault="00A9543A" w:rsidP="00673D3E">
                      <w:pPr>
                        <w:spacing w:after="0" w:line="240" w:lineRule="auto"/>
                        <w:rPr>
                          <w:rFonts w:ascii="Rockwell" w:hAnsi="Rockwell" w:cs="Rockwell"/>
                          <w:color w:val="00AEEF"/>
                          <w:sz w:val="48"/>
                          <w:szCs w:val="48"/>
                          <w:lang w:val="fr-FR" w:eastAsia="nl-BE"/>
                        </w:rPr>
                      </w:pPr>
                      <w:r w:rsidRPr="00D01FB0">
                        <w:rPr>
                          <w:rFonts w:ascii="Rockwell" w:hAnsi="Rockwell" w:cs="Rockwell"/>
                          <w:color w:val="00AEEF"/>
                          <w:sz w:val="48"/>
                          <w:szCs w:val="48"/>
                          <w:lang w:val="fr-FR" w:eastAsia="nl-BE"/>
                        </w:rPr>
                        <w:t>Communiqué de presse</w:t>
                      </w:r>
                    </w:p>
                  </w:txbxContent>
                </v:textbox>
              </v:shape>
            </w:pict>
          </mc:Fallback>
        </mc:AlternateContent>
      </w:r>
      <w:r w:rsidR="00164AF4">
        <w:rPr>
          <w:rFonts w:ascii="Verdana" w:hAnsi="Verdana"/>
          <w:noProof/>
          <w:sz w:val="20"/>
        </w:rPr>
        <w:drawing>
          <wp:inline distT="0" distB="0" distL="0" distR="0" wp14:anchorId="21508528" wp14:editId="29112361">
            <wp:extent cx="1362554" cy="889000"/>
            <wp:effectExtent l="0" t="0" r="952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656" cy="889066"/>
                    </a:xfrm>
                    <a:prstGeom prst="rect">
                      <a:avLst/>
                    </a:prstGeom>
                    <a:noFill/>
                    <a:ln>
                      <a:noFill/>
                    </a:ln>
                  </pic:spPr>
                </pic:pic>
              </a:graphicData>
            </a:graphic>
          </wp:inline>
        </w:drawing>
      </w:r>
    </w:p>
    <w:p w:rsidR="004278B1" w:rsidRDefault="004278B1" w:rsidP="00673D3E">
      <w:pPr>
        <w:pStyle w:val="NoSpacing"/>
        <w:ind w:left="1440"/>
        <w:rPr>
          <w:sz w:val="8"/>
          <w:szCs w:val="8"/>
        </w:rPr>
      </w:pPr>
    </w:p>
    <w:p w:rsidR="00FC36C2" w:rsidRPr="004278B1" w:rsidRDefault="00FC36C2" w:rsidP="00673D3E">
      <w:pPr>
        <w:pStyle w:val="NoSpacing"/>
        <w:ind w:left="1440"/>
        <w:rPr>
          <w:sz w:val="8"/>
          <w:szCs w:val="8"/>
        </w:rPr>
      </w:pPr>
    </w:p>
    <w:p w:rsidR="004278B1" w:rsidRDefault="00D57A50" w:rsidP="00FC36C2">
      <w:pPr>
        <w:pStyle w:val="NoSpacing"/>
        <w:ind w:left="284"/>
      </w:pPr>
      <w:r>
        <w:rPr>
          <w:noProof/>
        </w:rPr>
        <w:drawing>
          <wp:inline distT="0" distB="0" distL="0" distR="0">
            <wp:extent cx="6772910" cy="170180"/>
            <wp:effectExtent l="19050" t="0" r="8890" b="0"/>
            <wp:docPr id="2" name="Picture 2" descr="curve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ve01b"/>
                    <pic:cNvPicPr>
                      <a:picLocks noChangeAspect="1" noChangeArrowheads="1"/>
                    </pic:cNvPicPr>
                  </pic:nvPicPr>
                  <pic:blipFill>
                    <a:blip r:embed="rId9" cstate="print"/>
                    <a:srcRect/>
                    <a:stretch>
                      <a:fillRect/>
                    </a:stretch>
                  </pic:blipFill>
                  <pic:spPr bwMode="auto">
                    <a:xfrm>
                      <a:off x="0" y="0"/>
                      <a:ext cx="6772910" cy="170180"/>
                    </a:xfrm>
                    <a:prstGeom prst="rect">
                      <a:avLst/>
                    </a:prstGeom>
                    <a:noFill/>
                    <a:ln w="9525">
                      <a:noFill/>
                      <a:miter lim="800000"/>
                      <a:headEnd/>
                      <a:tailEnd/>
                    </a:ln>
                  </pic:spPr>
                </pic:pic>
              </a:graphicData>
            </a:graphic>
          </wp:inline>
        </w:drawing>
      </w:r>
    </w:p>
    <w:p w:rsidR="00D14EBE" w:rsidRDefault="00D14EBE" w:rsidP="00D14EBE">
      <w:pPr>
        <w:pStyle w:val="NoSpacing"/>
        <w:ind w:left="993"/>
        <w:rPr>
          <w:lang w:val="fr-FR"/>
        </w:rPr>
      </w:pPr>
    </w:p>
    <w:p w:rsidR="0077354C" w:rsidRPr="009C1678" w:rsidRDefault="00041581" w:rsidP="0077354C">
      <w:pPr>
        <w:ind w:left="993"/>
        <w:rPr>
          <w:color w:val="003768"/>
          <w:lang w:val="fr-FR"/>
        </w:rPr>
      </w:pPr>
      <w:r>
        <w:rPr>
          <w:color w:val="003768"/>
          <w:lang w:val="fr-FR"/>
        </w:rPr>
        <w:t xml:space="preserve">Bruxelles, </w:t>
      </w:r>
      <w:r w:rsidR="00494018">
        <w:rPr>
          <w:color w:val="003768"/>
          <w:lang w:val="fr-FR"/>
        </w:rPr>
        <w:t>25</w:t>
      </w:r>
      <w:r w:rsidR="00164AF4">
        <w:rPr>
          <w:color w:val="003768"/>
          <w:lang w:val="fr-FR"/>
        </w:rPr>
        <w:t xml:space="preserve"> juillet</w:t>
      </w:r>
      <w:r w:rsidR="000358CD">
        <w:rPr>
          <w:color w:val="003768"/>
          <w:lang w:val="fr-FR"/>
        </w:rPr>
        <w:t xml:space="preserve"> 2016</w:t>
      </w:r>
      <w:r w:rsidR="0077354C" w:rsidRPr="009C1678">
        <w:rPr>
          <w:color w:val="003768"/>
          <w:lang w:val="fr-FR"/>
        </w:rPr>
        <w:t xml:space="preserve"> </w:t>
      </w:r>
    </w:p>
    <w:p w:rsidR="0077354C" w:rsidRPr="00017FD1" w:rsidRDefault="0077354C" w:rsidP="0077354C">
      <w:pPr>
        <w:autoSpaceDE w:val="0"/>
        <w:autoSpaceDN w:val="0"/>
        <w:adjustRightInd w:val="0"/>
        <w:spacing w:after="0" w:line="240" w:lineRule="auto"/>
        <w:ind w:left="993" w:right="4"/>
        <w:rPr>
          <w:rFonts w:cs="Arial"/>
          <w:b/>
          <w:bCs/>
          <w:color w:val="003768"/>
          <w:sz w:val="28"/>
          <w:szCs w:val="28"/>
          <w:lang w:val="fr-FR"/>
        </w:rPr>
      </w:pPr>
    </w:p>
    <w:p w:rsidR="000358CD" w:rsidRPr="00F263F3" w:rsidRDefault="000358CD" w:rsidP="000358CD">
      <w:pPr>
        <w:pStyle w:val="Heading1"/>
        <w:ind w:left="993"/>
        <w:rPr>
          <w:rFonts w:ascii="Rockwell" w:eastAsia="Calibri" w:hAnsi="Rockwell" w:cs="Rockwell,Bold"/>
          <w:b/>
          <w:bCs/>
          <w:color w:val="00AEEF"/>
          <w:sz w:val="44"/>
          <w:szCs w:val="44"/>
          <w:lang w:val="fr-FR"/>
        </w:rPr>
      </w:pPr>
      <w:r w:rsidRPr="00F263F3">
        <w:rPr>
          <w:rFonts w:ascii="Rockwell" w:eastAsia="Calibri" w:hAnsi="Rockwell" w:cs="Rockwell,Bold"/>
          <w:b/>
          <w:bCs/>
          <w:color w:val="00AEEF"/>
          <w:sz w:val="44"/>
          <w:szCs w:val="44"/>
          <w:lang w:val="fr-FR"/>
        </w:rPr>
        <w:t xml:space="preserve">KBC/CBC </w:t>
      </w:r>
      <w:proofErr w:type="spellStart"/>
      <w:r w:rsidRPr="00F263F3">
        <w:rPr>
          <w:rFonts w:ascii="Rockwell" w:eastAsia="Calibri" w:hAnsi="Rockwell" w:cs="Rockwell,Bold"/>
          <w:b/>
          <w:bCs/>
          <w:color w:val="00AEEF"/>
          <w:sz w:val="44"/>
          <w:szCs w:val="44"/>
          <w:lang w:val="fr-FR"/>
        </w:rPr>
        <w:t>Touch</w:t>
      </w:r>
      <w:proofErr w:type="spellEnd"/>
      <w:r w:rsidRPr="00F263F3">
        <w:rPr>
          <w:rFonts w:ascii="Rockwell" w:eastAsia="Calibri" w:hAnsi="Rockwell" w:cs="Rockwell,Bold"/>
          <w:b/>
          <w:bCs/>
          <w:color w:val="00AEEF"/>
          <w:sz w:val="44"/>
          <w:szCs w:val="44"/>
          <w:lang w:val="fr-FR"/>
        </w:rPr>
        <w:t xml:space="preserve"> : la vitesse du numérique et les conseils personnalisés séduisent tant les adolescents que les centenaires.</w:t>
      </w:r>
    </w:p>
    <w:p w:rsidR="000358CD" w:rsidRPr="00F263F3" w:rsidRDefault="000358CD" w:rsidP="000358CD">
      <w:pPr>
        <w:pStyle w:val="Heading2"/>
        <w:ind w:left="993"/>
        <w:rPr>
          <w:sz w:val="44"/>
          <w:szCs w:val="44"/>
          <w:lang w:val="fr-FR"/>
        </w:rPr>
      </w:pPr>
      <w:r w:rsidRPr="00F263F3">
        <w:rPr>
          <w:rFonts w:ascii="Rockwell" w:eastAsia="Calibri" w:hAnsi="Rockwell" w:cs="Rockwell,Bold"/>
          <w:b/>
          <w:bCs/>
          <w:color w:val="00AEEF"/>
          <w:sz w:val="44"/>
          <w:szCs w:val="44"/>
          <w:lang w:val="fr-FR"/>
        </w:rPr>
        <w:t>KBC et CBC arrêtent KBC/CBC Online après 16 ans d'existence</w:t>
      </w:r>
      <w:r w:rsidRPr="00F263F3">
        <w:rPr>
          <w:sz w:val="44"/>
          <w:szCs w:val="44"/>
          <w:lang w:val="fr-FR"/>
        </w:rPr>
        <w:t>.</w:t>
      </w:r>
    </w:p>
    <w:p w:rsidR="0077354C" w:rsidRPr="00017FD1" w:rsidRDefault="0077354C" w:rsidP="0077354C">
      <w:pPr>
        <w:autoSpaceDE w:val="0"/>
        <w:autoSpaceDN w:val="0"/>
        <w:adjustRightInd w:val="0"/>
        <w:spacing w:after="0" w:line="240" w:lineRule="auto"/>
        <w:ind w:left="993" w:right="4"/>
        <w:rPr>
          <w:rFonts w:cs="Arial"/>
          <w:b/>
          <w:bCs/>
          <w:color w:val="003768"/>
          <w:sz w:val="28"/>
          <w:szCs w:val="28"/>
          <w:lang w:val="fr-FR"/>
        </w:rPr>
      </w:pPr>
    </w:p>
    <w:p w:rsidR="00246E45" w:rsidRDefault="00246E45" w:rsidP="00246E45">
      <w:pPr>
        <w:autoSpaceDE w:val="0"/>
        <w:autoSpaceDN w:val="0"/>
        <w:adjustRightInd w:val="0"/>
        <w:spacing w:after="0" w:line="240" w:lineRule="auto"/>
        <w:ind w:left="993" w:right="4"/>
        <w:rPr>
          <w:rFonts w:cs="Arial"/>
          <w:b/>
          <w:bCs/>
          <w:color w:val="003768"/>
          <w:sz w:val="28"/>
          <w:szCs w:val="28"/>
          <w:lang w:val="fr-FR"/>
        </w:rPr>
      </w:pPr>
      <w:r w:rsidRPr="00246E45">
        <w:rPr>
          <w:rFonts w:cs="Arial"/>
          <w:b/>
          <w:bCs/>
          <w:color w:val="003768"/>
          <w:sz w:val="28"/>
          <w:szCs w:val="28"/>
          <w:lang w:val="fr-FR"/>
        </w:rPr>
        <w:t xml:space="preserve">KBC/CBC Online passe aujourd'hui définitivement le relais à KBC/CBC </w:t>
      </w:r>
      <w:proofErr w:type="spellStart"/>
      <w:r w:rsidRPr="00246E45">
        <w:rPr>
          <w:rFonts w:cs="Arial"/>
          <w:b/>
          <w:bCs/>
          <w:color w:val="003768"/>
          <w:sz w:val="28"/>
          <w:szCs w:val="28"/>
          <w:lang w:val="fr-FR"/>
        </w:rPr>
        <w:t>Touch</w:t>
      </w:r>
      <w:proofErr w:type="spellEnd"/>
      <w:r w:rsidRPr="00246E45">
        <w:rPr>
          <w:rFonts w:cs="Arial"/>
          <w:b/>
          <w:bCs/>
          <w:color w:val="003768"/>
          <w:sz w:val="28"/>
          <w:szCs w:val="28"/>
          <w:lang w:val="fr-FR"/>
        </w:rPr>
        <w:t xml:space="preserve">. KBC/CBC </w:t>
      </w:r>
      <w:proofErr w:type="spellStart"/>
      <w:r w:rsidRPr="00246E45">
        <w:rPr>
          <w:rFonts w:cs="Arial"/>
          <w:b/>
          <w:bCs/>
          <w:color w:val="003768"/>
          <w:sz w:val="28"/>
          <w:szCs w:val="28"/>
          <w:lang w:val="fr-FR"/>
        </w:rPr>
        <w:t>Touch</w:t>
      </w:r>
      <w:proofErr w:type="spellEnd"/>
      <w:r w:rsidRPr="00246E45">
        <w:rPr>
          <w:rFonts w:cs="Arial"/>
          <w:b/>
          <w:bCs/>
          <w:color w:val="003768"/>
          <w:sz w:val="28"/>
          <w:szCs w:val="28"/>
          <w:lang w:val="fr-FR"/>
        </w:rPr>
        <w:t xml:space="preserve"> allie la vitesse du numérique aux conseils personnalisés. Aujourd'hui, plus d'un million de clients KBC/CBC (1 sur 3) utilisent la nouvelle plateforme de banque et d'assurance en ligne.</w:t>
      </w:r>
    </w:p>
    <w:p w:rsidR="00246E45" w:rsidRPr="00246E45" w:rsidRDefault="00246E45" w:rsidP="00246E45">
      <w:pPr>
        <w:autoSpaceDE w:val="0"/>
        <w:autoSpaceDN w:val="0"/>
        <w:adjustRightInd w:val="0"/>
        <w:spacing w:after="0" w:line="240" w:lineRule="auto"/>
        <w:ind w:left="993" w:right="4"/>
        <w:rPr>
          <w:rFonts w:cs="Arial"/>
          <w:b/>
          <w:bCs/>
          <w:color w:val="003768"/>
          <w:sz w:val="28"/>
          <w:szCs w:val="28"/>
          <w:lang w:val="fr-FR"/>
        </w:rPr>
      </w:pPr>
    </w:p>
    <w:p w:rsidR="00246E45" w:rsidRPr="00246E45" w:rsidRDefault="00246E45" w:rsidP="00246E45">
      <w:pPr>
        <w:autoSpaceDE w:val="0"/>
        <w:autoSpaceDN w:val="0"/>
        <w:adjustRightInd w:val="0"/>
        <w:spacing w:after="0" w:line="240" w:lineRule="auto"/>
        <w:ind w:left="993" w:right="4"/>
        <w:rPr>
          <w:rFonts w:cs="Arial"/>
          <w:b/>
          <w:bCs/>
          <w:color w:val="003768"/>
          <w:sz w:val="28"/>
          <w:szCs w:val="28"/>
          <w:lang w:val="fr-FR"/>
        </w:rPr>
      </w:pPr>
      <w:r w:rsidRPr="00246E45">
        <w:rPr>
          <w:rFonts w:cs="Arial"/>
          <w:b/>
          <w:bCs/>
          <w:color w:val="003768"/>
          <w:sz w:val="28"/>
          <w:szCs w:val="28"/>
          <w:lang w:val="fr-FR"/>
        </w:rPr>
        <w:t xml:space="preserve">Le premier release de KBC/CBC </w:t>
      </w:r>
      <w:proofErr w:type="spellStart"/>
      <w:r w:rsidRPr="00246E45">
        <w:rPr>
          <w:rFonts w:cs="Arial"/>
          <w:b/>
          <w:bCs/>
          <w:color w:val="003768"/>
          <w:sz w:val="28"/>
          <w:szCs w:val="28"/>
          <w:lang w:val="fr-FR"/>
        </w:rPr>
        <w:t>Touch</w:t>
      </w:r>
      <w:proofErr w:type="spellEnd"/>
      <w:r w:rsidRPr="00246E45">
        <w:rPr>
          <w:rFonts w:cs="Arial"/>
          <w:b/>
          <w:bCs/>
          <w:color w:val="003768"/>
          <w:sz w:val="28"/>
          <w:szCs w:val="28"/>
          <w:lang w:val="fr-FR"/>
        </w:rPr>
        <w:t xml:space="preserve"> date de septembre 2014. KBC et CBC ont </w:t>
      </w:r>
      <w:proofErr w:type="gramStart"/>
      <w:r w:rsidRPr="00246E45">
        <w:rPr>
          <w:rFonts w:cs="Arial"/>
          <w:b/>
          <w:bCs/>
          <w:color w:val="003768"/>
          <w:sz w:val="28"/>
          <w:szCs w:val="28"/>
          <w:lang w:val="fr-FR"/>
        </w:rPr>
        <w:t>toujours</w:t>
      </w:r>
      <w:proofErr w:type="gramEnd"/>
      <w:r w:rsidRPr="00246E45">
        <w:rPr>
          <w:rFonts w:cs="Arial"/>
          <w:b/>
          <w:bCs/>
          <w:color w:val="003768"/>
          <w:sz w:val="28"/>
          <w:szCs w:val="28"/>
          <w:lang w:val="fr-FR"/>
        </w:rPr>
        <w:t xml:space="preserve"> impliqué activement l'utilisateur final dans le développement et la mise en œuvre de KBC/CBC </w:t>
      </w:r>
      <w:proofErr w:type="spellStart"/>
      <w:r w:rsidRPr="00246E45">
        <w:rPr>
          <w:rFonts w:cs="Arial"/>
          <w:b/>
          <w:bCs/>
          <w:color w:val="003768"/>
          <w:sz w:val="28"/>
          <w:szCs w:val="28"/>
          <w:lang w:val="fr-FR"/>
        </w:rPr>
        <w:t>Touch</w:t>
      </w:r>
      <w:proofErr w:type="spellEnd"/>
      <w:r w:rsidRPr="00246E45">
        <w:rPr>
          <w:rFonts w:cs="Arial"/>
          <w:b/>
          <w:bCs/>
          <w:color w:val="003768"/>
          <w:sz w:val="28"/>
          <w:szCs w:val="28"/>
          <w:lang w:val="fr-FR"/>
        </w:rPr>
        <w:t>. KBC et C</w:t>
      </w:r>
      <w:r w:rsidR="00164AF4">
        <w:rPr>
          <w:rFonts w:cs="Arial"/>
          <w:b/>
          <w:bCs/>
          <w:color w:val="003768"/>
          <w:sz w:val="28"/>
          <w:szCs w:val="28"/>
          <w:lang w:val="fr-FR"/>
        </w:rPr>
        <w:t>BC ont accompagné activement leurs</w:t>
      </w:r>
      <w:r w:rsidRPr="00246E45">
        <w:rPr>
          <w:rFonts w:cs="Arial"/>
          <w:b/>
          <w:bCs/>
          <w:color w:val="003768"/>
          <w:sz w:val="28"/>
          <w:szCs w:val="28"/>
          <w:lang w:val="fr-FR"/>
        </w:rPr>
        <w:t xml:space="preserve"> clients pour leur faciliter autant que possible la transition et </w:t>
      </w:r>
      <w:r w:rsidR="00164AF4">
        <w:rPr>
          <w:rFonts w:cs="Arial"/>
          <w:b/>
          <w:bCs/>
          <w:color w:val="003768"/>
          <w:sz w:val="28"/>
          <w:szCs w:val="28"/>
          <w:lang w:val="fr-FR"/>
        </w:rPr>
        <w:t>afin</w:t>
      </w:r>
      <w:r w:rsidR="00054EED">
        <w:rPr>
          <w:rFonts w:cs="Arial"/>
          <w:b/>
          <w:bCs/>
          <w:color w:val="003768"/>
          <w:sz w:val="28"/>
          <w:szCs w:val="28"/>
          <w:lang w:val="fr-FR"/>
        </w:rPr>
        <w:t xml:space="preserve"> de </w:t>
      </w:r>
      <w:r w:rsidRPr="00246E45">
        <w:rPr>
          <w:rFonts w:cs="Arial"/>
          <w:b/>
          <w:bCs/>
          <w:color w:val="003768"/>
          <w:sz w:val="28"/>
          <w:szCs w:val="28"/>
          <w:lang w:val="fr-FR"/>
        </w:rPr>
        <w:t xml:space="preserve">les familiariser à la multitude de possibilités offertes par KBC/CBC </w:t>
      </w:r>
      <w:proofErr w:type="spellStart"/>
      <w:r w:rsidRPr="00246E45">
        <w:rPr>
          <w:rFonts w:cs="Arial"/>
          <w:b/>
          <w:bCs/>
          <w:color w:val="003768"/>
          <w:sz w:val="28"/>
          <w:szCs w:val="28"/>
          <w:lang w:val="fr-FR"/>
        </w:rPr>
        <w:t>Touch</w:t>
      </w:r>
      <w:proofErr w:type="spellEnd"/>
      <w:r w:rsidRPr="00246E45">
        <w:rPr>
          <w:rFonts w:cs="Arial"/>
          <w:b/>
          <w:bCs/>
          <w:color w:val="003768"/>
          <w:sz w:val="28"/>
          <w:szCs w:val="28"/>
          <w:lang w:val="fr-FR"/>
        </w:rPr>
        <w:t xml:space="preserve">. </w:t>
      </w:r>
    </w:p>
    <w:p w:rsidR="0077354C" w:rsidRPr="00D01FB0" w:rsidRDefault="0077354C" w:rsidP="0077354C">
      <w:pPr>
        <w:autoSpaceDE w:val="0"/>
        <w:autoSpaceDN w:val="0"/>
        <w:adjustRightInd w:val="0"/>
        <w:spacing w:after="0" w:line="240" w:lineRule="auto"/>
        <w:ind w:left="993" w:right="4"/>
        <w:rPr>
          <w:rFonts w:cs="Arial"/>
          <w:b/>
          <w:bCs/>
          <w:color w:val="003768"/>
          <w:sz w:val="28"/>
          <w:szCs w:val="28"/>
          <w:lang w:val="fr-FR"/>
        </w:rPr>
      </w:pPr>
    </w:p>
    <w:p w:rsidR="0077354C" w:rsidRPr="00D01FB0" w:rsidRDefault="0077354C" w:rsidP="0077354C">
      <w:pPr>
        <w:autoSpaceDE w:val="0"/>
        <w:autoSpaceDN w:val="0"/>
        <w:adjustRightInd w:val="0"/>
        <w:spacing w:after="0" w:line="240" w:lineRule="auto"/>
        <w:ind w:left="993" w:right="4"/>
        <w:rPr>
          <w:rFonts w:cs="Arial"/>
          <w:b/>
          <w:bCs/>
          <w:color w:val="003768"/>
          <w:sz w:val="28"/>
          <w:szCs w:val="28"/>
          <w:lang w:val="fr-FR"/>
        </w:rPr>
      </w:pPr>
    </w:p>
    <w:p w:rsidR="0077354C" w:rsidRPr="00D01FB0" w:rsidRDefault="0077354C" w:rsidP="0077354C">
      <w:pPr>
        <w:autoSpaceDE w:val="0"/>
        <w:autoSpaceDN w:val="0"/>
        <w:adjustRightInd w:val="0"/>
        <w:spacing w:after="0" w:line="240" w:lineRule="auto"/>
        <w:ind w:left="993" w:right="4"/>
        <w:rPr>
          <w:rFonts w:cs="Arial"/>
          <w:i/>
          <w:iCs/>
          <w:color w:val="003366"/>
          <w:sz w:val="24"/>
          <w:szCs w:val="24"/>
          <w:lang w:val="fr-FR"/>
        </w:rPr>
      </w:pPr>
    </w:p>
    <w:p w:rsidR="00246E45" w:rsidRPr="00910FC1" w:rsidRDefault="00246E45" w:rsidP="00246E45">
      <w:pPr>
        <w:pStyle w:val="Heading2"/>
        <w:ind w:left="993"/>
        <w:rPr>
          <w:rFonts w:ascii="Rockwell" w:eastAsia="Calibri" w:hAnsi="Rockwell" w:cs="Arial"/>
          <w:b/>
          <w:bCs/>
          <w:color w:val="003366"/>
          <w:sz w:val="28"/>
          <w:szCs w:val="28"/>
          <w:lang w:val="fr-FR"/>
        </w:rPr>
      </w:pPr>
      <w:r w:rsidRPr="00910FC1">
        <w:rPr>
          <w:rFonts w:ascii="Rockwell" w:eastAsia="Calibri" w:hAnsi="Rockwell" w:cs="Arial"/>
          <w:b/>
          <w:bCs/>
          <w:color w:val="003366"/>
          <w:sz w:val="28"/>
          <w:szCs w:val="28"/>
          <w:lang w:val="fr-FR"/>
        </w:rPr>
        <w:t xml:space="preserve">Qui </w:t>
      </w:r>
      <w:r w:rsidR="00910FC1" w:rsidRPr="00910FC1">
        <w:rPr>
          <w:rFonts w:ascii="Rockwell" w:eastAsia="Calibri" w:hAnsi="Rockwell" w:cs="Arial"/>
          <w:b/>
          <w:bCs/>
          <w:color w:val="003366"/>
          <w:sz w:val="28"/>
          <w:szCs w:val="28"/>
          <w:lang w:val="fr-FR"/>
        </w:rPr>
        <w:t>est l’utilisateur</w:t>
      </w:r>
      <w:r w:rsidRPr="00910FC1">
        <w:rPr>
          <w:rFonts w:ascii="Rockwell" w:eastAsia="Calibri" w:hAnsi="Rockwell" w:cs="Arial"/>
          <w:b/>
          <w:bCs/>
          <w:color w:val="003366"/>
          <w:sz w:val="28"/>
          <w:szCs w:val="28"/>
          <w:lang w:val="fr-FR"/>
        </w:rPr>
        <w:t xml:space="preserve"> de KBC/CBC </w:t>
      </w:r>
      <w:proofErr w:type="spellStart"/>
      <w:r w:rsidRPr="00910FC1">
        <w:rPr>
          <w:rFonts w:ascii="Rockwell" w:eastAsia="Calibri" w:hAnsi="Rockwell" w:cs="Arial"/>
          <w:b/>
          <w:bCs/>
          <w:color w:val="003366"/>
          <w:sz w:val="28"/>
          <w:szCs w:val="28"/>
          <w:lang w:val="fr-FR"/>
        </w:rPr>
        <w:t>Touch</w:t>
      </w:r>
      <w:proofErr w:type="spellEnd"/>
      <w:r w:rsidRPr="00910FC1">
        <w:rPr>
          <w:rFonts w:ascii="Rockwell" w:eastAsia="Calibri" w:hAnsi="Rockwell" w:cs="Arial"/>
          <w:b/>
          <w:bCs/>
          <w:color w:val="003366"/>
          <w:sz w:val="28"/>
          <w:szCs w:val="28"/>
          <w:lang w:val="fr-FR"/>
        </w:rPr>
        <w:t xml:space="preserve"> ?</w:t>
      </w:r>
    </w:p>
    <w:p w:rsidR="00246E45" w:rsidRPr="00164AF4" w:rsidRDefault="00246E45" w:rsidP="00F263F3">
      <w:pPr>
        <w:ind w:left="993"/>
        <w:rPr>
          <w:rFonts w:cs="Arial"/>
          <w:color w:val="003768"/>
          <w:lang w:val="fr-FR"/>
        </w:rPr>
      </w:pPr>
      <w:r w:rsidRPr="00F263F3">
        <w:rPr>
          <w:rFonts w:cs="Arial"/>
          <w:color w:val="003768"/>
          <w:lang w:val="fr-FR"/>
        </w:rPr>
        <w:t xml:space="preserve">Nombre d'abonnés KBC </w:t>
      </w:r>
      <w:proofErr w:type="spellStart"/>
      <w:r w:rsidRPr="00F263F3">
        <w:rPr>
          <w:rFonts w:cs="Arial"/>
          <w:color w:val="003768"/>
          <w:lang w:val="fr-FR"/>
        </w:rPr>
        <w:t>Touch</w:t>
      </w:r>
      <w:proofErr w:type="spellEnd"/>
      <w:r w:rsidRPr="00F263F3">
        <w:rPr>
          <w:rFonts w:cs="Arial"/>
          <w:color w:val="003768"/>
          <w:lang w:val="fr-FR"/>
        </w:rPr>
        <w:t xml:space="preserve"> (fin mai) : 1 096 581 (y compris </w:t>
      </w:r>
      <w:r w:rsidR="00054EED" w:rsidRPr="00F263F3">
        <w:rPr>
          <w:rFonts w:cs="Arial"/>
          <w:color w:val="003768"/>
          <w:lang w:val="fr-FR"/>
        </w:rPr>
        <w:t xml:space="preserve">CBC : </w:t>
      </w:r>
      <w:r w:rsidRPr="00F263F3">
        <w:rPr>
          <w:rFonts w:cs="Arial"/>
          <w:color w:val="003768"/>
          <w:lang w:val="fr-FR"/>
        </w:rPr>
        <w:t xml:space="preserve">1 236 088 de </w:t>
      </w:r>
      <w:r w:rsidR="00054EED" w:rsidRPr="00F263F3">
        <w:rPr>
          <w:rFonts w:cs="Arial"/>
          <w:color w:val="003768"/>
          <w:lang w:val="fr-FR"/>
        </w:rPr>
        <w:t>clients</w:t>
      </w:r>
      <w:r w:rsidRPr="00F263F3">
        <w:rPr>
          <w:rFonts w:cs="Arial"/>
          <w:color w:val="003768"/>
          <w:lang w:val="fr-FR"/>
        </w:rPr>
        <w:t>).</w:t>
      </w:r>
      <w:r w:rsidRPr="00F263F3">
        <w:rPr>
          <w:rFonts w:cs="Arial"/>
          <w:color w:val="003768"/>
          <w:lang w:val="fr-FR"/>
        </w:rPr>
        <w:br/>
      </w:r>
      <w:r w:rsidRPr="00164AF4">
        <w:rPr>
          <w:rFonts w:cs="Arial"/>
          <w:color w:val="003768"/>
          <w:lang w:val="fr-FR"/>
        </w:rPr>
        <w:t xml:space="preserve">Cela signifie que 1 client sur 3 de KBC/CBC (soit plus que le nombre de titulaires de comptes) est abonné à KBC/CBC </w:t>
      </w:r>
      <w:proofErr w:type="spellStart"/>
      <w:r w:rsidRPr="00164AF4">
        <w:rPr>
          <w:rFonts w:cs="Arial"/>
          <w:color w:val="003768"/>
          <w:lang w:val="fr-FR"/>
        </w:rPr>
        <w:t>Touch</w:t>
      </w:r>
      <w:proofErr w:type="spellEnd"/>
      <w:r w:rsidRPr="00164AF4">
        <w:rPr>
          <w:rFonts w:cs="Arial"/>
          <w:color w:val="003768"/>
          <w:lang w:val="fr-FR"/>
        </w:rPr>
        <w:t xml:space="preserve">. </w:t>
      </w:r>
    </w:p>
    <w:p w:rsidR="00246E45" w:rsidRPr="00164AF4" w:rsidRDefault="00246E45" w:rsidP="00F263F3">
      <w:pPr>
        <w:pStyle w:val="ListParagraph"/>
        <w:ind w:left="993"/>
        <w:rPr>
          <w:rFonts w:ascii="Calibri" w:eastAsia="Calibri" w:hAnsi="Calibri" w:cs="Arial"/>
          <w:color w:val="003768"/>
          <w:lang w:val="fr-FR"/>
        </w:rPr>
      </w:pPr>
      <w:r w:rsidRPr="00164AF4">
        <w:rPr>
          <w:rFonts w:ascii="Calibri" w:eastAsia="Calibri" w:hAnsi="Calibri" w:cs="Arial"/>
          <w:color w:val="003768"/>
          <w:lang w:val="fr-FR"/>
        </w:rPr>
        <w:t>53% de ces abonnés sont des hommes, contre 47% de femmes.</w:t>
      </w:r>
    </w:p>
    <w:p w:rsidR="00246E45" w:rsidRPr="00164AF4" w:rsidRDefault="00246E45" w:rsidP="00F263F3">
      <w:pPr>
        <w:ind w:left="993"/>
        <w:rPr>
          <w:rFonts w:cs="Arial"/>
          <w:b/>
          <w:color w:val="003768"/>
          <w:lang w:val="fr-FR"/>
        </w:rPr>
      </w:pPr>
      <w:r w:rsidRPr="00164AF4">
        <w:rPr>
          <w:rFonts w:cs="Arial"/>
          <w:b/>
          <w:color w:val="003768"/>
          <w:lang w:val="fr-FR"/>
        </w:rPr>
        <w:t xml:space="preserve">L'abonné à KBC/CBC </w:t>
      </w:r>
      <w:proofErr w:type="spellStart"/>
      <w:r w:rsidRPr="00164AF4">
        <w:rPr>
          <w:rFonts w:cs="Arial"/>
          <w:b/>
          <w:color w:val="003768"/>
          <w:lang w:val="fr-FR"/>
        </w:rPr>
        <w:t>Touch</w:t>
      </w:r>
      <w:proofErr w:type="spellEnd"/>
      <w:r w:rsidRPr="00164AF4">
        <w:rPr>
          <w:rFonts w:cs="Arial"/>
          <w:b/>
          <w:color w:val="003768"/>
          <w:lang w:val="fr-FR"/>
        </w:rPr>
        <w:t xml:space="preserve"> le plus âgé a 109 ans, le plus jeune a 10 ans.</w:t>
      </w:r>
    </w:p>
    <w:p w:rsidR="00246E45" w:rsidRPr="004F7395" w:rsidRDefault="00F263F3" w:rsidP="00246E45">
      <w:pPr>
        <w:pStyle w:val="ListParagraph"/>
        <w:rPr>
          <w:lang w:val="fr-FR"/>
        </w:rPr>
      </w:pPr>
      <w:r>
        <w:rPr>
          <w:noProof/>
          <w:lang w:val="en-US"/>
        </w:rPr>
        <w:lastRenderedPageBreak/>
        <w:drawing>
          <wp:inline distT="0" distB="0" distL="0" distR="0" wp14:anchorId="28FD0FD3" wp14:editId="12FF675A">
            <wp:extent cx="1809750" cy="1976436"/>
            <wp:effectExtent l="0" t="0" r="0" b="508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46E45">
        <w:rPr>
          <w:highlight w:val="green"/>
          <w:lang w:val="fr-FR"/>
        </w:rPr>
        <w:br w:type="textWrapping" w:clear="all"/>
      </w:r>
    </w:p>
    <w:p w:rsidR="00246E45" w:rsidRPr="004F7395" w:rsidRDefault="00246E45" w:rsidP="00246E45">
      <w:pPr>
        <w:pStyle w:val="ListParagraph"/>
        <w:rPr>
          <w:sz w:val="20"/>
          <w:szCs w:val="20"/>
          <w:lang w:val="fr-FR"/>
        </w:rPr>
      </w:pPr>
      <w:r>
        <w:rPr>
          <w:noProof/>
          <w:lang w:val="en-US"/>
        </w:rPr>
        <w:drawing>
          <wp:inline distT="0" distB="0" distL="0" distR="0" wp14:anchorId="0E08532D" wp14:editId="6AE6C76B">
            <wp:extent cx="4572000" cy="2743200"/>
            <wp:effectExtent l="0" t="0" r="0"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6E45" w:rsidRPr="004F7395" w:rsidRDefault="00246E45" w:rsidP="00246E45">
      <w:pPr>
        <w:pStyle w:val="ListParagraph"/>
        <w:rPr>
          <w:sz w:val="20"/>
          <w:szCs w:val="20"/>
          <w:lang w:val="fr-FR"/>
        </w:rPr>
      </w:pPr>
    </w:p>
    <w:p w:rsidR="00246E45" w:rsidRPr="00164AF4" w:rsidRDefault="00246E45" w:rsidP="00910FC1">
      <w:pPr>
        <w:pStyle w:val="Heading2"/>
        <w:ind w:left="720"/>
        <w:rPr>
          <w:rFonts w:ascii="Rockwell" w:eastAsia="Calibri" w:hAnsi="Rockwell" w:cs="Arial"/>
          <w:b/>
          <w:bCs/>
          <w:color w:val="003366"/>
          <w:sz w:val="28"/>
          <w:szCs w:val="28"/>
          <w:lang w:val="fr-FR"/>
        </w:rPr>
      </w:pPr>
      <w:r w:rsidRPr="00164AF4">
        <w:rPr>
          <w:rFonts w:ascii="Rockwell" w:eastAsia="Calibri" w:hAnsi="Rockwell" w:cs="Arial"/>
          <w:b/>
          <w:bCs/>
          <w:color w:val="003366"/>
          <w:sz w:val="28"/>
          <w:szCs w:val="28"/>
          <w:lang w:val="fr-FR"/>
        </w:rPr>
        <w:t xml:space="preserve">Quelles sont les fonctions de KBC/CBC </w:t>
      </w:r>
      <w:proofErr w:type="spellStart"/>
      <w:r w:rsidRPr="00164AF4">
        <w:rPr>
          <w:rFonts w:ascii="Rockwell" w:eastAsia="Calibri" w:hAnsi="Rockwell" w:cs="Arial"/>
          <w:b/>
          <w:bCs/>
          <w:color w:val="003366"/>
          <w:sz w:val="28"/>
          <w:szCs w:val="28"/>
          <w:lang w:val="fr-FR"/>
        </w:rPr>
        <w:t>Touch</w:t>
      </w:r>
      <w:proofErr w:type="spellEnd"/>
      <w:r w:rsidRPr="00164AF4">
        <w:rPr>
          <w:rFonts w:ascii="Rockwell" w:eastAsia="Calibri" w:hAnsi="Rockwell" w:cs="Arial"/>
          <w:b/>
          <w:bCs/>
          <w:color w:val="003366"/>
          <w:sz w:val="28"/>
          <w:szCs w:val="28"/>
          <w:lang w:val="fr-FR"/>
        </w:rPr>
        <w:t xml:space="preserve"> utilisées par le client ?</w:t>
      </w:r>
    </w:p>
    <w:p w:rsidR="00246E45" w:rsidRPr="00F263F3" w:rsidRDefault="00246E45" w:rsidP="00910FC1">
      <w:pPr>
        <w:pStyle w:val="ListParagraph"/>
        <w:numPr>
          <w:ilvl w:val="0"/>
          <w:numId w:val="1"/>
        </w:numPr>
        <w:ind w:left="1080"/>
        <w:rPr>
          <w:rFonts w:ascii="Calibri" w:eastAsia="Calibri" w:hAnsi="Calibri" w:cs="Arial"/>
          <w:color w:val="003768"/>
          <w:lang w:val="fr-FR"/>
        </w:rPr>
      </w:pPr>
      <w:r w:rsidRPr="00F263F3">
        <w:rPr>
          <w:rFonts w:ascii="Calibri" w:eastAsia="Calibri" w:hAnsi="Calibri" w:cs="Arial"/>
          <w:color w:val="003768"/>
          <w:lang w:val="fr-FR"/>
        </w:rPr>
        <w:t xml:space="preserve">La consultation des comptes est la transaction la plus fréquente. </w:t>
      </w:r>
    </w:p>
    <w:p w:rsidR="00246E45" w:rsidRPr="00246E45" w:rsidRDefault="00246E45" w:rsidP="00910FC1">
      <w:pPr>
        <w:pStyle w:val="ListParagraph"/>
        <w:numPr>
          <w:ilvl w:val="0"/>
          <w:numId w:val="1"/>
        </w:numPr>
        <w:ind w:left="1080"/>
        <w:rPr>
          <w:rFonts w:ascii="Calibri" w:eastAsia="Calibri" w:hAnsi="Calibri" w:cs="Arial"/>
          <w:color w:val="003768"/>
          <w:lang w:val="en-US"/>
        </w:rPr>
      </w:pPr>
      <w:r w:rsidRPr="00164AF4">
        <w:rPr>
          <w:rFonts w:ascii="Calibri" w:eastAsia="Calibri" w:hAnsi="Calibri" w:cs="Arial"/>
          <w:color w:val="003768"/>
          <w:lang w:val="fr-FR"/>
        </w:rPr>
        <w:t xml:space="preserve">KBC/CBC </w:t>
      </w:r>
      <w:proofErr w:type="spellStart"/>
      <w:r w:rsidRPr="00164AF4">
        <w:rPr>
          <w:rFonts w:ascii="Calibri" w:eastAsia="Calibri" w:hAnsi="Calibri" w:cs="Arial"/>
          <w:color w:val="003768"/>
          <w:lang w:val="fr-FR"/>
        </w:rPr>
        <w:t>Touch</w:t>
      </w:r>
      <w:proofErr w:type="spellEnd"/>
      <w:r w:rsidRPr="00164AF4">
        <w:rPr>
          <w:rFonts w:ascii="Calibri" w:eastAsia="Calibri" w:hAnsi="Calibri" w:cs="Arial"/>
          <w:color w:val="003768"/>
          <w:lang w:val="fr-FR"/>
        </w:rPr>
        <w:t xml:space="preserve"> offre en outre la possibilité de demander ou de gérer des produits et/ou des services.</w:t>
      </w:r>
      <w:r w:rsidRPr="00164AF4">
        <w:rPr>
          <w:rFonts w:ascii="Calibri" w:eastAsia="Calibri" w:hAnsi="Calibri" w:cs="Arial"/>
          <w:color w:val="003768"/>
          <w:lang w:val="fr-FR"/>
        </w:rPr>
        <w:br/>
      </w:r>
      <w:r w:rsidRPr="00246E45">
        <w:rPr>
          <w:rFonts w:ascii="Calibri" w:eastAsia="Calibri" w:hAnsi="Calibri" w:cs="Arial"/>
          <w:color w:val="003768"/>
          <w:lang w:val="en-US"/>
        </w:rPr>
        <w:t xml:space="preserve">En </w:t>
      </w:r>
      <w:proofErr w:type="spellStart"/>
      <w:r w:rsidRPr="00246E45">
        <w:rPr>
          <w:rFonts w:ascii="Calibri" w:eastAsia="Calibri" w:hAnsi="Calibri" w:cs="Arial"/>
          <w:color w:val="003768"/>
          <w:lang w:val="en-US"/>
        </w:rPr>
        <w:t>voici</w:t>
      </w:r>
      <w:proofErr w:type="spellEnd"/>
      <w:r w:rsidRPr="00246E45">
        <w:rPr>
          <w:rFonts w:ascii="Calibri" w:eastAsia="Calibri" w:hAnsi="Calibri" w:cs="Arial"/>
          <w:color w:val="003768"/>
          <w:lang w:val="en-US"/>
        </w:rPr>
        <w:t xml:space="preserve"> le TOP </w:t>
      </w:r>
      <w:proofErr w:type="gramStart"/>
      <w:r w:rsidRPr="00246E45">
        <w:rPr>
          <w:rFonts w:ascii="Calibri" w:eastAsia="Calibri" w:hAnsi="Calibri" w:cs="Arial"/>
          <w:color w:val="003768"/>
          <w:lang w:val="en-US"/>
        </w:rPr>
        <w:t>5 :</w:t>
      </w:r>
      <w:proofErr w:type="gramEnd"/>
    </w:p>
    <w:p w:rsidR="00246E45" w:rsidRPr="00164AF4" w:rsidRDefault="00246E45" w:rsidP="00910FC1">
      <w:pPr>
        <w:pStyle w:val="ListParagraph"/>
        <w:numPr>
          <w:ilvl w:val="1"/>
          <w:numId w:val="1"/>
        </w:numPr>
        <w:ind w:left="1800"/>
        <w:rPr>
          <w:rFonts w:ascii="Calibri" w:eastAsia="Calibri" w:hAnsi="Calibri" w:cs="Arial"/>
          <w:color w:val="003768"/>
          <w:lang w:val="fr-FR"/>
        </w:rPr>
      </w:pPr>
      <w:r w:rsidRPr="00164AF4">
        <w:rPr>
          <w:rFonts w:ascii="Calibri" w:eastAsia="Calibri" w:hAnsi="Calibri" w:cs="Arial"/>
          <w:color w:val="003768"/>
          <w:lang w:val="fr-FR"/>
        </w:rPr>
        <w:t>ouvrir un compte de base ou un compte plus</w:t>
      </w:r>
    </w:p>
    <w:p w:rsidR="00246E45" w:rsidRPr="00246E45" w:rsidRDefault="00246E45" w:rsidP="00910FC1">
      <w:pPr>
        <w:pStyle w:val="ListParagraph"/>
        <w:numPr>
          <w:ilvl w:val="1"/>
          <w:numId w:val="1"/>
        </w:numPr>
        <w:ind w:left="1800"/>
        <w:rPr>
          <w:rFonts w:ascii="Calibri" w:eastAsia="Calibri" w:hAnsi="Calibri" w:cs="Arial"/>
          <w:color w:val="003768"/>
          <w:lang w:val="en-US"/>
        </w:rPr>
      </w:pPr>
      <w:proofErr w:type="gramStart"/>
      <w:r w:rsidRPr="00246E45">
        <w:rPr>
          <w:rFonts w:ascii="Calibri" w:eastAsia="Calibri" w:hAnsi="Calibri" w:cs="Arial"/>
          <w:color w:val="003768"/>
          <w:lang w:val="en-US"/>
        </w:rPr>
        <w:t>demander</w:t>
      </w:r>
      <w:proofErr w:type="gramEnd"/>
      <w:r w:rsidRPr="00246E45">
        <w:rPr>
          <w:rFonts w:ascii="Calibri" w:eastAsia="Calibri" w:hAnsi="Calibri" w:cs="Arial"/>
          <w:color w:val="003768"/>
          <w:lang w:val="en-US"/>
        </w:rPr>
        <w:t xml:space="preserve"> </w:t>
      </w:r>
      <w:proofErr w:type="spellStart"/>
      <w:r w:rsidRPr="00246E45">
        <w:rPr>
          <w:rFonts w:ascii="Calibri" w:eastAsia="Calibri" w:hAnsi="Calibri" w:cs="Arial"/>
          <w:color w:val="003768"/>
          <w:lang w:val="en-US"/>
        </w:rPr>
        <w:t>une</w:t>
      </w:r>
      <w:proofErr w:type="spellEnd"/>
      <w:r w:rsidRPr="00246E45">
        <w:rPr>
          <w:rFonts w:ascii="Calibri" w:eastAsia="Calibri" w:hAnsi="Calibri" w:cs="Arial"/>
          <w:color w:val="003768"/>
          <w:lang w:val="en-US"/>
        </w:rPr>
        <w:t xml:space="preserve"> carte de débit</w:t>
      </w:r>
    </w:p>
    <w:p w:rsidR="00246E45" w:rsidRPr="00164AF4" w:rsidRDefault="00246E45" w:rsidP="00910FC1">
      <w:pPr>
        <w:pStyle w:val="ListParagraph"/>
        <w:numPr>
          <w:ilvl w:val="1"/>
          <w:numId w:val="1"/>
        </w:numPr>
        <w:spacing w:line="252" w:lineRule="auto"/>
        <w:ind w:left="1800"/>
        <w:rPr>
          <w:rFonts w:ascii="Calibri" w:eastAsia="Calibri" w:hAnsi="Calibri" w:cs="Arial"/>
          <w:b/>
          <w:color w:val="003768"/>
          <w:lang w:val="fr-FR"/>
        </w:rPr>
      </w:pPr>
      <w:r w:rsidRPr="00164AF4">
        <w:rPr>
          <w:rFonts w:ascii="Calibri" w:eastAsia="Calibri" w:hAnsi="Calibri" w:cs="Arial"/>
          <w:color w:val="003768"/>
          <w:lang w:val="fr-FR"/>
        </w:rPr>
        <w:t xml:space="preserve">simuler un projet logement, conseils hypothécaires compris (pour les clients ayant un crédit logement à date de révision du taux contractuelle). </w:t>
      </w:r>
      <w:r w:rsidRPr="00164AF4">
        <w:rPr>
          <w:rFonts w:ascii="Calibri" w:eastAsia="Calibri" w:hAnsi="Calibri" w:cs="Arial"/>
          <w:b/>
          <w:color w:val="003768"/>
          <w:lang w:val="fr-FR"/>
        </w:rPr>
        <w:t xml:space="preserve">KBC/CBC </w:t>
      </w:r>
      <w:proofErr w:type="spellStart"/>
      <w:r w:rsidRPr="00164AF4">
        <w:rPr>
          <w:rFonts w:ascii="Calibri" w:eastAsia="Calibri" w:hAnsi="Calibri" w:cs="Arial"/>
          <w:b/>
          <w:color w:val="003768"/>
          <w:lang w:val="fr-FR"/>
        </w:rPr>
        <w:t>Touch</w:t>
      </w:r>
      <w:proofErr w:type="spellEnd"/>
      <w:r w:rsidRPr="00164AF4">
        <w:rPr>
          <w:rFonts w:ascii="Calibri" w:eastAsia="Calibri" w:hAnsi="Calibri" w:cs="Arial"/>
          <w:b/>
          <w:color w:val="003768"/>
          <w:lang w:val="fr-FR"/>
        </w:rPr>
        <w:t xml:space="preserve"> permet la finalisation totalement numérique d'un crédit logement, conseils personnalisés et tarif individualisé compris (la signature numérique sera possible dès la fin août).</w:t>
      </w:r>
    </w:p>
    <w:p w:rsidR="00246E45" w:rsidRPr="00246E45" w:rsidRDefault="00246E45" w:rsidP="00910FC1">
      <w:pPr>
        <w:pStyle w:val="ListParagraph"/>
        <w:numPr>
          <w:ilvl w:val="1"/>
          <w:numId w:val="1"/>
        </w:numPr>
        <w:spacing w:line="252" w:lineRule="auto"/>
        <w:ind w:left="1800"/>
        <w:rPr>
          <w:rFonts w:ascii="Calibri" w:eastAsia="Calibri" w:hAnsi="Calibri" w:cs="Arial"/>
          <w:color w:val="003768"/>
          <w:lang w:val="en-US"/>
        </w:rPr>
      </w:pPr>
      <w:r w:rsidRPr="00164AF4">
        <w:rPr>
          <w:rFonts w:ascii="Calibri" w:eastAsia="Calibri" w:hAnsi="Calibri" w:cs="Arial"/>
          <w:color w:val="003768"/>
          <w:lang w:val="fr-FR"/>
        </w:rPr>
        <w:t xml:space="preserve">prendre rendez-vous avec un chargé de relations KBC/CBC (ainsi que les rendez-vous pour conseil personnalisé par chat ou </w:t>
      </w:r>
      <w:proofErr w:type="spellStart"/>
      <w:r w:rsidRPr="00164AF4">
        <w:rPr>
          <w:rFonts w:ascii="Calibri" w:eastAsia="Calibri" w:hAnsi="Calibri" w:cs="Arial"/>
          <w:color w:val="003768"/>
          <w:lang w:val="fr-FR"/>
        </w:rPr>
        <w:t>videochat</w:t>
      </w:r>
      <w:proofErr w:type="spellEnd"/>
      <w:r w:rsidRPr="00164AF4">
        <w:rPr>
          <w:rFonts w:ascii="Calibri" w:eastAsia="Calibri" w:hAnsi="Calibri" w:cs="Arial"/>
          <w:color w:val="003768"/>
          <w:lang w:val="fr-FR"/>
        </w:rPr>
        <w:t xml:space="preserve">). </w:t>
      </w:r>
      <w:r w:rsidRPr="00246E45">
        <w:rPr>
          <w:rFonts w:ascii="Calibri" w:eastAsia="Calibri" w:hAnsi="Calibri" w:cs="Arial"/>
          <w:color w:val="003768"/>
          <w:lang w:val="en-US"/>
        </w:rPr>
        <w:t xml:space="preserve">En </w:t>
      </w:r>
      <w:proofErr w:type="spellStart"/>
      <w:r w:rsidRPr="00246E45">
        <w:rPr>
          <w:rFonts w:ascii="Calibri" w:eastAsia="Calibri" w:hAnsi="Calibri" w:cs="Arial"/>
          <w:color w:val="003768"/>
          <w:lang w:val="en-US"/>
        </w:rPr>
        <w:t>juin</w:t>
      </w:r>
      <w:proofErr w:type="spellEnd"/>
      <w:r w:rsidRPr="00246E45">
        <w:rPr>
          <w:rFonts w:ascii="Calibri" w:eastAsia="Calibri" w:hAnsi="Calibri" w:cs="Arial"/>
          <w:color w:val="003768"/>
          <w:lang w:val="en-US"/>
        </w:rPr>
        <w:t xml:space="preserve">, 1092 </w:t>
      </w:r>
      <w:proofErr w:type="gramStart"/>
      <w:r w:rsidRPr="00246E45">
        <w:rPr>
          <w:rFonts w:ascii="Calibri" w:eastAsia="Calibri" w:hAnsi="Calibri" w:cs="Arial"/>
          <w:color w:val="003768"/>
          <w:lang w:val="en-US"/>
        </w:rPr>
        <w:t>clients</w:t>
      </w:r>
      <w:proofErr w:type="gramEnd"/>
      <w:r w:rsidRPr="00246E45">
        <w:rPr>
          <w:rFonts w:ascii="Calibri" w:eastAsia="Calibri" w:hAnsi="Calibri" w:cs="Arial"/>
          <w:color w:val="003768"/>
          <w:lang w:val="en-US"/>
        </w:rPr>
        <w:t xml:space="preserve"> y ont eu recours. </w:t>
      </w:r>
    </w:p>
    <w:p w:rsidR="00246E45" w:rsidRPr="00164AF4" w:rsidRDefault="00246E45" w:rsidP="00910FC1">
      <w:pPr>
        <w:pStyle w:val="ListParagraph"/>
        <w:numPr>
          <w:ilvl w:val="1"/>
          <w:numId w:val="1"/>
        </w:numPr>
        <w:ind w:left="1800"/>
        <w:rPr>
          <w:rFonts w:ascii="Calibri" w:eastAsia="Calibri" w:hAnsi="Calibri" w:cs="Arial"/>
          <w:color w:val="003768"/>
          <w:lang w:val="fr-FR"/>
        </w:rPr>
      </w:pPr>
      <w:r w:rsidRPr="00164AF4">
        <w:rPr>
          <w:rFonts w:ascii="Calibri" w:eastAsia="Calibri" w:hAnsi="Calibri" w:cs="Arial"/>
          <w:color w:val="003768"/>
          <w:lang w:val="fr-FR"/>
        </w:rPr>
        <w:t xml:space="preserve">établir un profil de risque dans le cadre des opportunités d'investissement </w:t>
      </w:r>
    </w:p>
    <w:p w:rsidR="00246E45" w:rsidRPr="00164AF4" w:rsidRDefault="00246E45" w:rsidP="00910FC1">
      <w:pPr>
        <w:ind w:left="1068"/>
        <w:rPr>
          <w:rFonts w:cs="Arial"/>
          <w:color w:val="003768"/>
          <w:lang w:val="fr-FR"/>
        </w:rPr>
      </w:pPr>
      <w:r w:rsidRPr="00164AF4">
        <w:rPr>
          <w:rFonts w:cs="Arial"/>
          <w:color w:val="003768"/>
          <w:lang w:val="fr-FR"/>
        </w:rPr>
        <w:t xml:space="preserve">Pendant les vacances, les clients commandent des devises </w:t>
      </w:r>
      <w:proofErr w:type="gramStart"/>
      <w:r w:rsidRPr="00164AF4">
        <w:rPr>
          <w:rFonts w:cs="Arial"/>
          <w:color w:val="003768"/>
          <w:lang w:val="fr-FR"/>
        </w:rPr>
        <w:t>ou</w:t>
      </w:r>
      <w:proofErr w:type="gramEnd"/>
      <w:r w:rsidRPr="00164AF4">
        <w:rPr>
          <w:rFonts w:cs="Arial"/>
          <w:color w:val="003768"/>
          <w:lang w:val="fr-FR"/>
        </w:rPr>
        <w:t xml:space="preserve"> ouvrent une carte de banque ou de crédit à une utilisation internationale.  La vérification des assurances voyage et assistance gagne également en importance. </w:t>
      </w:r>
    </w:p>
    <w:p w:rsidR="00A404CC" w:rsidRPr="00164AF4" w:rsidRDefault="00A404CC" w:rsidP="00910FC1">
      <w:pPr>
        <w:ind w:left="1068"/>
        <w:rPr>
          <w:rFonts w:cs="Arial"/>
          <w:color w:val="003768"/>
          <w:lang w:val="fr-FR"/>
        </w:rPr>
      </w:pPr>
    </w:p>
    <w:p w:rsidR="00A404CC" w:rsidRPr="00164AF4" w:rsidRDefault="00A404CC" w:rsidP="00910FC1">
      <w:pPr>
        <w:ind w:left="1068"/>
        <w:rPr>
          <w:rFonts w:cs="Arial"/>
          <w:color w:val="003768"/>
          <w:lang w:val="fr-FR"/>
        </w:rPr>
      </w:pPr>
    </w:p>
    <w:p w:rsidR="00494018" w:rsidRPr="00054EED" w:rsidRDefault="00494018" w:rsidP="00494018">
      <w:pPr>
        <w:pStyle w:val="Heading2"/>
        <w:ind w:left="720"/>
        <w:rPr>
          <w:rFonts w:ascii="Rockwell" w:eastAsia="Calibri" w:hAnsi="Rockwell" w:cs="Arial"/>
          <w:b/>
          <w:bCs/>
          <w:color w:val="003366"/>
          <w:sz w:val="28"/>
          <w:szCs w:val="28"/>
          <w:lang w:val="fr-FR"/>
        </w:rPr>
      </w:pPr>
      <w:r w:rsidRPr="00054EED">
        <w:rPr>
          <w:rFonts w:ascii="Rockwell" w:eastAsia="Calibri" w:hAnsi="Rockwell" w:cs="Arial"/>
          <w:b/>
          <w:bCs/>
          <w:color w:val="003366"/>
          <w:sz w:val="28"/>
          <w:szCs w:val="28"/>
          <w:lang w:val="fr-FR"/>
        </w:rPr>
        <w:lastRenderedPageBreak/>
        <w:t xml:space="preserve">Comment le client utilise-t-il KBC/CBC </w:t>
      </w:r>
      <w:proofErr w:type="spellStart"/>
      <w:r w:rsidRPr="00054EED">
        <w:rPr>
          <w:rFonts w:ascii="Rockwell" w:eastAsia="Calibri" w:hAnsi="Rockwell" w:cs="Arial"/>
          <w:b/>
          <w:bCs/>
          <w:color w:val="003366"/>
          <w:sz w:val="28"/>
          <w:szCs w:val="28"/>
          <w:lang w:val="fr-FR"/>
        </w:rPr>
        <w:t>Touch</w:t>
      </w:r>
      <w:proofErr w:type="spellEnd"/>
      <w:r w:rsidRPr="00054EED">
        <w:rPr>
          <w:rFonts w:ascii="Rockwell" w:eastAsia="Calibri" w:hAnsi="Rockwell" w:cs="Arial"/>
          <w:b/>
          <w:bCs/>
          <w:color w:val="003366"/>
          <w:sz w:val="28"/>
          <w:szCs w:val="28"/>
          <w:lang w:val="fr-FR"/>
        </w:rPr>
        <w:t xml:space="preserve"> et qu'en pense-il? </w:t>
      </w:r>
    </w:p>
    <w:p w:rsidR="00494018" w:rsidRPr="00150078" w:rsidRDefault="00494018" w:rsidP="00494018">
      <w:pPr>
        <w:pStyle w:val="ListParagraph"/>
        <w:numPr>
          <w:ilvl w:val="0"/>
          <w:numId w:val="1"/>
        </w:numPr>
        <w:ind w:left="1080"/>
        <w:rPr>
          <w:rFonts w:ascii="Calibri" w:eastAsia="Calibri" w:hAnsi="Calibri" w:cs="Arial"/>
          <w:color w:val="003768"/>
          <w:lang w:val="fr-FR"/>
        </w:rPr>
      </w:pPr>
      <w:r w:rsidRPr="00F263F3">
        <w:rPr>
          <w:rFonts w:ascii="Calibri" w:eastAsia="Calibri" w:hAnsi="Calibri" w:cs="Arial"/>
          <w:color w:val="003768"/>
          <w:lang w:val="fr-FR"/>
        </w:rPr>
        <w:t xml:space="preserve">Environ 20% des utilisateurs l'utilisent sur leur tablette, alors que 80% recourent à la version browser. </w:t>
      </w:r>
      <w:r w:rsidRPr="00150078">
        <w:rPr>
          <w:rFonts w:ascii="Calibri" w:eastAsia="Calibri" w:hAnsi="Calibri" w:cs="Arial"/>
          <w:color w:val="003768"/>
          <w:lang w:val="fr-FR"/>
        </w:rPr>
        <w:t xml:space="preserve">Ces chiffres englobent bien entendu des utilisateurs mixtes. </w:t>
      </w:r>
      <w:r w:rsidRPr="00150078">
        <w:rPr>
          <w:rFonts w:ascii="Calibri" w:eastAsia="Calibri" w:hAnsi="Calibri" w:cs="Arial"/>
          <w:b/>
          <w:color w:val="003768"/>
          <w:lang w:val="fr-FR"/>
        </w:rPr>
        <w:t xml:space="preserve">Les utilisateurs de la version browser ont l’avantage unique de ne plus avoir besoin de lecteur de carte avec KBC/CBC </w:t>
      </w:r>
      <w:proofErr w:type="spellStart"/>
      <w:r w:rsidRPr="00150078">
        <w:rPr>
          <w:rFonts w:ascii="Calibri" w:eastAsia="Calibri" w:hAnsi="Calibri" w:cs="Arial"/>
          <w:b/>
          <w:color w:val="003768"/>
          <w:lang w:val="fr-FR"/>
        </w:rPr>
        <w:t>Sign</w:t>
      </w:r>
      <w:proofErr w:type="spellEnd"/>
      <w:r w:rsidRPr="00150078">
        <w:rPr>
          <w:rFonts w:ascii="Calibri" w:eastAsia="Calibri" w:hAnsi="Calibri" w:cs="Arial"/>
          <w:b/>
          <w:color w:val="003768"/>
          <w:lang w:val="fr-FR"/>
        </w:rPr>
        <w:t xml:space="preserve"> !</w:t>
      </w:r>
    </w:p>
    <w:p w:rsidR="00494018" w:rsidRPr="00150078" w:rsidRDefault="00494018" w:rsidP="00494018">
      <w:pPr>
        <w:pStyle w:val="ListParagraph"/>
        <w:numPr>
          <w:ilvl w:val="0"/>
          <w:numId w:val="1"/>
        </w:numPr>
        <w:ind w:left="1080"/>
        <w:rPr>
          <w:rFonts w:ascii="Calibri" w:eastAsia="Calibri" w:hAnsi="Calibri" w:cs="Arial"/>
          <w:color w:val="003768"/>
          <w:lang w:val="fr-FR"/>
        </w:rPr>
      </w:pPr>
      <w:r w:rsidRPr="00150078">
        <w:rPr>
          <w:rFonts w:ascii="Calibri" w:eastAsia="Calibri" w:hAnsi="Calibri" w:cs="Arial"/>
          <w:color w:val="003768"/>
          <w:lang w:val="fr-FR"/>
        </w:rPr>
        <w:t xml:space="preserve">Au total, les clients ont effectué plus de 20 millions de transactions en juin. </w:t>
      </w:r>
    </w:p>
    <w:p w:rsidR="00494018" w:rsidRPr="00246E45" w:rsidRDefault="00494018" w:rsidP="00494018">
      <w:pPr>
        <w:ind w:left="720"/>
        <w:rPr>
          <w:rFonts w:cs="Arial"/>
          <w:color w:val="003768"/>
          <w:lang w:val="fr-FR"/>
        </w:rPr>
      </w:pPr>
      <w:r w:rsidRPr="00246E45">
        <w:rPr>
          <w:rFonts w:cs="Arial"/>
          <w:color w:val="003768"/>
          <w:lang w:val="fr-FR"/>
        </w:rPr>
        <w:t xml:space="preserve">Pour les aveugles et les malvoyants, KBC et CBC </w:t>
      </w:r>
      <w:r>
        <w:rPr>
          <w:rFonts w:cs="Arial"/>
          <w:color w:val="003768"/>
          <w:lang w:val="fr-FR"/>
        </w:rPr>
        <w:t>ont</w:t>
      </w:r>
      <w:r w:rsidRPr="00246E45">
        <w:rPr>
          <w:rFonts w:cs="Arial"/>
          <w:color w:val="003768"/>
          <w:lang w:val="fr-FR"/>
        </w:rPr>
        <w:t xml:space="preserve"> pris des initiatives spécifiques en collaboration avec des associations défendant leurs intérêts : </w:t>
      </w:r>
    </w:p>
    <w:p w:rsidR="00494018" w:rsidRPr="00F263F3" w:rsidRDefault="00494018" w:rsidP="00494018">
      <w:pPr>
        <w:pStyle w:val="ListParagraph"/>
        <w:numPr>
          <w:ilvl w:val="0"/>
          <w:numId w:val="1"/>
        </w:numPr>
        <w:ind w:left="1080"/>
        <w:rPr>
          <w:rFonts w:ascii="Calibri" w:eastAsia="Calibri" w:hAnsi="Calibri" w:cs="Arial"/>
          <w:color w:val="003768"/>
          <w:lang w:val="fr-FR"/>
        </w:rPr>
      </w:pPr>
      <w:r w:rsidRPr="00F263F3">
        <w:rPr>
          <w:rFonts w:ascii="Calibri" w:eastAsia="Calibri" w:hAnsi="Calibri" w:cs="Arial"/>
          <w:color w:val="003768"/>
          <w:lang w:val="fr-FR"/>
        </w:rPr>
        <w:t xml:space="preserve">L'option contraste élevé, qui permet une lisibilité accrue, </w:t>
      </w:r>
      <w:r>
        <w:rPr>
          <w:rFonts w:ascii="Calibri" w:eastAsia="Calibri" w:hAnsi="Calibri" w:cs="Arial"/>
          <w:color w:val="003768"/>
          <w:lang w:val="fr-FR"/>
        </w:rPr>
        <w:t>a déjà été activée par quelque 11</w:t>
      </w:r>
      <w:r w:rsidRPr="00F263F3">
        <w:rPr>
          <w:rFonts w:ascii="Calibri" w:eastAsia="Calibri" w:hAnsi="Calibri" w:cs="Arial"/>
          <w:color w:val="003768"/>
          <w:lang w:val="fr-FR"/>
        </w:rPr>
        <w:t xml:space="preserve"> 000 clients.</w:t>
      </w:r>
    </w:p>
    <w:p w:rsidR="00494018" w:rsidRPr="00F263F3" w:rsidRDefault="00494018" w:rsidP="00494018">
      <w:pPr>
        <w:pStyle w:val="ListParagraph"/>
        <w:numPr>
          <w:ilvl w:val="0"/>
          <w:numId w:val="1"/>
        </w:numPr>
        <w:ind w:left="1080"/>
        <w:rPr>
          <w:rFonts w:ascii="Calibri" w:eastAsia="Calibri" w:hAnsi="Calibri" w:cs="Arial"/>
          <w:color w:val="003768"/>
          <w:lang w:val="fr-FR"/>
        </w:rPr>
      </w:pPr>
      <w:r w:rsidRPr="00F263F3">
        <w:rPr>
          <w:rFonts w:ascii="Calibri" w:eastAsia="Calibri" w:hAnsi="Calibri" w:cs="Arial"/>
          <w:color w:val="003768"/>
          <w:lang w:val="fr-FR"/>
        </w:rPr>
        <w:t xml:space="preserve">Les agences KBC/CBC ont distribué près de 660 lecteurs de carte parlants. Ces lecteurs de carte gratuits associés à un logiciel de lecture d'écran facilitent l'utilisation de KBC/CBC </w:t>
      </w:r>
      <w:proofErr w:type="spellStart"/>
      <w:r w:rsidRPr="00F263F3">
        <w:rPr>
          <w:rFonts w:ascii="Calibri" w:eastAsia="Calibri" w:hAnsi="Calibri" w:cs="Arial"/>
          <w:color w:val="003768"/>
          <w:lang w:val="fr-FR"/>
        </w:rPr>
        <w:t>Touch</w:t>
      </w:r>
      <w:proofErr w:type="spellEnd"/>
      <w:r w:rsidRPr="00F263F3">
        <w:rPr>
          <w:rFonts w:ascii="Calibri" w:eastAsia="Calibri" w:hAnsi="Calibri" w:cs="Arial"/>
          <w:color w:val="003768"/>
          <w:lang w:val="fr-FR"/>
        </w:rPr>
        <w:t xml:space="preserve"> par les aveugles et les malvoyants. </w:t>
      </w:r>
    </w:p>
    <w:p w:rsidR="00494018" w:rsidRPr="00494018" w:rsidRDefault="00494018" w:rsidP="00494018">
      <w:pPr>
        <w:pStyle w:val="Heading2"/>
        <w:ind w:left="720"/>
        <w:rPr>
          <w:rFonts w:ascii="Rockwell" w:eastAsia="Calibri" w:hAnsi="Rockwell" w:cs="Arial"/>
          <w:b/>
          <w:bCs/>
          <w:color w:val="003366"/>
          <w:sz w:val="28"/>
          <w:szCs w:val="28"/>
          <w:lang w:val="en-US"/>
        </w:rPr>
      </w:pPr>
      <w:r w:rsidRPr="00494018">
        <w:rPr>
          <w:rFonts w:ascii="Rockwell" w:eastAsia="Calibri" w:hAnsi="Rockwell" w:cs="Arial"/>
          <w:b/>
          <w:bCs/>
          <w:color w:val="003366"/>
          <w:sz w:val="28"/>
          <w:szCs w:val="28"/>
          <w:lang w:val="en-US"/>
        </w:rPr>
        <w:t>KBC/CBC client « on the go » avec KBC/CBC Mobile</w:t>
      </w:r>
    </w:p>
    <w:p w:rsidR="00494018" w:rsidRPr="00150078" w:rsidRDefault="00494018" w:rsidP="00494018">
      <w:pPr>
        <w:ind w:left="720"/>
        <w:rPr>
          <w:rFonts w:cs="Arial"/>
          <w:color w:val="003768"/>
          <w:lang w:val="fr-FR"/>
        </w:rPr>
      </w:pPr>
      <w:r w:rsidRPr="00150078">
        <w:rPr>
          <w:rFonts w:cs="Arial"/>
          <w:color w:val="003768"/>
          <w:lang w:val="fr-FR"/>
        </w:rPr>
        <w:t xml:space="preserve">511 493 clients sont des abonnés KBC/CBC Mobile (y compris  CBC: 578 774 d’abonnés), </w:t>
      </w:r>
      <w:proofErr w:type="spellStart"/>
      <w:r w:rsidRPr="00150078">
        <w:rPr>
          <w:rFonts w:cs="Arial"/>
          <w:color w:val="003768"/>
          <w:lang w:val="fr-FR"/>
        </w:rPr>
        <w:t>l'app</w:t>
      </w:r>
      <w:proofErr w:type="spellEnd"/>
      <w:r w:rsidRPr="00150078">
        <w:rPr>
          <w:rFonts w:cs="Arial"/>
          <w:color w:val="003768"/>
          <w:lang w:val="fr-FR"/>
        </w:rPr>
        <w:t xml:space="preserve"> pour smartphone de KBC/CBC pour IOS, Android et téléphones Windows : avec 81% d'utilisateurs actifs, cette application remporte un franc succès. En mai, 180 000 abonnés actifs, tant à KBC/CBC </w:t>
      </w:r>
      <w:proofErr w:type="spellStart"/>
      <w:r w:rsidRPr="00150078">
        <w:rPr>
          <w:rFonts w:cs="Arial"/>
          <w:color w:val="003768"/>
          <w:lang w:val="fr-FR"/>
        </w:rPr>
        <w:t>Touch</w:t>
      </w:r>
      <w:proofErr w:type="spellEnd"/>
      <w:r w:rsidRPr="00150078">
        <w:rPr>
          <w:rFonts w:cs="Arial"/>
          <w:color w:val="003768"/>
          <w:lang w:val="fr-FR"/>
        </w:rPr>
        <w:t xml:space="preserve"> qu'à KBC/CBC Mobile, ont été recensés. KBC/CBC Mobile obtient des utilisateurs Android le score d'appréciation très élevé de 4,6.</w:t>
      </w:r>
    </w:p>
    <w:p w:rsidR="00494018" w:rsidRPr="00150078" w:rsidRDefault="00494018" w:rsidP="00494018">
      <w:pPr>
        <w:pStyle w:val="Heading2"/>
        <w:ind w:left="720"/>
        <w:rPr>
          <w:rFonts w:ascii="Rockwell" w:eastAsia="Calibri" w:hAnsi="Rockwell" w:cs="Arial"/>
          <w:b/>
          <w:bCs/>
          <w:color w:val="003366"/>
          <w:sz w:val="28"/>
          <w:szCs w:val="28"/>
          <w:lang w:val="fr-FR"/>
        </w:rPr>
      </w:pPr>
      <w:r w:rsidRPr="00150078">
        <w:rPr>
          <w:rFonts w:ascii="Rockwell" w:eastAsia="Calibri" w:hAnsi="Rockwell" w:cs="Arial"/>
          <w:b/>
          <w:bCs/>
          <w:color w:val="003366"/>
          <w:sz w:val="28"/>
          <w:szCs w:val="28"/>
          <w:lang w:val="fr-FR"/>
        </w:rPr>
        <w:t xml:space="preserve">KBC/CBC </w:t>
      </w:r>
      <w:proofErr w:type="spellStart"/>
      <w:r w:rsidRPr="00150078">
        <w:rPr>
          <w:rFonts w:ascii="Rockwell" w:eastAsia="Calibri" w:hAnsi="Rockwell" w:cs="Arial"/>
          <w:b/>
          <w:bCs/>
          <w:color w:val="003366"/>
          <w:sz w:val="28"/>
          <w:szCs w:val="28"/>
          <w:lang w:val="fr-FR"/>
        </w:rPr>
        <w:t>Touch</w:t>
      </w:r>
      <w:proofErr w:type="spellEnd"/>
      <w:r w:rsidRPr="00150078">
        <w:rPr>
          <w:rFonts w:ascii="Rockwell" w:eastAsia="Calibri" w:hAnsi="Rockwell" w:cs="Arial"/>
          <w:b/>
          <w:bCs/>
          <w:color w:val="003366"/>
          <w:sz w:val="28"/>
          <w:szCs w:val="28"/>
          <w:lang w:val="fr-FR"/>
        </w:rPr>
        <w:t xml:space="preserve"> est en outre future-proof</w:t>
      </w:r>
    </w:p>
    <w:p w:rsidR="00494018" w:rsidRPr="00150078" w:rsidRDefault="00494018" w:rsidP="00494018">
      <w:pPr>
        <w:ind w:left="720"/>
        <w:rPr>
          <w:rFonts w:cs="Arial"/>
          <w:color w:val="003768"/>
          <w:lang w:val="fr-FR"/>
        </w:rPr>
      </w:pPr>
      <w:r w:rsidRPr="00150078">
        <w:rPr>
          <w:rFonts w:cs="Arial"/>
          <w:color w:val="003768"/>
          <w:lang w:val="fr-FR"/>
        </w:rPr>
        <w:t xml:space="preserve">Depuis le premier release de KBC/CBC </w:t>
      </w:r>
      <w:proofErr w:type="spellStart"/>
      <w:r w:rsidRPr="00150078">
        <w:rPr>
          <w:rFonts w:cs="Arial"/>
          <w:color w:val="003768"/>
          <w:lang w:val="fr-FR"/>
        </w:rPr>
        <w:t>Touch</w:t>
      </w:r>
      <w:proofErr w:type="spellEnd"/>
      <w:r w:rsidRPr="00150078">
        <w:rPr>
          <w:rFonts w:cs="Arial"/>
          <w:color w:val="003768"/>
          <w:lang w:val="fr-FR"/>
        </w:rPr>
        <w:t xml:space="preserve">, un long chemin a déjà été parcouru. KBC et CBC travaillent en permanence à de nouvelles applications et au développement des applications existantes. Ainsi, KBC/CBC </w:t>
      </w:r>
      <w:proofErr w:type="spellStart"/>
      <w:r w:rsidRPr="00150078">
        <w:rPr>
          <w:rFonts w:cs="Arial"/>
          <w:color w:val="003768"/>
          <w:lang w:val="fr-FR"/>
        </w:rPr>
        <w:t>Touch</w:t>
      </w:r>
      <w:proofErr w:type="spellEnd"/>
      <w:r w:rsidRPr="00150078">
        <w:rPr>
          <w:rFonts w:cs="Arial"/>
          <w:color w:val="003768"/>
          <w:lang w:val="fr-FR"/>
        </w:rPr>
        <w:t xml:space="preserve"> répond à la demande du client d'une gestion </w:t>
      </w:r>
      <w:proofErr w:type="spellStart"/>
      <w:r w:rsidRPr="00150078">
        <w:rPr>
          <w:rFonts w:cs="Arial"/>
          <w:color w:val="003768"/>
          <w:lang w:val="fr-FR"/>
        </w:rPr>
        <w:t>omnicanal</w:t>
      </w:r>
      <w:proofErr w:type="spellEnd"/>
      <w:r w:rsidRPr="00150078">
        <w:rPr>
          <w:rFonts w:cs="Arial"/>
          <w:color w:val="003768"/>
          <w:lang w:val="fr-FR"/>
        </w:rPr>
        <w:t xml:space="preserve"> de ses affaires tant privées que professionnelles. </w:t>
      </w:r>
    </w:p>
    <w:p w:rsidR="00494018" w:rsidRPr="00150078" w:rsidRDefault="00494018" w:rsidP="00494018">
      <w:pPr>
        <w:spacing w:line="252" w:lineRule="auto"/>
        <w:ind w:left="720"/>
        <w:jc w:val="both"/>
        <w:rPr>
          <w:rFonts w:cs="Arial"/>
          <w:color w:val="003768"/>
          <w:lang w:val="fr-FR"/>
        </w:rPr>
      </w:pPr>
      <w:r w:rsidRPr="00F263F3">
        <w:rPr>
          <w:rFonts w:cs="Arial"/>
          <w:color w:val="003768"/>
          <w:lang w:val="fr-FR"/>
        </w:rPr>
        <w:t xml:space="preserve">Dans sa stratégie mettant le client au centre de ses préoccupations, KBC et CBC ciblent une approche </w:t>
      </w:r>
      <w:proofErr w:type="spellStart"/>
      <w:r w:rsidR="002D4211">
        <w:rPr>
          <w:rFonts w:cs="Arial"/>
          <w:color w:val="003768"/>
          <w:lang w:val="fr-FR"/>
        </w:rPr>
        <w:t>omnicanale</w:t>
      </w:r>
      <w:proofErr w:type="spellEnd"/>
      <w:r w:rsidRPr="00F263F3">
        <w:rPr>
          <w:rFonts w:cs="Arial"/>
          <w:color w:val="003768"/>
          <w:lang w:val="fr-FR"/>
        </w:rPr>
        <w:t xml:space="preserve">. </w:t>
      </w:r>
      <w:r w:rsidRPr="00150078">
        <w:rPr>
          <w:rFonts w:cs="Arial"/>
          <w:color w:val="003768"/>
          <w:lang w:val="fr-FR"/>
        </w:rPr>
        <w:t xml:space="preserve">KBC propose des solutions accessibles où </w:t>
      </w:r>
      <w:r w:rsidR="002D4211">
        <w:rPr>
          <w:rFonts w:cs="Arial"/>
          <w:color w:val="003768"/>
          <w:lang w:val="fr-FR"/>
        </w:rPr>
        <w:t xml:space="preserve">et quand </w:t>
      </w:r>
      <w:r w:rsidRPr="00150078">
        <w:rPr>
          <w:rFonts w:cs="Arial"/>
          <w:color w:val="003768"/>
          <w:lang w:val="fr-FR"/>
        </w:rPr>
        <w:t>le client en a besoin. Des solutions qui lui permettent aussi de gagner un temps précieux. KBC Groupe SA a investi ces deux dernières années dans une interaction optimale de ses agences bancaires et d'assurance, de ses Centres Conseils régionaux, de ses sites Internet et de ses applications mobiles. Les informations issues des différents canaux sont intégrées afin de pouvoir répondre rapidement, parfaitement et personnellement aux besoins spécifiques du client, qui gagne ainsi beaucoup de temps.</w:t>
      </w:r>
    </w:p>
    <w:p w:rsidR="00246E45" w:rsidRPr="004F7395" w:rsidRDefault="00246E45" w:rsidP="00246E45">
      <w:pPr>
        <w:rPr>
          <w:lang w:val="fr-FR"/>
        </w:rPr>
      </w:pPr>
    </w:p>
    <w:p w:rsidR="0077354C" w:rsidRPr="00246E45" w:rsidRDefault="0077354C" w:rsidP="0077354C">
      <w:pPr>
        <w:autoSpaceDE w:val="0"/>
        <w:autoSpaceDN w:val="0"/>
        <w:adjustRightInd w:val="0"/>
        <w:spacing w:after="0" w:line="240" w:lineRule="auto"/>
        <w:ind w:left="993" w:right="4"/>
        <w:rPr>
          <w:rFonts w:cs="Arial"/>
          <w:color w:val="003366"/>
          <w:lang w:val="fr-FR"/>
        </w:rPr>
      </w:pPr>
    </w:p>
    <w:p w:rsidR="00D14EBE" w:rsidRDefault="00D14EBE"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D57A50" w:rsidRDefault="00D57A50"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D14EBE" w:rsidRDefault="00D14EBE"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3C1BF8" w:rsidRDefault="0077354C" w:rsidP="003C1BF8">
      <w:pPr>
        <w:autoSpaceDE w:val="0"/>
        <w:autoSpaceDN w:val="0"/>
        <w:adjustRightInd w:val="0"/>
        <w:spacing w:after="120" w:line="240" w:lineRule="auto"/>
        <w:ind w:left="993" w:right="4"/>
        <w:rPr>
          <w:rFonts w:ascii="Rockwell" w:hAnsi="Rockwell" w:cs="Arial"/>
          <w:b/>
          <w:bCs/>
          <w:color w:val="003768"/>
          <w:sz w:val="24"/>
          <w:szCs w:val="24"/>
          <w:lang w:val="fr-FR" w:eastAsia="nl-BE"/>
        </w:rPr>
      </w:pPr>
      <w:r w:rsidRPr="00D57A50">
        <w:rPr>
          <w:rFonts w:ascii="Rockwell" w:hAnsi="Rockwell" w:cs="Arial"/>
          <w:b/>
          <w:bCs/>
          <w:color w:val="003768"/>
          <w:sz w:val="24"/>
          <w:szCs w:val="24"/>
          <w:lang w:val="fr-FR" w:eastAsia="nl-BE"/>
        </w:rPr>
        <w:t>Pour tout complément d’</w:t>
      </w:r>
      <w:r w:rsidR="003C1BF8">
        <w:rPr>
          <w:rFonts w:ascii="Rockwell" w:hAnsi="Rockwell" w:cs="Arial"/>
          <w:b/>
          <w:bCs/>
          <w:color w:val="003768"/>
          <w:sz w:val="24"/>
          <w:szCs w:val="24"/>
          <w:lang w:val="fr-FR" w:eastAsia="nl-BE"/>
        </w:rPr>
        <w:t xml:space="preserve">information, veuillez contacter </w:t>
      </w:r>
      <w:r w:rsidRPr="00D57A50">
        <w:rPr>
          <w:rFonts w:ascii="Rockwell" w:hAnsi="Rockwell" w:cs="Arial"/>
          <w:b/>
          <w:bCs/>
          <w:color w:val="003768"/>
          <w:sz w:val="24"/>
          <w:szCs w:val="24"/>
          <w:lang w:val="fr-FR" w:eastAsia="nl-BE"/>
        </w:rPr>
        <w:t>:</w:t>
      </w:r>
    </w:p>
    <w:p w:rsidR="00494018" w:rsidRDefault="00494018" w:rsidP="00494018">
      <w:pPr>
        <w:pStyle w:val="NoSpacing"/>
        <w:ind w:left="993"/>
        <w:rPr>
          <w:rFonts w:cs="Arial"/>
          <w:color w:val="003768"/>
          <w:sz w:val="24"/>
          <w:szCs w:val="24"/>
          <w:lang w:val="fr-FR" w:eastAsia="nl-BE"/>
        </w:rPr>
      </w:pPr>
      <w:r>
        <w:rPr>
          <w:rFonts w:cs="Arial"/>
          <w:color w:val="003768"/>
          <w:sz w:val="24"/>
          <w:szCs w:val="24"/>
          <w:lang w:val="fr-FR" w:eastAsia="nl-BE"/>
        </w:rPr>
        <w:t>Fabien Tyteca, Chargé de</w:t>
      </w:r>
      <w:r w:rsidR="002D7BB4">
        <w:rPr>
          <w:rFonts w:cs="Arial"/>
          <w:color w:val="003768"/>
          <w:sz w:val="24"/>
          <w:szCs w:val="24"/>
          <w:lang w:val="fr-FR" w:eastAsia="nl-BE"/>
        </w:rPr>
        <w:t>s Relations P</w:t>
      </w:r>
      <w:r>
        <w:rPr>
          <w:rFonts w:cs="Arial"/>
          <w:color w:val="003768"/>
          <w:sz w:val="24"/>
          <w:szCs w:val="24"/>
          <w:lang w:val="fr-FR" w:eastAsia="nl-BE"/>
        </w:rPr>
        <w:t>resse CBC Banque &amp; Assurance</w:t>
      </w:r>
      <w:r>
        <w:rPr>
          <w:rFonts w:cs="Arial"/>
          <w:color w:val="003768"/>
          <w:sz w:val="24"/>
          <w:szCs w:val="24"/>
          <w:lang w:val="fr-FR" w:eastAsia="nl-BE"/>
        </w:rPr>
        <w:br/>
        <w:t>Tél. + 32 2 547 17 13 -</w:t>
      </w:r>
      <w:r w:rsidRPr="00494018">
        <w:rPr>
          <w:rFonts w:cs="Arial"/>
          <w:color w:val="003768"/>
          <w:sz w:val="24"/>
          <w:szCs w:val="24"/>
          <w:lang w:val="fr-FR" w:eastAsia="nl-BE"/>
        </w:rPr>
        <w:t xml:space="preserve"> GSM 0471 369 509 </w:t>
      </w:r>
      <w:r w:rsidRPr="002D7BB4">
        <w:rPr>
          <w:rFonts w:cs="Arial"/>
          <w:color w:val="003768"/>
          <w:sz w:val="24"/>
          <w:szCs w:val="24"/>
          <w:lang w:val="fr-FR"/>
        </w:rPr>
        <w:t>- E-mail :</w:t>
      </w:r>
      <w:r>
        <w:rPr>
          <w:rFonts w:cs="Arial"/>
          <w:color w:val="003768"/>
          <w:sz w:val="24"/>
          <w:szCs w:val="24"/>
          <w:lang w:val="fr-FR" w:eastAsia="nl-BE"/>
        </w:rPr>
        <w:t xml:space="preserve"> </w:t>
      </w:r>
      <w:hyperlink r:id="rId12" w:history="1">
        <w:r w:rsidRPr="00494018">
          <w:rPr>
            <w:rStyle w:val="Hyperlink"/>
            <w:rFonts w:cs="Arial"/>
            <w:color w:val="00B0F0"/>
            <w:sz w:val="24"/>
            <w:szCs w:val="24"/>
            <w:lang w:val="fr-FR" w:eastAsia="nl-BE"/>
          </w:rPr>
          <w:t>fabien.tyteca@cbc.be</w:t>
        </w:r>
      </w:hyperlink>
      <w:r w:rsidRPr="00494018">
        <w:rPr>
          <w:rFonts w:cs="Arial"/>
          <w:color w:val="00B0F0"/>
          <w:sz w:val="24"/>
          <w:szCs w:val="24"/>
          <w:lang w:val="fr-FR" w:eastAsia="nl-BE"/>
        </w:rPr>
        <w:t xml:space="preserve"> </w:t>
      </w:r>
    </w:p>
    <w:p w:rsidR="00494018" w:rsidRDefault="00494018" w:rsidP="00D57A50">
      <w:pPr>
        <w:pStyle w:val="NoSpacing"/>
        <w:ind w:left="993"/>
        <w:rPr>
          <w:rFonts w:cs="Arial"/>
          <w:color w:val="003768"/>
          <w:sz w:val="24"/>
          <w:szCs w:val="24"/>
          <w:lang w:val="fr-FR" w:eastAsia="nl-BE"/>
        </w:rPr>
      </w:pPr>
    </w:p>
    <w:p w:rsidR="0077354C" w:rsidRPr="00D57A50" w:rsidRDefault="0077354C" w:rsidP="00D57A50">
      <w:pPr>
        <w:pStyle w:val="NoSpacing"/>
        <w:ind w:left="993"/>
        <w:rPr>
          <w:color w:val="00AEEF"/>
          <w:sz w:val="24"/>
          <w:szCs w:val="24"/>
          <w:lang w:val="fr-FR"/>
        </w:rPr>
      </w:pPr>
      <w:r w:rsidRPr="00D57A50">
        <w:rPr>
          <w:rFonts w:cs="Arial"/>
          <w:color w:val="003768"/>
          <w:sz w:val="24"/>
          <w:szCs w:val="24"/>
          <w:lang w:val="fr-FR" w:eastAsia="nl-BE"/>
        </w:rPr>
        <w:t xml:space="preserve">Viviane Huybrecht, Directeur Communication </w:t>
      </w:r>
      <w:proofErr w:type="spellStart"/>
      <w:r w:rsidRPr="00D57A50">
        <w:rPr>
          <w:rFonts w:cs="Arial"/>
          <w:color w:val="003768"/>
          <w:sz w:val="24"/>
          <w:szCs w:val="24"/>
          <w:lang w:val="fr-FR" w:eastAsia="nl-BE"/>
        </w:rPr>
        <w:t>Corporate</w:t>
      </w:r>
      <w:proofErr w:type="spellEnd"/>
      <w:r w:rsidRPr="00D57A50">
        <w:rPr>
          <w:rFonts w:cs="Arial"/>
          <w:color w:val="003768"/>
          <w:sz w:val="24"/>
          <w:szCs w:val="24"/>
          <w:lang w:val="fr-FR" w:eastAsia="nl-BE"/>
        </w:rPr>
        <w:t xml:space="preserve"> / Porte-parole KBC Groupe</w:t>
      </w:r>
    </w:p>
    <w:p w:rsidR="0077354C" w:rsidRPr="00D57A50" w:rsidRDefault="0077354C" w:rsidP="00D57A50">
      <w:pPr>
        <w:autoSpaceDE w:val="0"/>
        <w:autoSpaceDN w:val="0"/>
        <w:adjustRightInd w:val="0"/>
        <w:spacing w:after="0" w:line="240" w:lineRule="auto"/>
        <w:ind w:left="993" w:right="4"/>
        <w:rPr>
          <w:rFonts w:cs="Arial"/>
          <w:sz w:val="24"/>
          <w:szCs w:val="24"/>
          <w:lang w:val="de-DE"/>
        </w:rPr>
      </w:pPr>
      <w:r w:rsidRPr="00D57A50">
        <w:rPr>
          <w:rFonts w:cs="Arial"/>
          <w:color w:val="003768"/>
          <w:sz w:val="24"/>
          <w:szCs w:val="24"/>
          <w:lang w:val="de-DE"/>
        </w:rPr>
        <w:t xml:space="preserve">Tel +32 2 429 85 45  - </w:t>
      </w:r>
      <w:proofErr w:type="spellStart"/>
      <w:r w:rsidRPr="00D57A50">
        <w:rPr>
          <w:rFonts w:cs="Arial"/>
          <w:color w:val="003768"/>
          <w:sz w:val="24"/>
          <w:szCs w:val="24"/>
          <w:lang w:val="de-DE"/>
        </w:rPr>
        <w:t>E-mail</w:t>
      </w:r>
      <w:proofErr w:type="spellEnd"/>
      <w:r w:rsidRPr="00D57A50">
        <w:rPr>
          <w:rFonts w:cs="Arial"/>
          <w:color w:val="003768"/>
          <w:sz w:val="24"/>
          <w:szCs w:val="24"/>
          <w:lang w:val="de-DE"/>
        </w:rPr>
        <w:t xml:space="preserve"> :</w:t>
      </w:r>
      <w:r w:rsidRPr="00D57A50">
        <w:rPr>
          <w:rFonts w:cs="Arial"/>
          <w:sz w:val="24"/>
          <w:szCs w:val="24"/>
          <w:lang w:val="de-DE"/>
        </w:rPr>
        <w:t xml:space="preserve"> </w:t>
      </w:r>
      <w:hyperlink r:id="rId13" w:history="1">
        <w:r w:rsidRPr="00D57A50">
          <w:rPr>
            <w:rStyle w:val="Hyperlink"/>
            <w:rFonts w:cs="Arial"/>
            <w:color w:val="00AEEF"/>
            <w:sz w:val="24"/>
            <w:szCs w:val="24"/>
            <w:lang w:val="de-DE"/>
          </w:rPr>
          <w:t>pressofficekbc@kbc.be</w:t>
        </w:r>
      </w:hyperlink>
    </w:p>
    <w:p w:rsidR="0077354C" w:rsidRPr="00017FD1" w:rsidRDefault="0077354C" w:rsidP="0077354C">
      <w:pPr>
        <w:autoSpaceDE w:val="0"/>
        <w:autoSpaceDN w:val="0"/>
        <w:adjustRightInd w:val="0"/>
        <w:spacing w:after="0" w:line="240" w:lineRule="auto"/>
        <w:ind w:left="993" w:right="4"/>
        <w:rPr>
          <w:rFonts w:cs="Arial"/>
          <w:lang w:val="de-DE"/>
        </w:rPr>
      </w:pPr>
    </w:p>
    <w:sectPr w:rsidR="0077354C" w:rsidRPr="00017FD1" w:rsidSect="00020337">
      <w:footerReference w:type="default" r:id="rId14"/>
      <w:pgSz w:w="11907" w:h="16840" w:code="9"/>
      <w:pgMar w:top="567" w:right="992" w:bottom="567" w:left="232"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3F" w:rsidRDefault="004D543F" w:rsidP="0077354C">
      <w:pPr>
        <w:spacing w:after="0" w:line="240" w:lineRule="auto"/>
      </w:pPr>
      <w:r>
        <w:separator/>
      </w:r>
    </w:p>
  </w:endnote>
  <w:endnote w:type="continuationSeparator" w:id="0">
    <w:p w:rsidR="004D543F" w:rsidRDefault="004D543F" w:rsidP="0077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Rockwell,Bold">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4C" w:rsidRDefault="0077354C">
    <w:pPr>
      <w:pStyle w:val="Footer"/>
      <w:jc w:val="center"/>
    </w:pPr>
    <w:r>
      <w:t xml:space="preserve">Page </w:t>
    </w:r>
    <w:r w:rsidR="005B5013">
      <w:rPr>
        <w:b/>
        <w:sz w:val="24"/>
        <w:szCs w:val="24"/>
      </w:rPr>
      <w:fldChar w:fldCharType="begin"/>
    </w:r>
    <w:r>
      <w:rPr>
        <w:b/>
      </w:rPr>
      <w:instrText xml:space="preserve"> PAGE </w:instrText>
    </w:r>
    <w:r w:rsidR="005B5013">
      <w:rPr>
        <w:b/>
        <w:sz w:val="24"/>
        <w:szCs w:val="24"/>
      </w:rPr>
      <w:fldChar w:fldCharType="separate"/>
    </w:r>
    <w:r w:rsidR="00D32CF1">
      <w:rPr>
        <w:b/>
        <w:noProof/>
      </w:rPr>
      <w:t>1</w:t>
    </w:r>
    <w:r w:rsidR="005B5013">
      <w:rPr>
        <w:b/>
        <w:sz w:val="24"/>
        <w:szCs w:val="24"/>
      </w:rPr>
      <w:fldChar w:fldCharType="end"/>
    </w:r>
    <w:r>
      <w:t xml:space="preserve"> of </w:t>
    </w:r>
    <w:r w:rsidR="005B5013">
      <w:rPr>
        <w:b/>
        <w:sz w:val="24"/>
        <w:szCs w:val="24"/>
      </w:rPr>
      <w:fldChar w:fldCharType="begin"/>
    </w:r>
    <w:r>
      <w:rPr>
        <w:b/>
      </w:rPr>
      <w:instrText xml:space="preserve"> NUMPAGES  </w:instrText>
    </w:r>
    <w:r w:rsidR="005B5013">
      <w:rPr>
        <w:b/>
        <w:sz w:val="24"/>
        <w:szCs w:val="24"/>
      </w:rPr>
      <w:fldChar w:fldCharType="separate"/>
    </w:r>
    <w:r w:rsidR="00D32CF1">
      <w:rPr>
        <w:b/>
        <w:noProof/>
      </w:rPr>
      <w:t>3</w:t>
    </w:r>
    <w:r w:rsidR="005B5013">
      <w:rPr>
        <w:b/>
        <w:sz w:val="24"/>
        <w:szCs w:val="24"/>
      </w:rPr>
      <w:fldChar w:fldCharType="end"/>
    </w:r>
  </w:p>
  <w:p w:rsidR="0077354C" w:rsidRDefault="007735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3F" w:rsidRDefault="004D543F" w:rsidP="0077354C">
      <w:pPr>
        <w:spacing w:after="0" w:line="240" w:lineRule="auto"/>
      </w:pPr>
      <w:r>
        <w:separator/>
      </w:r>
    </w:p>
  </w:footnote>
  <w:footnote w:type="continuationSeparator" w:id="0">
    <w:p w:rsidR="004D543F" w:rsidRDefault="004D543F" w:rsidP="0077354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181"/>
    <w:multiLevelType w:val="hybridMultilevel"/>
    <w:tmpl w:val="CCAEB8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EE7736B"/>
    <w:multiLevelType w:val="hybridMultilevel"/>
    <w:tmpl w:val="4B6CBDB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C4"/>
    <w:rsid w:val="00017FD1"/>
    <w:rsid w:val="00020337"/>
    <w:rsid w:val="000358CD"/>
    <w:rsid w:val="00041581"/>
    <w:rsid w:val="00054EED"/>
    <w:rsid w:val="00067351"/>
    <w:rsid w:val="0007720A"/>
    <w:rsid w:val="001044FC"/>
    <w:rsid w:val="00145E8E"/>
    <w:rsid w:val="001572F2"/>
    <w:rsid w:val="00164AF4"/>
    <w:rsid w:val="00191CF8"/>
    <w:rsid w:val="001E36E6"/>
    <w:rsid w:val="00221900"/>
    <w:rsid w:val="00222803"/>
    <w:rsid w:val="00246E45"/>
    <w:rsid w:val="00262D1E"/>
    <w:rsid w:val="00281858"/>
    <w:rsid w:val="00286C63"/>
    <w:rsid w:val="002D4211"/>
    <w:rsid w:val="002D59DA"/>
    <w:rsid w:val="002D7BB4"/>
    <w:rsid w:val="00326CB0"/>
    <w:rsid w:val="00334465"/>
    <w:rsid w:val="00340775"/>
    <w:rsid w:val="0038316D"/>
    <w:rsid w:val="0038517C"/>
    <w:rsid w:val="003915CA"/>
    <w:rsid w:val="003A10F4"/>
    <w:rsid w:val="003A54AC"/>
    <w:rsid w:val="003C1BF8"/>
    <w:rsid w:val="003C3F4A"/>
    <w:rsid w:val="003C61B4"/>
    <w:rsid w:val="004278B1"/>
    <w:rsid w:val="0047091F"/>
    <w:rsid w:val="00494018"/>
    <w:rsid w:val="004D543F"/>
    <w:rsid w:val="004F7511"/>
    <w:rsid w:val="004F75DC"/>
    <w:rsid w:val="0052230C"/>
    <w:rsid w:val="005235E3"/>
    <w:rsid w:val="00574F3C"/>
    <w:rsid w:val="005B005E"/>
    <w:rsid w:val="005B5013"/>
    <w:rsid w:val="00610315"/>
    <w:rsid w:val="0064576A"/>
    <w:rsid w:val="00673D3E"/>
    <w:rsid w:val="006917E1"/>
    <w:rsid w:val="006A6C5E"/>
    <w:rsid w:val="006A73EA"/>
    <w:rsid w:val="006C3542"/>
    <w:rsid w:val="006F3BB7"/>
    <w:rsid w:val="007571D2"/>
    <w:rsid w:val="00770C2F"/>
    <w:rsid w:val="0077354C"/>
    <w:rsid w:val="00775C2F"/>
    <w:rsid w:val="00777C89"/>
    <w:rsid w:val="00830F8B"/>
    <w:rsid w:val="00856602"/>
    <w:rsid w:val="00910FC1"/>
    <w:rsid w:val="009252FC"/>
    <w:rsid w:val="009C1678"/>
    <w:rsid w:val="009C4391"/>
    <w:rsid w:val="00A20B2F"/>
    <w:rsid w:val="00A404CC"/>
    <w:rsid w:val="00A42FB1"/>
    <w:rsid w:val="00A73521"/>
    <w:rsid w:val="00A9543A"/>
    <w:rsid w:val="00AC7A25"/>
    <w:rsid w:val="00B7736D"/>
    <w:rsid w:val="00B97593"/>
    <w:rsid w:val="00BE46FD"/>
    <w:rsid w:val="00C608CE"/>
    <w:rsid w:val="00C879D4"/>
    <w:rsid w:val="00CE168D"/>
    <w:rsid w:val="00D01FB0"/>
    <w:rsid w:val="00D14EBE"/>
    <w:rsid w:val="00D32CF1"/>
    <w:rsid w:val="00D57A50"/>
    <w:rsid w:val="00D61FE6"/>
    <w:rsid w:val="00D651BD"/>
    <w:rsid w:val="00E65043"/>
    <w:rsid w:val="00EA7DF4"/>
    <w:rsid w:val="00EF1A60"/>
    <w:rsid w:val="00F263F3"/>
    <w:rsid w:val="00F5543C"/>
    <w:rsid w:val="00F56CC4"/>
    <w:rsid w:val="00F83524"/>
    <w:rsid w:val="00F8611A"/>
    <w:rsid w:val="00FC36C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9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358C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nl-BE"/>
    </w:rPr>
  </w:style>
  <w:style w:type="paragraph" w:styleId="Heading2">
    <w:name w:val="heading 2"/>
    <w:basedOn w:val="Normal"/>
    <w:next w:val="Normal"/>
    <w:link w:val="Heading2Char"/>
    <w:uiPriority w:val="9"/>
    <w:unhideWhenUsed/>
    <w:qFormat/>
    <w:rsid w:val="000358C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C4"/>
    <w:rPr>
      <w:rFonts w:ascii="Tahoma" w:hAnsi="Tahoma" w:cs="Tahoma"/>
      <w:sz w:val="16"/>
      <w:szCs w:val="16"/>
    </w:rPr>
  </w:style>
  <w:style w:type="paragraph" w:styleId="NoSpacing">
    <w:name w:val="No Spacing"/>
    <w:uiPriority w:val="1"/>
    <w:qFormat/>
    <w:rsid w:val="00F56CC4"/>
    <w:rPr>
      <w:sz w:val="22"/>
      <w:szCs w:val="22"/>
      <w:lang w:val="en-US" w:eastAsia="en-US"/>
    </w:rPr>
  </w:style>
  <w:style w:type="character" w:styleId="Hyperlink">
    <w:name w:val="Hyperlink"/>
    <w:basedOn w:val="DefaultParagraphFont"/>
    <w:uiPriority w:val="99"/>
    <w:unhideWhenUsed/>
    <w:rsid w:val="00A20B2F"/>
    <w:rPr>
      <w:color w:val="0000FF"/>
      <w:u w:val="single"/>
    </w:rPr>
  </w:style>
  <w:style w:type="paragraph" w:styleId="Footer">
    <w:name w:val="footer"/>
    <w:basedOn w:val="Normal"/>
    <w:link w:val="FooterChar"/>
    <w:uiPriority w:val="99"/>
    <w:unhideWhenUsed/>
    <w:rsid w:val="00AC7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A25"/>
  </w:style>
  <w:style w:type="paragraph" w:styleId="Header">
    <w:name w:val="header"/>
    <w:basedOn w:val="Normal"/>
    <w:link w:val="HeaderChar"/>
    <w:uiPriority w:val="99"/>
    <w:semiHidden/>
    <w:unhideWhenUsed/>
    <w:rsid w:val="0077354C"/>
    <w:pPr>
      <w:tabs>
        <w:tab w:val="center" w:pos="4536"/>
        <w:tab w:val="right" w:pos="9072"/>
      </w:tabs>
    </w:pPr>
  </w:style>
  <w:style w:type="character" w:customStyle="1" w:styleId="HeaderChar">
    <w:name w:val="Header Char"/>
    <w:basedOn w:val="DefaultParagraphFont"/>
    <w:link w:val="Header"/>
    <w:uiPriority w:val="99"/>
    <w:semiHidden/>
    <w:rsid w:val="0077354C"/>
    <w:rPr>
      <w:sz w:val="22"/>
      <w:szCs w:val="22"/>
      <w:lang w:val="en-US" w:eastAsia="en-US"/>
    </w:rPr>
  </w:style>
  <w:style w:type="character" w:customStyle="1" w:styleId="Heading1Char">
    <w:name w:val="Heading 1 Char"/>
    <w:basedOn w:val="DefaultParagraphFont"/>
    <w:link w:val="Heading1"/>
    <w:uiPriority w:val="9"/>
    <w:rsid w:val="000358C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358CD"/>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246E45"/>
    <w:pPr>
      <w:spacing w:after="160" w:line="259" w:lineRule="auto"/>
      <w:ind w:left="720"/>
      <w:contextualSpacing/>
    </w:pPr>
    <w:rPr>
      <w:rFonts w:asciiTheme="minorHAnsi" w:eastAsiaTheme="minorHAnsi" w:hAnsiTheme="minorHAnsi" w:cstheme="minorBidi"/>
      <w:lang w:val="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9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358C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nl-BE"/>
    </w:rPr>
  </w:style>
  <w:style w:type="paragraph" w:styleId="Heading2">
    <w:name w:val="heading 2"/>
    <w:basedOn w:val="Normal"/>
    <w:next w:val="Normal"/>
    <w:link w:val="Heading2Char"/>
    <w:uiPriority w:val="9"/>
    <w:unhideWhenUsed/>
    <w:qFormat/>
    <w:rsid w:val="000358C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C4"/>
    <w:rPr>
      <w:rFonts w:ascii="Tahoma" w:hAnsi="Tahoma" w:cs="Tahoma"/>
      <w:sz w:val="16"/>
      <w:szCs w:val="16"/>
    </w:rPr>
  </w:style>
  <w:style w:type="paragraph" w:styleId="NoSpacing">
    <w:name w:val="No Spacing"/>
    <w:uiPriority w:val="1"/>
    <w:qFormat/>
    <w:rsid w:val="00F56CC4"/>
    <w:rPr>
      <w:sz w:val="22"/>
      <w:szCs w:val="22"/>
      <w:lang w:val="en-US" w:eastAsia="en-US"/>
    </w:rPr>
  </w:style>
  <w:style w:type="character" w:styleId="Hyperlink">
    <w:name w:val="Hyperlink"/>
    <w:basedOn w:val="DefaultParagraphFont"/>
    <w:uiPriority w:val="99"/>
    <w:unhideWhenUsed/>
    <w:rsid w:val="00A20B2F"/>
    <w:rPr>
      <w:color w:val="0000FF"/>
      <w:u w:val="single"/>
    </w:rPr>
  </w:style>
  <w:style w:type="paragraph" w:styleId="Footer">
    <w:name w:val="footer"/>
    <w:basedOn w:val="Normal"/>
    <w:link w:val="FooterChar"/>
    <w:uiPriority w:val="99"/>
    <w:unhideWhenUsed/>
    <w:rsid w:val="00AC7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A25"/>
  </w:style>
  <w:style w:type="paragraph" w:styleId="Header">
    <w:name w:val="header"/>
    <w:basedOn w:val="Normal"/>
    <w:link w:val="HeaderChar"/>
    <w:uiPriority w:val="99"/>
    <w:semiHidden/>
    <w:unhideWhenUsed/>
    <w:rsid w:val="0077354C"/>
    <w:pPr>
      <w:tabs>
        <w:tab w:val="center" w:pos="4536"/>
        <w:tab w:val="right" w:pos="9072"/>
      </w:tabs>
    </w:pPr>
  </w:style>
  <w:style w:type="character" w:customStyle="1" w:styleId="HeaderChar">
    <w:name w:val="Header Char"/>
    <w:basedOn w:val="DefaultParagraphFont"/>
    <w:link w:val="Header"/>
    <w:uiPriority w:val="99"/>
    <w:semiHidden/>
    <w:rsid w:val="0077354C"/>
    <w:rPr>
      <w:sz w:val="22"/>
      <w:szCs w:val="22"/>
      <w:lang w:val="en-US" w:eastAsia="en-US"/>
    </w:rPr>
  </w:style>
  <w:style w:type="character" w:customStyle="1" w:styleId="Heading1Char">
    <w:name w:val="Heading 1 Char"/>
    <w:basedOn w:val="DefaultParagraphFont"/>
    <w:link w:val="Heading1"/>
    <w:uiPriority w:val="9"/>
    <w:rsid w:val="000358C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358CD"/>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246E45"/>
    <w:pPr>
      <w:spacing w:after="160" w:line="259" w:lineRule="auto"/>
      <w:ind w:left="720"/>
      <w:contextualSpacing/>
    </w:pPr>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hyperlink" Target="mailto:fabien.tyteca@cbc.be" TargetMode="External"/><Relationship Id="rId13" Type="http://schemas.openxmlformats.org/officeDocument/2006/relationships/hyperlink" Target="mailto:pressofficekbc@kbc.be"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Map1"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sexe</a:t>
            </a:r>
          </a:p>
        </c:rich>
      </c:tx>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Blad1!$C$4:$C$5</c:f>
              <c:strCache>
                <c:ptCount val="2"/>
                <c:pt idx="0">
                  <c:v>homme</c:v>
                </c:pt>
                <c:pt idx="1">
                  <c:v>femme</c:v>
                </c:pt>
              </c:strCache>
            </c:strRef>
          </c:cat>
          <c:val>
            <c:numRef>
              <c:f>Blad1!$B$4:$B$5</c:f>
              <c:numCache>
                <c:formatCode>0%</c:formatCode>
                <c:ptCount val="2"/>
                <c:pt idx="0">
                  <c:v>0.53</c:v>
                </c:pt>
                <c:pt idx="1">
                  <c:v>0.47</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répartition KBC/CBC Touch et KBC/CBC Mobile</a:t>
            </a:r>
          </a:p>
        </c:rich>
      </c:tx>
      <c:overlay val="0"/>
      <c:spPr>
        <a:noFill/>
        <a:ln>
          <a:noFill/>
        </a:ln>
        <a:effectLst/>
      </c:spPr>
    </c:title>
    <c:autoTitleDeleted val="0"/>
    <c:plotArea>
      <c:layout/>
      <c:barChart>
        <c:barDir val="bar"/>
        <c:grouping val="clustered"/>
        <c:varyColors val="0"/>
        <c:ser>
          <c:idx val="0"/>
          <c:order val="0"/>
          <c:tx>
            <c:strRef>
              <c:f>Blad1!$C$23</c:f>
              <c:strCache>
                <c:ptCount val="1"/>
                <c:pt idx="0">
                  <c:v>Touch</c:v>
                </c:pt>
              </c:strCache>
            </c:strRef>
          </c:tx>
          <c:spPr>
            <a:solidFill>
              <a:schemeClr val="accent1"/>
            </a:solidFill>
            <a:ln>
              <a:noFill/>
            </a:ln>
            <a:effectLst/>
          </c:spPr>
          <c:invertIfNegative val="0"/>
          <c:cat>
            <c:strRef>
              <c:f>Blad1!$B$24:$B$31</c:f>
              <c:strCache>
                <c:ptCount val="8"/>
                <c:pt idx="0">
                  <c:v>Plus de 12 ans</c:v>
                </c:pt>
                <c:pt idx="1">
                  <c:v>Plus de 19 ans</c:v>
                </c:pt>
                <c:pt idx="2">
                  <c:v>Plus de 26 ans</c:v>
                </c:pt>
                <c:pt idx="3">
                  <c:v>Plus de 30 ans</c:v>
                </c:pt>
                <c:pt idx="4">
                  <c:v>Plus de 40 ans</c:v>
                </c:pt>
                <c:pt idx="5">
                  <c:v>Plus de 55 ans</c:v>
                </c:pt>
                <c:pt idx="6">
                  <c:v>Plus de 65 ans</c:v>
                </c:pt>
                <c:pt idx="7">
                  <c:v>Plus de 80 ans</c:v>
                </c:pt>
              </c:strCache>
            </c:strRef>
          </c:cat>
          <c:val>
            <c:numRef>
              <c:f>Blad1!$C$24:$C$31</c:f>
              <c:numCache>
                <c:formatCode>0%</c:formatCode>
                <c:ptCount val="8"/>
                <c:pt idx="0">
                  <c:v>0.02</c:v>
                </c:pt>
                <c:pt idx="1">
                  <c:v>0.1</c:v>
                </c:pt>
                <c:pt idx="2">
                  <c:v>0.07</c:v>
                </c:pt>
                <c:pt idx="3">
                  <c:v>0.2</c:v>
                </c:pt>
                <c:pt idx="4">
                  <c:v>0.3</c:v>
                </c:pt>
                <c:pt idx="5">
                  <c:v>0.16</c:v>
                </c:pt>
                <c:pt idx="6">
                  <c:v>0.11</c:v>
                </c:pt>
                <c:pt idx="7">
                  <c:v>0.02</c:v>
                </c:pt>
              </c:numCache>
            </c:numRef>
          </c:val>
        </c:ser>
        <c:ser>
          <c:idx val="1"/>
          <c:order val="1"/>
          <c:tx>
            <c:strRef>
              <c:f>Blad1!$D$23</c:f>
              <c:strCache>
                <c:ptCount val="1"/>
                <c:pt idx="0">
                  <c:v>Mobile</c:v>
                </c:pt>
              </c:strCache>
            </c:strRef>
          </c:tx>
          <c:spPr>
            <a:solidFill>
              <a:schemeClr val="accent2"/>
            </a:solidFill>
            <a:ln>
              <a:noFill/>
            </a:ln>
            <a:effectLst/>
          </c:spPr>
          <c:invertIfNegative val="0"/>
          <c:cat>
            <c:strRef>
              <c:f>Blad1!$B$24:$B$31</c:f>
              <c:strCache>
                <c:ptCount val="8"/>
                <c:pt idx="0">
                  <c:v>Plus de 12 ans</c:v>
                </c:pt>
                <c:pt idx="1">
                  <c:v>Plus de 19 ans</c:v>
                </c:pt>
                <c:pt idx="2">
                  <c:v>Plus de 26 ans</c:v>
                </c:pt>
                <c:pt idx="3">
                  <c:v>Plus de 30 ans</c:v>
                </c:pt>
                <c:pt idx="4">
                  <c:v>Plus de 40 ans</c:v>
                </c:pt>
                <c:pt idx="5">
                  <c:v>Plus de 55 ans</c:v>
                </c:pt>
                <c:pt idx="6">
                  <c:v>Plus de 65 ans</c:v>
                </c:pt>
                <c:pt idx="7">
                  <c:v>Plus de 80 ans</c:v>
                </c:pt>
              </c:strCache>
            </c:strRef>
          </c:cat>
          <c:val>
            <c:numRef>
              <c:f>Blad1!$D$24:$D$31</c:f>
              <c:numCache>
                <c:formatCode>0%</c:formatCode>
                <c:ptCount val="8"/>
                <c:pt idx="0">
                  <c:v>0.04</c:v>
                </c:pt>
                <c:pt idx="1">
                  <c:v>0.18</c:v>
                </c:pt>
                <c:pt idx="2">
                  <c:v>0.12</c:v>
                </c:pt>
                <c:pt idx="3">
                  <c:v>0.26</c:v>
                </c:pt>
                <c:pt idx="4">
                  <c:v>0.27</c:v>
                </c:pt>
                <c:pt idx="5">
                  <c:v>0.09</c:v>
                </c:pt>
                <c:pt idx="6">
                  <c:v>0.04</c:v>
                </c:pt>
                <c:pt idx="7">
                  <c:v>0.0</c:v>
                </c:pt>
              </c:numCache>
            </c:numRef>
          </c:val>
        </c:ser>
        <c:dLbls>
          <c:showLegendKey val="0"/>
          <c:showVal val="0"/>
          <c:showCatName val="0"/>
          <c:showSerName val="0"/>
          <c:showPercent val="0"/>
          <c:showBubbleSize val="0"/>
        </c:dLbls>
        <c:gapWidth val="182"/>
        <c:axId val="2124392008"/>
        <c:axId val="2124395704"/>
      </c:barChart>
      <c:catAx>
        <c:axId val="2124392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395704"/>
        <c:crosses val="autoZero"/>
        <c:auto val="1"/>
        <c:lblAlgn val="ctr"/>
        <c:lblOffset val="100"/>
        <c:noMultiLvlLbl val="0"/>
      </c:catAx>
      <c:valAx>
        <c:axId val="2124395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392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4464</Characters>
  <Application>Microsoft Macintosh Word</Application>
  <DocSecurity>0</DocSecurity>
  <Lines>37</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KBC Group</Company>
  <LinksUpToDate>false</LinksUpToDate>
  <CharactersWithSpaces>5237</CharactersWithSpaces>
  <SharedDoc>false</SharedDoc>
  <HLinks>
    <vt:vector size="36" baseType="variant">
      <vt:variant>
        <vt:i4>5111906</vt:i4>
      </vt:variant>
      <vt:variant>
        <vt:i4>15</vt:i4>
      </vt:variant>
      <vt:variant>
        <vt:i4>0</vt:i4>
      </vt:variant>
      <vt:variant>
        <vt:i4>5</vt:i4>
      </vt:variant>
      <vt:variant>
        <vt:lpwstr>http://www.twitter.com/kbc_group</vt:lpwstr>
      </vt:variant>
      <vt:variant>
        <vt:lpwstr/>
      </vt:variant>
      <vt:variant>
        <vt:i4>6619203</vt:i4>
      </vt:variant>
      <vt:variant>
        <vt:i4>12</vt:i4>
      </vt:variant>
      <vt:variant>
        <vt:i4>0</vt:i4>
      </vt:variant>
      <vt:variant>
        <vt:i4>5</vt:i4>
      </vt:variant>
      <vt:variant>
        <vt:lpwstr>mailto:pressofficekbc@kbc.be</vt:lpwstr>
      </vt:variant>
      <vt:variant>
        <vt:lpwstr/>
      </vt:variant>
      <vt:variant>
        <vt:i4>2949235</vt:i4>
      </vt:variant>
      <vt:variant>
        <vt:i4>9</vt:i4>
      </vt:variant>
      <vt:variant>
        <vt:i4>0</vt:i4>
      </vt:variant>
      <vt:variant>
        <vt:i4>5</vt:i4>
      </vt:variant>
      <vt:variant>
        <vt:lpwstr>http://www.kbc.com/</vt:lpwstr>
      </vt:variant>
      <vt:variant>
        <vt:lpwstr/>
      </vt:variant>
      <vt:variant>
        <vt:i4>6619203</vt:i4>
      </vt:variant>
      <vt:variant>
        <vt:i4>6</vt:i4>
      </vt:variant>
      <vt:variant>
        <vt:i4>0</vt:i4>
      </vt:variant>
      <vt:variant>
        <vt:i4>5</vt:i4>
      </vt:variant>
      <vt:variant>
        <vt:lpwstr>mailto:pressofficekbc@kbc.be</vt:lpwstr>
      </vt:variant>
      <vt:variant>
        <vt:lpwstr/>
      </vt:variant>
      <vt:variant>
        <vt:i4>6619203</vt:i4>
      </vt:variant>
      <vt:variant>
        <vt:i4>3</vt:i4>
      </vt:variant>
      <vt:variant>
        <vt:i4>0</vt:i4>
      </vt:variant>
      <vt:variant>
        <vt:i4>5</vt:i4>
      </vt:variant>
      <vt:variant>
        <vt:lpwstr>mailto:pressofficekbc@kbc.be</vt:lpwstr>
      </vt:variant>
      <vt:variant>
        <vt:lpwstr/>
      </vt:variant>
      <vt:variant>
        <vt:i4>6881307</vt:i4>
      </vt:variant>
      <vt:variant>
        <vt:i4>0</vt:i4>
      </vt:variant>
      <vt:variant>
        <vt:i4>0</vt:i4>
      </vt:variant>
      <vt:variant>
        <vt:i4>5</vt:i4>
      </vt:variant>
      <vt:variant>
        <vt:lpwstr>mailto:wim.allegaert@kbc.be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JD30767</dc:creator>
  <cp:lastModifiedBy>Sophie Boving</cp:lastModifiedBy>
  <cp:revision>2</cp:revision>
  <cp:lastPrinted>2016-07-20T09:49:00Z</cp:lastPrinted>
  <dcterms:created xsi:type="dcterms:W3CDTF">2016-07-25T10:14:00Z</dcterms:created>
  <dcterms:modified xsi:type="dcterms:W3CDTF">2016-07-25T10:14:00Z</dcterms:modified>
</cp:coreProperties>
</file>