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5E234F" w:rsidRDefault="00F1412A" w:rsidP="00DF1408">
      <w:pPr>
        <w:pStyle w:val="Body"/>
        <w:ind w:right="95"/>
        <w:jc w:val="right"/>
        <w:rPr>
          <w:rFonts w:ascii="Verdana" w:hAnsi="Verdana"/>
        </w:rPr>
      </w:pPr>
      <w:r w:rsidRPr="005E234F">
        <w:rPr>
          <w:rFonts w:ascii="Verdana" w:hAnsi="Verdana"/>
        </w:rPr>
        <w:t>3</w:t>
      </w:r>
      <w:r w:rsidR="00DF1408" w:rsidRPr="005E234F">
        <w:rPr>
          <w:rFonts w:ascii="Verdana" w:hAnsi="Verdana"/>
        </w:rPr>
        <w:t xml:space="preserve"> </w:t>
      </w:r>
      <w:r w:rsidRPr="005E234F">
        <w:rPr>
          <w:rFonts w:ascii="Verdana" w:hAnsi="Verdana"/>
        </w:rPr>
        <w:t>augustus</w:t>
      </w:r>
      <w:r w:rsidR="00DF1408" w:rsidRPr="005E234F">
        <w:rPr>
          <w:rFonts w:ascii="Verdana" w:hAnsi="Verdana"/>
        </w:rPr>
        <w:t xml:space="preserve"> 2016</w:t>
      </w:r>
    </w:p>
    <w:p w:rsidR="00DF1408" w:rsidRPr="005E234F" w:rsidRDefault="00F1412A" w:rsidP="00DF1408">
      <w:pPr>
        <w:pStyle w:val="Body"/>
        <w:ind w:right="95"/>
        <w:jc w:val="right"/>
        <w:rPr>
          <w:rFonts w:ascii="Verdana" w:hAnsi="Verdana"/>
        </w:rPr>
      </w:pPr>
      <w:r w:rsidRPr="005E234F">
        <w:rPr>
          <w:rFonts w:ascii="Verdana" w:hAnsi="Verdana"/>
        </w:rPr>
        <w:t>V16/27</w:t>
      </w:r>
      <w:r w:rsidR="007B31CA" w:rsidRPr="005E234F">
        <w:rPr>
          <w:rFonts w:ascii="Verdana" w:hAnsi="Verdana"/>
        </w:rPr>
        <w:t>N</w:t>
      </w:r>
    </w:p>
    <w:p w:rsidR="00152C75" w:rsidRPr="005E234F" w:rsidRDefault="00152C75" w:rsidP="00F14CBA">
      <w:pPr>
        <w:pStyle w:val="Headline"/>
        <w:ind w:right="1796"/>
        <w:rPr>
          <w:rFonts w:ascii="Verdana" w:hAnsi="Verdana"/>
        </w:rPr>
      </w:pPr>
      <w:r w:rsidRPr="005E234F">
        <w:rPr>
          <w:rFonts w:ascii="Verdana" w:hAnsi="Verdana"/>
        </w:rPr>
        <w:t xml:space="preserve">Volkswagen-groep levert 5,12 miljoen voertuigen in de eerste helft van 2016 </w:t>
      </w:r>
    </w:p>
    <w:p w:rsidR="00152C75" w:rsidRPr="005E234F" w:rsidRDefault="00152C75" w:rsidP="00F14CBA">
      <w:pPr>
        <w:pStyle w:val="NoSpacing"/>
        <w:ind w:right="1796"/>
        <w:rPr>
          <w:rFonts w:ascii="Verdana" w:hAnsi="Verdana"/>
          <w:lang w:val="nl-NL"/>
        </w:rPr>
      </w:pPr>
    </w:p>
    <w:p w:rsidR="00152C75" w:rsidRPr="005E234F" w:rsidRDefault="00152C75" w:rsidP="00F14CBA">
      <w:pPr>
        <w:pStyle w:val="Deck"/>
        <w:numPr>
          <w:ilvl w:val="0"/>
          <w:numId w:val="1"/>
        </w:numPr>
        <w:ind w:right="1796"/>
        <w:rPr>
          <w:rFonts w:ascii="Verdana" w:hAnsi="Verdana"/>
        </w:rPr>
      </w:pPr>
      <w:r w:rsidRPr="005E234F">
        <w:rPr>
          <w:rFonts w:ascii="Verdana" w:hAnsi="Verdana"/>
        </w:rPr>
        <w:t>883.400 leveringen in juni, een groei met 5,1 %</w:t>
      </w:r>
    </w:p>
    <w:p w:rsidR="00152C75" w:rsidRPr="005E234F" w:rsidRDefault="00152C75" w:rsidP="00F14CBA">
      <w:pPr>
        <w:pStyle w:val="Deck"/>
        <w:numPr>
          <w:ilvl w:val="0"/>
          <w:numId w:val="1"/>
        </w:numPr>
        <w:ind w:right="1796"/>
        <w:rPr>
          <w:rFonts w:ascii="Verdana" w:hAnsi="Verdana"/>
        </w:rPr>
      </w:pPr>
      <w:r w:rsidRPr="005E234F">
        <w:rPr>
          <w:rFonts w:ascii="Verdana" w:hAnsi="Verdana"/>
        </w:rPr>
        <w:t>Fred Kappler, verkoopdirecteur van de groep: "De globale solide groei in de eerste helft van het jaar is mede te danken aan het sterke resultaat van de maand juni."</w:t>
      </w:r>
    </w:p>
    <w:p w:rsidR="00152C75" w:rsidRPr="005E234F" w:rsidRDefault="00152C75" w:rsidP="00F14CBA">
      <w:pPr>
        <w:pStyle w:val="NoSpacing"/>
        <w:ind w:right="1796"/>
        <w:rPr>
          <w:rFonts w:ascii="Verdana" w:hAnsi="Verdana"/>
          <w:lang w:val="nl-NL"/>
        </w:rPr>
      </w:pPr>
    </w:p>
    <w:p w:rsidR="00152C75" w:rsidRPr="005E234F" w:rsidRDefault="00152C75" w:rsidP="00F14CBA">
      <w:pPr>
        <w:pStyle w:val="NoSpacing"/>
        <w:ind w:right="1796"/>
        <w:rPr>
          <w:rFonts w:ascii="Verdana" w:hAnsi="Verdana"/>
        </w:rPr>
      </w:pPr>
      <w:r w:rsidRPr="005E234F">
        <w:rPr>
          <w:rFonts w:ascii="Verdana" w:hAnsi="Verdana"/>
        </w:rPr>
        <w:t>Vergeleken met vorig jaar realiseerde de Volkswagen-groep in juni een toename van het aantal leveringen met 5,1 % – goed voor 883.400 geleverde voertuigen. In de eerste helft van 2016 werden in totaal 5,12 miljoen voertuigen aan klanten geleverd. Dat komt overeen met een stijging van 1,5 % tegenover vorig jaar. Terwijl de regio's Europa en Azië/Stille Oceaan opnieuw een solide groei lieten optekenen, bleven de leveringsresultaten in Noord-Amerika licht onder het niveau van 2015. In de regio Zuid-Amerika kende het aantal leveringen opnieuw een daling. "De globale solide groei in de eerste helft van het jaar is mede te danken aan het sterke resultaat van de maand juni. In het bijzonder de regio's Europa en Azië/Stille Oceaan zorgden voor een sterke impuls. Het bevredigende resultaat weerspiegelt het vertrouwen van onze klanten in onze producten, ook in deze uitdagende tijden", verklaart Fred Kappler, verkoopdirecteur van de groep.</w:t>
      </w:r>
    </w:p>
    <w:p w:rsidR="00152C75" w:rsidRPr="005E234F" w:rsidRDefault="00152C75" w:rsidP="00F14CBA">
      <w:pPr>
        <w:pStyle w:val="NoSpacing"/>
        <w:ind w:right="1796"/>
        <w:rPr>
          <w:rFonts w:ascii="Verdana" w:hAnsi="Verdana"/>
          <w:lang w:val="nl-NL"/>
        </w:rPr>
      </w:pPr>
    </w:p>
    <w:p w:rsidR="00152C75" w:rsidRPr="005E234F" w:rsidRDefault="00152C75" w:rsidP="00F14CBA">
      <w:pPr>
        <w:pStyle w:val="NoSpacing"/>
        <w:ind w:right="1796"/>
        <w:rPr>
          <w:rFonts w:ascii="Verdana" w:hAnsi="Verdana"/>
        </w:rPr>
      </w:pPr>
      <w:r w:rsidRPr="005E234F">
        <w:rPr>
          <w:rFonts w:ascii="Verdana" w:hAnsi="Verdana"/>
        </w:rPr>
        <w:t>In Europa leverde de Volkswagen-groep in de eerste zes maanden van dit jaar 2,20 miljoen nieuwe voertuigen aan klanten. Dat komt overeen met een stijging van 3,8 % tegenover dezelfde periode vorig jaar. Zowel West-Europa (+3,3 %) als Centraal- en Oost-Europa (+6,7 %) kenden een positieve evolutie. In West-Europa zorgden vooral Italië en Duitsland voor sterke impulsen, in Centraal- en Oost-Europa waren dat Polen en Tsjechië. In Rusland stagneerde het aantal leveringen in het tweede kwartaal. In de maand juni werden er 14.500 voertuigen verkocht, een toename met 0,9 %.</w:t>
      </w:r>
    </w:p>
    <w:p w:rsidR="00152C75" w:rsidRPr="005E234F" w:rsidRDefault="00152C75" w:rsidP="00F14CBA">
      <w:pPr>
        <w:pStyle w:val="NoSpacing"/>
        <w:ind w:right="1796"/>
        <w:rPr>
          <w:rFonts w:ascii="Verdana" w:hAnsi="Verdana"/>
          <w:lang w:val="nl-NL"/>
        </w:rPr>
      </w:pPr>
    </w:p>
    <w:p w:rsidR="00152C75" w:rsidRPr="005E234F" w:rsidRDefault="00152C75" w:rsidP="00F14CBA">
      <w:pPr>
        <w:pStyle w:val="NoSpacing"/>
        <w:ind w:right="1796"/>
        <w:rPr>
          <w:rFonts w:ascii="Verdana" w:hAnsi="Verdana"/>
        </w:rPr>
      </w:pPr>
      <w:r w:rsidRPr="005E234F">
        <w:rPr>
          <w:rFonts w:ascii="Verdana" w:hAnsi="Verdana"/>
        </w:rPr>
        <w:t>In de regio Noord-Amerika verkocht de onderneming in het eerste halfjaar 444.100 voertuigen, net iets minder dan vorig jaar (-1,6 %). In de maand juni werden er 76.900 voertuigen geleverd, een daling met 4,3 % tegenover juni 2015. In de regio Zuid-Amerika werden in de eerste zes maanden van het jaar 223.800 voertuigen aan klanten geleverd (-24,7 %). Onder invloed van de aanhoudende moeilijke economische situatie in deze regio, in het bijzonder in Brazilië, liep het aantal leveringen verder terug.</w:t>
      </w:r>
    </w:p>
    <w:p w:rsidR="00152C75" w:rsidRPr="005E234F" w:rsidRDefault="00152C75" w:rsidP="00F14CBA">
      <w:pPr>
        <w:pStyle w:val="NoSpacing"/>
        <w:ind w:right="1796"/>
        <w:rPr>
          <w:rFonts w:ascii="Verdana" w:hAnsi="Verdana"/>
          <w:lang w:val="nl-NL"/>
        </w:rPr>
      </w:pPr>
      <w:bookmarkStart w:id="0" w:name="_GoBack"/>
      <w:bookmarkEnd w:id="0"/>
    </w:p>
    <w:p w:rsidR="00152C75" w:rsidRPr="005E234F" w:rsidRDefault="00152C75" w:rsidP="00F14CBA">
      <w:pPr>
        <w:pStyle w:val="NoSpacing"/>
        <w:ind w:right="1796"/>
        <w:rPr>
          <w:rFonts w:ascii="Verdana" w:hAnsi="Verdana"/>
        </w:rPr>
      </w:pPr>
      <w:r w:rsidRPr="005E234F">
        <w:rPr>
          <w:rFonts w:ascii="Verdana" w:hAnsi="Verdana"/>
        </w:rPr>
        <w:t>In de regio Azië/Stille Oceaan noteerde de groep in de eerste twee kwartalen een solide groei. In de maand juni werden in deze regio 333.300 voertuigen geleverd. Vergeleken met vorig jaar betekent dat een toename met 15,0 %. De impulsen daarvoor kwamen voornamelijk uit China (+18,7 %). Van januari tot juni 2016 werden in de regio Azië/Stille Oceaan 2,04 miljoen voertuigen verkocht, goed voor een toename met 5,1 %.</w:t>
      </w:r>
    </w:p>
    <w:p w:rsidR="00152C75" w:rsidRPr="00152C75" w:rsidRDefault="00152C75" w:rsidP="00F14CBA">
      <w:pPr>
        <w:pStyle w:val="NoSpacing"/>
        <w:ind w:right="1796"/>
        <w:rPr>
          <w:lang w:val="nl-NL"/>
        </w:rPr>
      </w:pPr>
    </w:p>
    <w:p w:rsidR="00152C75" w:rsidRPr="00FE4959" w:rsidRDefault="00152C75" w:rsidP="00152C75">
      <w:pPr>
        <w:pStyle w:val="NoSpacing"/>
        <w:rPr>
          <w:b/>
        </w:rPr>
      </w:pPr>
      <w:r w:rsidRPr="00FE4959">
        <w:rPr>
          <w:b/>
        </w:rPr>
        <w:t>Overzicht van het aantal leveringen door de Volkswagen-groep: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1127"/>
        <w:gridCol w:w="1127"/>
        <w:gridCol w:w="854"/>
        <w:gridCol w:w="1133"/>
        <w:gridCol w:w="1133"/>
        <w:gridCol w:w="854"/>
      </w:tblGrid>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Leveringen aan klanten</w:t>
            </w:r>
            <w:r>
              <w:br/>
              <w:t>per markt</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Juni</w:t>
            </w:r>
            <w:r>
              <w:br/>
              <w:t>2016</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Juni</w:t>
            </w:r>
            <w:r>
              <w:br/>
              <w:t>2015</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Wijziging</w:t>
            </w:r>
            <w:r>
              <w:br/>
              <w:t>in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Jan.-Juni</w:t>
            </w:r>
            <w:r>
              <w:br/>
              <w:t>2016</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Jan.-Juni</w:t>
            </w:r>
            <w:r>
              <w:br/>
              <w:t>2015</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Wijziging</w:t>
            </w:r>
            <w:r>
              <w:br/>
              <w:t>in %</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Europa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399.200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382.300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+4.4</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2.195.700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2.114.800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+3.8</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West-Europa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340.000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329.100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+3.3</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1.871.400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1.810.900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+3.3</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Duitsland</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127.400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122.600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+3.9</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685.100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668.300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+2.5</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Centraal-/Oost-Europa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59.100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53.300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324.300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303.900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+6.7</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Rusland</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14.500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14.400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+0.9</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78.600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84.300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-6.8</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Noord-Amerika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76.900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80.300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-4.3</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444.100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451.200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-1.6</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VS</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47.000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53.200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-11.7</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273.800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295.000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-7.2</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Zuid-Amerika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36.000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48.900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-26.4</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223.800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297.300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-24.7</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Brazilië</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22.900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33.900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-32.7</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141.800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211.800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-33.1</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Azië/Stille Oceaan</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333.300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289.900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+15.0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2.041.700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1.943.500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+5.1</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China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299.800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252.600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+18.7</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1.862.100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1.743.000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+6.8</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Wereldwijd</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883.400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840.400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+5.1</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5.116.800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5.039.300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+1.5</w:t>
            </w:r>
          </w:p>
        </w:tc>
      </w:tr>
    </w:tbl>
    <w:p w:rsidR="00152C75" w:rsidRPr="003B3226" w:rsidRDefault="00152C75" w:rsidP="00152C75">
      <w:pPr>
        <w:pStyle w:val="NoSpacing"/>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1125"/>
        <w:gridCol w:w="1125"/>
        <w:gridCol w:w="854"/>
        <w:gridCol w:w="1131"/>
        <w:gridCol w:w="1131"/>
        <w:gridCol w:w="854"/>
      </w:tblGrid>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Leveringen aan klanten</w:t>
            </w:r>
            <w:r>
              <w:br/>
              <w:t>per merk</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Juni</w:t>
            </w:r>
            <w:r>
              <w:br/>
              <w:t>2016</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Juni</w:t>
            </w:r>
            <w:r>
              <w:br/>
              <w:t>2015</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Wijziging</w:t>
            </w:r>
            <w:r>
              <w:br/>
              <w:t> in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Jan.-Juni</w:t>
            </w:r>
            <w:r>
              <w:br/>
              <w:t>2016</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Jan.-Juni</w:t>
            </w:r>
            <w:r>
              <w:br/>
              <w:t>2015</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Wijziging</w:t>
            </w:r>
            <w:r>
              <w:br/>
              <w:t> in %</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Volkswagen</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492.800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470.700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+4.7</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2.925.000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2.945.700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-0.7</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Audi</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169.000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157.400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+7.4</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953.200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902.300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+5.6</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ŠKODA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98.800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94.600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+4.4</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569.400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544.300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+4.6</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lastRenderedPageBreak/>
              <w:t>SEAT</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40.100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40.000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+0.2</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216.800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216.500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+0.2</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Porsche</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20.300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20.800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-2.7</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118.000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114.000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+3.5</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Volkswagen Bedrijfsvoertuigen</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43.700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38.600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+13.3</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238.800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223.200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+7.0</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MAN</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10.200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49.300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49.900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-1.1</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Scania</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8.100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6.800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+19.4</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40.300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37.000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+9.0</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 </w:t>
            </w:r>
          </w:p>
        </w:tc>
      </w:tr>
      <w:tr w:rsidR="00152C75" w:rsidRPr="003B3226" w:rsidTr="002E6C99">
        <w:tc>
          <w:tcPr>
            <w:tcW w:w="283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Volkswagen-groep (totaal)</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883.400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840.400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+5.1</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5.116.800</w:t>
            </w:r>
          </w:p>
        </w:tc>
        <w:tc>
          <w:tcPr>
            <w:tcW w:w="1140"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5.039.300</w:t>
            </w:r>
          </w:p>
        </w:tc>
        <w:tc>
          <w:tcPr>
            <w:tcW w:w="855" w:type="dxa"/>
            <w:tcBorders>
              <w:top w:val="outset" w:sz="6" w:space="0" w:color="auto"/>
              <w:left w:val="outset" w:sz="6" w:space="0" w:color="auto"/>
              <w:bottom w:val="outset" w:sz="6" w:space="0" w:color="auto"/>
              <w:right w:val="outset" w:sz="6" w:space="0" w:color="auto"/>
            </w:tcBorders>
            <w:hideMark/>
          </w:tcPr>
          <w:p w:rsidR="00152C75" w:rsidRPr="003B3226" w:rsidRDefault="00152C75" w:rsidP="002E6C99">
            <w:pPr>
              <w:pStyle w:val="NoSpacing"/>
            </w:pPr>
            <w:r>
              <w:t>+1.5</w:t>
            </w:r>
          </w:p>
        </w:tc>
      </w:tr>
    </w:tbl>
    <w:p w:rsidR="00152C75" w:rsidRPr="003B3226" w:rsidRDefault="00152C75" w:rsidP="00152C75">
      <w:pPr>
        <w:pStyle w:val="NoSpacing"/>
      </w:pPr>
    </w:p>
    <w:p w:rsidR="00DF1408" w:rsidRDefault="00DF1408" w:rsidP="00DF1408">
      <w:pPr>
        <w:pStyle w:val="Body"/>
      </w:pPr>
    </w:p>
    <w:p w:rsidR="00DF1408" w:rsidRDefault="00DF1408" w:rsidP="00DF1408">
      <w:pPr>
        <w:pStyle w:val="Body"/>
      </w:pPr>
    </w:p>
    <w:p w:rsidR="00DF1408" w:rsidRDefault="00DF1408" w:rsidP="00DF1408">
      <w:pPr>
        <w:pStyle w:val="Body"/>
      </w:pPr>
      <w:r>
        <w:br w:type="page"/>
      </w:r>
    </w:p>
    <w:p w:rsidR="00DF1408" w:rsidRDefault="00DF1408" w:rsidP="00DF1408">
      <w:pPr>
        <w:pStyle w:val="Body"/>
      </w:pPr>
    </w:p>
    <w:sectPr w:rsidR="00DF1408" w:rsidSect="00DF1408">
      <w:headerReference w:type="first" r:id="rId7"/>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DF" w:rsidRDefault="002206DF" w:rsidP="00DF1408">
      <w:pPr>
        <w:spacing w:after="0" w:line="240" w:lineRule="auto"/>
      </w:pPr>
      <w:r>
        <w:separator/>
      </w:r>
    </w:p>
  </w:endnote>
  <w:endnote w:type="continuationSeparator" w:id="0">
    <w:p w:rsidR="002206DF" w:rsidRDefault="002206DF"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W Head">
    <w:altName w:val="Segoe Script"/>
    <w:panose1 w:val="00000000000000000000"/>
    <w:charset w:val="00"/>
    <w:family w:val="swiss"/>
    <w:notTrueType/>
    <w:pitch w:val="variable"/>
    <w:sig w:usb0="00000001" w:usb1="5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w:altName w:val="Segoe Script"/>
    <w:panose1 w:val="00000000000000000000"/>
    <w:charset w:val="00"/>
    <w:family w:val="swiss"/>
    <w:notTrueType/>
    <w:pitch w:val="variable"/>
    <w:sig w:usb0="00000001" w:usb1="5000203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DF" w:rsidRDefault="002206DF" w:rsidP="00DF1408">
      <w:pPr>
        <w:spacing w:after="0" w:line="240" w:lineRule="auto"/>
      </w:pPr>
      <w:r>
        <w:separator/>
      </w:r>
    </w:p>
  </w:footnote>
  <w:footnote w:type="continuationSeparator" w:id="0">
    <w:p w:rsidR="002206DF" w:rsidRDefault="002206DF"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C41"/>
    <w:multiLevelType w:val="hybridMultilevel"/>
    <w:tmpl w:val="3CBA20BE"/>
    <w:lvl w:ilvl="0" w:tplc="9BD4A136">
      <w:start w:val="3"/>
      <w:numFmt w:val="bullet"/>
      <w:lvlText w:val="-"/>
      <w:lvlJc w:val="left"/>
      <w:pPr>
        <w:ind w:left="720" w:hanging="360"/>
      </w:pPr>
      <w:rPr>
        <w:rFonts w:ascii="VW Head" w:eastAsiaTheme="minorHAnsi" w:hAnsi="VW Hea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DF"/>
    <w:rsid w:val="00152C75"/>
    <w:rsid w:val="002206DF"/>
    <w:rsid w:val="004353BC"/>
    <w:rsid w:val="005E234F"/>
    <w:rsid w:val="00672882"/>
    <w:rsid w:val="007B31CA"/>
    <w:rsid w:val="00CC72F7"/>
    <w:rsid w:val="00DF1408"/>
    <w:rsid w:val="00F1412A"/>
    <w:rsid w:val="00F14CBA"/>
    <w:rsid w:val="00FE49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FB3449-B65C-4297-8D24-9D449EF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C72F7"/>
    <w:pPr>
      <w:ind w:right="1655"/>
    </w:pPr>
    <w:rPr>
      <w:rFonts w:ascii="VW Text" w:hAnsi="VW Text"/>
    </w:rPr>
  </w:style>
  <w:style w:type="character" w:customStyle="1" w:styleId="BodyChar">
    <w:name w:val="Body Char"/>
    <w:basedOn w:val="DefaultParagraphFont"/>
    <w:link w:val="Body"/>
    <w:rsid w:val="00CC72F7"/>
    <w:rPr>
      <w:rFonts w:ascii="VW Text" w:hAnsi="VW Text"/>
    </w:rPr>
  </w:style>
  <w:style w:type="paragraph" w:customStyle="1" w:styleId="Deck">
    <w:name w:val="Deck"/>
    <w:basedOn w:val="Body"/>
    <w:link w:val="DeckChar"/>
    <w:qFormat/>
    <w:rsid w:val="00CC72F7"/>
    <w:rPr>
      <w:rFonts w:ascii="VW Head" w:hAnsi="VW Head"/>
      <w:sz w:val="24"/>
    </w:rPr>
  </w:style>
  <w:style w:type="character" w:customStyle="1" w:styleId="DeckChar">
    <w:name w:val="Deck Char"/>
    <w:basedOn w:val="BodyChar"/>
    <w:link w:val="Deck"/>
    <w:rsid w:val="00CC72F7"/>
    <w:rPr>
      <w:rFonts w:ascii="VW Head" w:hAnsi="VW Head"/>
      <w:sz w:val="24"/>
    </w:rPr>
  </w:style>
  <w:style w:type="paragraph" w:customStyle="1" w:styleId="Headline">
    <w:name w:val="Headline"/>
    <w:basedOn w:val="Deck"/>
    <w:link w:val="HeadlineChar"/>
    <w:qFormat/>
    <w:rsid w:val="00CC72F7"/>
    <w:rPr>
      <w:sz w:val="28"/>
    </w:rPr>
  </w:style>
  <w:style w:type="character" w:customStyle="1" w:styleId="HeadlineChar">
    <w:name w:val="Headline Char"/>
    <w:basedOn w:val="DeckChar"/>
    <w:link w:val="Headline"/>
    <w:rsid w:val="00CC72F7"/>
    <w:rPr>
      <w:rFonts w:ascii="VW Head" w:hAnsi="VW Head"/>
      <w:sz w:val="28"/>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paragraph" w:styleId="NoSpacing">
    <w:name w:val="No Spacing"/>
    <w:uiPriority w:val="1"/>
    <w:qFormat/>
    <w:rsid w:val="00152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3605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PONTEVILLE Jean-Marc</cp:lastModifiedBy>
  <cp:revision>8</cp:revision>
  <dcterms:created xsi:type="dcterms:W3CDTF">2016-08-03T07:33:00Z</dcterms:created>
  <dcterms:modified xsi:type="dcterms:W3CDTF">2016-08-05T08:40:00Z</dcterms:modified>
</cp:coreProperties>
</file>