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2A5D6D">
      <w:pPr>
        <w:pStyle w:val="Geenafstand"/>
        <w:ind w:left="993"/>
        <w:jc w:val="both"/>
      </w:pPr>
    </w:p>
    <w:p w:rsidR="00B97593" w:rsidRDefault="006923F4" w:rsidP="002A5D6D">
      <w:pPr>
        <w:pStyle w:val="Geenafstand"/>
        <w:ind w:left="993"/>
        <w:jc w:val="both"/>
      </w:pPr>
      <w:r>
        <w:rPr>
          <w:noProof/>
          <w:lang w:val="nl-BE" w:eastAsia="nl-BE"/>
        </w:rPr>
        <mc:AlternateContent>
          <mc:Choice Requires="wps">
            <w:drawing>
              <wp:anchor distT="0" distB="0" distL="114300" distR="114300" simplePos="0" relativeHeight="251657216" behindDoc="0" locked="0" layoutInCell="1" allowOverlap="1" wp14:anchorId="4CDA31DF" wp14:editId="69B827F4">
                <wp:simplePos x="0" y="0"/>
                <wp:positionH relativeFrom="column">
                  <wp:posOffset>1990725</wp:posOffset>
                </wp:positionH>
                <wp:positionV relativeFrom="paragraph">
                  <wp:posOffset>66040</wp:posOffset>
                </wp:positionV>
                <wp:extent cx="4709795" cy="67564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66" w:rsidRPr="00286C63" w:rsidRDefault="006D3A66" w:rsidP="00673D3E">
                            <w:pPr>
                              <w:spacing w:after="0" w:line="240" w:lineRule="auto"/>
                              <w:rPr>
                                <w:rFonts w:ascii="Rockwell" w:hAnsi="Rockwell"/>
                                <w:color w:val="00AEEF"/>
                                <w:sz w:val="56"/>
                                <w:szCs w:val="56"/>
                              </w:rPr>
                            </w:pPr>
                            <w:r w:rsidRPr="00286C63">
                              <w:rPr>
                                <w:rFonts w:ascii="Rockwell" w:hAnsi="Rockwell"/>
                                <w:color w:val="00AEEF"/>
                                <w:sz w:val="56"/>
                                <w:szCs w:val="56"/>
                              </w:rPr>
                              <w:t>Press Release</w:t>
                            </w:r>
                          </w:p>
                          <w:p w:rsidR="006D3A66" w:rsidRPr="00BA3BF7" w:rsidRDefault="006D3A66" w:rsidP="00673D3E">
                            <w:pPr>
                              <w:spacing w:after="0" w:line="240" w:lineRule="auto"/>
                              <w:rPr>
                                <w:rFonts w:ascii="Rockwell" w:hAnsi="Rockwell"/>
                                <w:color w:val="002060"/>
                                <w:sz w:val="20"/>
                                <w:szCs w:val="20"/>
                              </w:rPr>
                            </w:pPr>
                            <w:r>
                              <w:rPr>
                                <w:rFonts w:ascii="Rockwell" w:hAnsi="Rockwell"/>
                                <w:color w:val="002060"/>
                                <w:sz w:val="20"/>
                                <w:szCs w:val="20"/>
                              </w:rPr>
                              <w:t xml:space="preserve">Outside </w:t>
                            </w:r>
                            <w:r w:rsidRPr="00BA3BF7">
                              <w:rPr>
                                <w:rFonts w:ascii="Rockwell" w:hAnsi="Rockwell"/>
                                <w:color w:val="002060"/>
                                <w:sz w:val="20"/>
                                <w:szCs w:val="20"/>
                              </w:rPr>
                              <w:t>trading hours - Regulated information*</w:t>
                            </w:r>
                          </w:p>
                          <w:p w:rsidR="006D3A66" w:rsidRPr="00673D3E" w:rsidRDefault="006D3A66" w:rsidP="00673D3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6D3A66" w:rsidRPr="00286C63" w:rsidRDefault="006D3A66" w:rsidP="00673D3E">
                      <w:pPr>
                        <w:spacing w:after="0" w:line="240" w:lineRule="auto"/>
                        <w:rPr>
                          <w:rFonts w:ascii="Rockwell" w:hAnsi="Rockwell"/>
                          <w:color w:val="00AEEF"/>
                          <w:sz w:val="56"/>
                          <w:szCs w:val="56"/>
                        </w:rPr>
                      </w:pPr>
                      <w:r w:rsidRPr="00286C63">
                        <w:rPr>
                          <w:rFonts w:ascii="Rockwell" w:hAnsi="Rockwell"/>
                          <w:color w:val="00AEEF"/>
                          <w:sz w:val="56"/>
                          <w:szCs w:val="56"/>
                        </w:rPr>
                        <w:t>Press Release</w:t>
                      </w:r>
                    </w:p>
                    <w:p w:rsidR="006D3A66" w:rsidRPr="00BA3BF7" w:rsidRDefault="006D3A66" w:rsidP="00673D3E">
                      <w:pPr>
                        <w:spacing w:after="0" w:line="240" w:lineRule="auto"/>
                        <w:rPr>
                          <w:rFonts w:ascii="Rockwell" w:hAnsi="Rockwell"/>
                          <w:color w:val="002060"/>
                          <w:sz w:val="20"/>
                          <w:szCs w:val="20"/>
                        </w:rPr>
                      </w:pPr>
                      <w:r>
                        <w:rPr>
                          <w:rFonts w:ascii="Rockwell" w:hAnsi="Rockwell"/>
                          <w:color w:val="002060"/>
                          <w:sz w:val="20"/>
                          <w:szCs w:val="20"/>
                        </w:rPr>
                        <w:t xml:space="preserve">Outside </w:t>
                      </w:r>
                      <w:r w:rsidRPr="00BA3BF7">
                        <w:rPr>
                          <w:rFonts w:ascii="Rockwell" w:hAnsi="Rockwell"/>
                          <w:color w:val="002060"/>
                          <w:sz w:val="20"/>
                          <w:szCs w:val="20"/>
                        </w:rPr>
                        <w:t>trading hours - Regulated information*</w:t>
                      </w:r>
                    </w:p>
                    <w:p w:rsidR="006D3A66" w:rsidRPr="00673D3E" w:rsidRDefault="006D3A66" w:rsidP="00673D3E">
                      <w:pPr>
                        <w:rPr>
                          <w:szCs w:val="20"/>
                        </w:rPr>
                      </w:pPr>
                    </w:p>
                  </w:txbxContent>
                </v:textbox>
              </v:shape>
            </w:pict>
          </mc:Fallback>
        </mc:AlternateContent>
      </w:r>
      <w:r w:rsidR="00C42323">
        <w:rPr>
          <w:noProof/>
          <w:lang w:val="nl-BE" w:eastAsia="nl-BE"/>
        </w:rPr>
        <w:drawing>
          <wp:inline distT="0" distB="0" distL="0" distR="0" wp14:anchorId="58E1A3B7" wp14:editId="635288C8">
            <wp:extent cx="807720" cy="623570"/>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7720" cy="623570"/>
                    </a:xfrm>
                    <a:prstGeom prst="rect">
                      <a:avLst/>
                    </a:prstGeom>
                    <a:noFill/>
                    <a:ln w="9525">
                      <a:noFill/>
                      <a:miter lim="800000"/>
                      <a:headEnd/>
                      <a:tailEnd/>
                    </a:ln>
                  </pic:spPr>
                </pic:pic>
              </a:graphicData>
            </a:graphic>
          </wp:inline>
        </w:drawing>
      </w:r>
    </w:p>
    <w:p w:rsidR="004278B1" w:rsidRDefault="004278B1" w:rsidP="002A5D6D">
      <w:pPr>
        <w:pStyle w:val="Geenafstand"/>
        <w:ind w:left="1440"/>
        <w:jc w:val="both"/>
        <w:rPr>
          <w:sz w:val="8"/>
          <w:szCs w:val="8"/>
        </w:rPr>
      </w:pPr>
    </w:p>
    <w:p w:rsidR="00FC36C2" w:rsidRPr="004278B1" w:rsidRDefault="00FC36C2" w:rsidP="002A5D6D">
      <w:pPr>
        <w:pStyle w:val="Geenafstand"/>
        <w:ind w:left="1440"/>
        <w:jc w:val="both"/>
        <w:rPr>
          <w:sz w:val="8"/>
          <w:szCs w:val="8"/>
        </w:rPr>
      </w:pPr>
    </w:p>
    <w:p w:rsidR="004278B1" w:rsidRDefault="00C42323" w:rsidP="002A5D6D">
      <w:pPr>
        <w:pStyle w:val="Geenafstand"/>
        <w:ind w:left="284"/>
        <w:jc w:val="both"/>
      </w:pPr>
      <w:r>
        <w:rPr>
          <w:noProof/>
          <w:lang w:val="nl-BE" w:eastAsia="nl-BE"/>
        </w:rPr>
        <w:drawing>
          <wp:inline distT="0" distB="0" distL="0" distR="0" wp14:anchorId="705650AC" wp14:editId="3A61C587">
            <wp:extent cx="6774815" cy="166370"/>
            <wp:effectExtent l="19050" t="0" r="6985"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4815" cy="166370"/>
                    </a:xfrm>
                    <a:prstGeom prst="rect">
                      <a:avLst/>
                    </a:prstGeom>
                    <a:noFill/>
                    <a:ln w="9525">
                      <a:noFill/>
                      <a:miter lim="800000"/>
                      <a:headEnd/>
                      <a:tailEnd/>
                    </a:ln>
                  </pic:spPr>
                </pic:pic>
              </a:graphicData>
            </a:graphic>
          </wp:inline>
        </w:drawing>
      </w:r>
    </w:p>
    <w:p w:rsidR="00574F3C" w:rsidRDefault="00574F3C" w:rsidP="002A5D6D">
      <w:pPr>
        <w:pStyle w:val="Geenafstand"/>
        <w:ind w:left="993"/>
        <w:jc w:val="both"/>
      </w:pPr>
    </w:p>
    <w:p w:rsidR="000A2BE1" w:rsidRPr="009474DE" w:rsidRDefault="000A2BE1" w:rsidP="002A5D6D">
      <w:pPr>
        <w:ind w:left="993"/>
        <w:jc w:val="both"/>
        <w:rPr>
          <w:color w:val="003768"/>
        </w:rPr>
      </w:pPr>
      <w:r w:rsidRPr="009474DE">
        <w:rPr>
          <w:color w:val="003768"/>
        </w:rPr>
        <w:t xml:space="preserve">Brussels, </w:t>
      </w:r>
      <w:r w:rsidR="009474DE">
        <w:rPr>
          <w:color w:val="003768"/>
        </w:rPr>
        <w:t>1</w:t>
      </w:r>
      <w:r w:rsidR="00AA5698">
        <w:rPr>
          <w:color w:val="003768"/>
        </w:rPr>
        <w:t>3</w:t>
      </w:r>
      <w:r w:rsidR="009474DE">
        <w:rPr>
          <w:color w:val="003768"/>
        </w:rPr>
        <w:t xml:space="preserve"> February</w:t>
      </w:r>
      <w:r w:rsidR="001906AA" w:rsidRPr="009474DE">
        <w:rPr>
          <w:color w:val="003768"/>
        </w:rPr>
        <w:t xml:space="preserve"> 2014</w:t>
      </w:r>
      <w:r w:rsidRPr="009474DE">
        <w:rPr>
          <w:color w:val="003768"/>
        </w:rPr>
        <w:t xml:space="preserve"> (0</w:t>
      </w:r>
      <w:r w:rsidR="00CD2940">
        <w:rPr>
          <w:color w:val="003768"/>
        </w:rPr>
        <w:t>7</w:t>
      </w:r>
      <w:r w:rsidRPr="009474DE">
        <w:rPr>
          <w:color w:val="003768"/>
        </w:rPr>
        <w:t>.00 a.m. CET)</w:t>
      </w:r>
    </w:p>
    <w:p w:rsidR="000A2BE1" w:rsidRPr="009474DE" w:rsidRDefault="000A2BE1" w:rsidP="002A5D6D">
      <w:pPr>
        <w:autoSpaceDE w:val="0"/>
        <w:autoSpaceDN w:val="0"/>
        <w:adjustRightInd w:val="0"/>
        <w:spacing w:after="0" w:line="240" w:lineRule="auto"/>
        <w:ind w:left="993" w:right="4"/>
        <w:jc w:val="both"/>
        <w:rPr>
          <w:rFonts w:cs="Arial"/>
          <w:b/>
          <w:bCs/>
          <w:color w:val="003768"/>
          <w:sz w:val="28"/>
          <w:szCs w:val="28"/>
        </w:rPr>
      </w:pPr>
    </w:p>
    <w:p w:rsidR="00D24570" w:rsidRDefault="009474DE" w:rsidP="002A5D6D">
      <w:pPr>
        <w:autoSpaceDE w:val="0"/>
        <w:autoSpaceDN w:val="0"/>
        <w:adjustRightInd w:val="0"/>
        <w:spacing w:after="0" w:line="240" w:lineRule="auto"/>
        <w:ind w:left="993" w:right="4"/>
        <w:jc w:val="both"/>
        <w:rPr>
          <w:rFonts w:ascii="Rockwell" w:hAnsi="Rockwell" w:cs="Rockwell,Bold"/>
          <w:b/>
          <w:bCs/>
          <w:color w:val="00AEEF"/>
          <w:sz w:val="48"/>
          <w:szCs w:val="48"/>
        </w:rPr>
      </w:pPr>
      <w:r w:rsidRPr="00373C74">
        <w:rPr>
          <w:rFonts w:ascii="Rockwell" w:hAnsi="Rockwell" w:cs="Rockwell,Bold"/>
          <w:b/>
          <w:bCs/>
          <w:color w:val="00AEEF"/>
          <w:sz w:val="48"/>
          <w:szCs w:val="48"/>
        </w:rPr>
        <w:t xml:space="preserve">2013: 1 billion euros profit. </w:t>
      </w:r>
    </w:p>
    <w:p w:rsidR="000A2BE1" w:rsidRDefault="009474DE" w:rsidP="002A5D6D">
      <w:pPr>
        <w:autoSpaceDE w:val="0"/>
        <w:autoSpaceDN w:val="0"/>
        <w:adjustRightInd w:val="0"/>
        <w:spacing w:after="0" w:line="240" w:lineRule="auto"/>
        <w:ind w:left="993" w:right="4"/>
        <w:jc w:val="both"/>
        <w:rPr>
          <w:rFonts w:cs="Arial"/>
          <w:b/>
          <w:bCs/>
          <w:color w:val="003768"/>
          <w:sz w:val="28"/>
          <w:szCs w:val="28"/>
        </w:rPr>
      </w:pPr>
      <w:r w:rsidRPr="009474DE">
        <w:rPr>
          <w:rFonts w:ascii="Rockwell" w:hAnsi="Rockwell" w:cs="Rockwell,Bold"/>
          <w:b/>
          <w:bCs/>
          <w:color w:val="00AEEF"/>
          <w:sz w:val="48"/>
          <w:szCs w:val="48"/>
        </w:rPr>
        <w:t>2014: beyond restructuring at KBC</w:t>
      </w:r>
    </w:p>
    <w:p w:rsidR="000A2BE1" w:rsidRDefault="000A2BE1" w:rsidP="002A5D6D">
      <w:pPr>
        <w:autoSpaceDE w:val="0"/>
        <w:autoSpaceDN w:val="0"/>
        <w:adjustRightInd w:val="0"/>
        <w:spacing w:after="0" w:line="240" w:lineRule="auto"/>
        <w:ind w:left="993" w:right="4"/>
        <w:jc w:val="both"/>
        <w:rPr>
          <w:rFonts w:cs="Arial"/>
          <w:b/>
          <w:bCs/>
          <w:color w:val="003768"/>
          <w:sz w:val="28"/>
          <w:szCs w:val="28"/>
        </w:rPr>
      </w:pPr>
    </w:p>
    <w:p w:rsidR="009474DE" w:rsidRPr="00E634B0" w:rsidRDefault="009474DE" w:rsidP="00836A07">
      <w:pPr>
        <w:autoSpaceDE w:val="0"/>
        <w:autoSpaceDN w:val="0"/>
        <w:adjustRightInd w:val="0"/>
        <w:spacing w:after="0" w:line="240" w:lineRule="auto"/>
        <w:ind w:left="992" w:right="6"/>
        <w:jc w:val="both"/>
        <w:rPr>
          <w:rFonts w:cs="Arial"/>
          <w:b/>
          <w:bCs/>
          <w:color w:val="003768"/>
          <w:sz w:val="20"/>
          <w:szCs w:val="20"/>
        </w:rPr>
      </w:pPr>
      <w:r w:rsidRPr="00E634B0">
        <w:rPr>
          <w:rFonts w:cs="Arial"/>
          <w:b/>
          <w:bCs/>
          <w:color w:val="003768"/>
          <w:sz w:val="20"/>
          <w:szCs w:val="20"/>
        </w:rPr>
        <w:t>KBC ended 2013 with a net profit of 1 015 million euros, compared with 612 million euros in 2012.</w:t>
      </w:r>
    </w:p>
    <w:p w:rsidR="009474DE" w:rsidRPr="00E634B0" w:rsidRDefault="009474DE" w:rsidP="003B367B">
      <w:pPr>
        <w:autoSpaceDE w:val="0"/>
        <w:autoSpaceDN w:val="0"/>
        <w:adjustRightInd w:val="0"/>
        <w:spacing w:after="60" w:line="240" w:lineRule="auto"/>
        <w:ind w:left="992" w:right="6"/>
        <w:jc w:val="both"/>
        <w:rPr>
          <w:rFonts w:cs="Arial"/>
          <w:b/>
          <w:bCs/>
          <w:color w:val="003768"/>
          <w:sz w:val="20"/>
          <w:szCs w:val="20"/>
        </w:rPr>
      </w:pPr>
      <w:r w:rsidRPr="00E634B0">
        <w:rPr>
          <w:rFonts w:cs="Arial"/>
          <w:b/>
          <w:bCs/>
          <w:color w:val="003768"/>
          <w:sz w:val="20"/>
          <w:szCs w:val="20"/>
        </w:rPr>
        <w:t>In the fourth quarter of 2013, KBC incurred a net loss of 294 million euros, as opposed to a net profit of 272 million euros in the third quarter and 240 million euros a year earlier.</w:t>
      </w:r>
    </w:p>
    <w:p w:rsidR="009474DE" w:rsidRPr="00E634B0" w:rsidRDefault="009474DE" w:rsidP="003B367B">
      <w:pPr>
        <w:autoSpaceDE w:val="0"/>
        <w:autoSpaceDN w:val="0"/>
        <w:adjustRightInd w:val="0"/>
        <w:spacing w:after="60" w:line="240" w:lineRule="auto"/>
        <w:ind w:left="992" w:right="6"/>
        <w:jc w:val="both"/>
        <w:rPr>
          <w:rFonts w:cs="Arial"/>
          <w:b/>
          <w:bCs/>
          <w:color w:val="003768"/>
          <w:sz w:val="20"/>
          <w:szCs w:val="20"/>
          <w:lang w:val="en-GB"/>
        </w:rPr>
      </w:pPr>
      <w:r w:rsidRPr="00E634B0">
        <w:rPr>
          <w:rFonts w:cs="Arial"/>
          <w:b/>
          <w:bCs/>
          <w:color w:val="003768"/>
          <w:sz w:val="20"/>
          <w:szCs w:val="20"/>
          <w:lang w:val="en-GB"/>
        </w:rPr>
        <w:t>After excluding the impact of the legacy business (CDOs, divestments) and the valuation of own credit risk, adjusted net profit came to 960 million euros for 2013, compared with 1 496 million euros in 2012. For the last quarter of the year, the adjusted net profit stood at -340 million euros, as opposed to +457 million euros in the third quarter and +279 million euros in the last quarter of 2012.</w:t>
      </w:r>
    </w:p>
    <w:p w:rsidR="00955970" w:rsidRPr="00955970" w:rsidRDefault="00955970" w:rsidP="003B367B">
      <w:pPr>
        <w:autoSpaceDE w:val="0"/>
        <w:autoSpaceDN w:val="0"/>
        <w:adjustRightInd w:val="0"/>
        <w:spacing w:after="60" w:line="240" w:lineRule="auto"/>
        <w:ind w:left="992" w:right="6"/>
        <w:jc w:val="both"/>
        <w:rPr>
          <w:rFonts w:cs="Arial"/>
          <w:b/>
          <w:bCs/>
          <w:color w:val="003768"/>
          <w:sz w:val="20"/>
          <w:szCs w:val="20"/>
          <w:lang w:val="en-GB"/>
        </w:rPr>
      </w:pPr>
      <w:r w:rsidRPr="00955970">
        <w:rPr>
          <w:rFonts w:cs="Arial"/>
          <w:b/>
          <w:bCs/>
          <w:color w:val="003768"/>
          <w:sz w:val="20"/>
          <w:szCs w:val="20"/>
          <w:lang w:val="en-GB"/>
        </w:rPr>
        <w:t xml:space="preserve">Johan </w:t>
      </w:r>
      <w:proofErr w:type="spellStart"/>
      <w:r w:rsidRPr="00955970">
        <w:rPr>
          <w:rFonts w:cs="Arial"/>
          <w:b/>
          <w:bCs/>
          <w:color w:val="003768"/>
          <w:sz w:val="20"/>
          <w:szCs w:val="20"/>
          <w:lang w:val="en-GB"/>
        </w:rPr>
        <w:t>Thijs</w:t>
      </w:r>
      <w:proofErr w:type="spellEnd"/>
      <w:r w:rsidRPr="00955970">
        <w:rPr>
          <w:rFonts w:cs="Arial"/>
          <w:b/>
          <w:bCs/>
          <w:color w:val="003768"/>
          <w:sz w:val="20"/>
          <w:szCs w:val="20"/>
          <w:lang w:val="en-GB"/>
        </w:rPr>
        <w:t>, Group CEO:</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noProof/>
          <w:color w:val="003768"/>
          <w:sz w:val="20"/>
          <w:szCs w:val="20"/>
          <w:lang w:val="nl-BE" w:eastAsia="nl-BE"/>
        </w:rPr>
        <w:drawing>
          <wp:anchor distT="0" distB="0" distL="114300" distR="114300" simplePos="0" relativeHeight="251659264" behindDoc="0" locked="0" layoutInCell="1" allowOverlap="1" wp14:anchorId="53E3AD39" wp14:editId="60795419">
            <wp:simplePos x="0" y="0"/>
            <wp:positionH relativeFrom="column">
              <wp:posOffset>633730</wp:posOffset>
            </wp:positionH>
            <wp:positionV relativeFrom="paragraph">
              <wp:posOffset>31115</wp:posOffset>
            </wp:positionV>
            <wp:extent cx="790575" cy="1190625"/>
            <wp:effectExtent l="0" t="0" r="9525" b="9525"/>
            <wp:wrapSquare wrapText="bothSides"/>
            <wp:docPr id="5" name="Afbeelding 5" descr="C:\Users\u02014\AppData\Local\Temp\notesBD61A0\johan thijs f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014\AppData\Local\Temp\notesBD61A0\johan thijs feb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E48">
        <w:rPr>
          <w:rFonts w:cs="Arial"/>
          <w:bCs/>
          <w:i/>
          <w:color w:val="003768"/>
          <w:sz w:val="20"/>
          <w:szCs w:val="20"/>
        </w:rPr>
        <w:t>‘Recent indicators are confirming that the economic recovery, which had been gradually building up in 2013, is continuing into 2014. Against this background of improving economic conditions, KBC posted a net result of 1 015 million euros for full-year 2013, or 960 million euros on an adjusted-profit basis. The result for the fourth quarter was influenced primarily by the announced impairment charges on Irish loans, which led to a net loss of 294 million euros, or 340 million euros on an adjusted-profit basis. Excluding this one-off additional impairment (a post-tax figure of 688 million euros), the net result amounted to 394 million euros, while the adjusted net result came to 348 million euros. When compared with the previous quarter, the group managed to increase the net interest margin further, with deposits and mortgages going up in several countries. We also collected higher revenues from fees and commissions, maintained a good combined ratio  as well as an excellent cost/income ratio. However, loan loss impairment charges were somewhat higher (when Ireland is disregarded), while operating expenses increased somewhat due to seasonal effects.</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In the quarter under review, the Belgium Business Unit generated a net result of 376 million euros, substantially above the figure of 295 million euros for the last quarter of 2012. Compared with the third quarter, the fourth quarter was </w:t>
      </w:r>
      <w:proofErr w:type="spellStart"/>
      <w:r w:rsidRPr="00485E48">
        <w:rPr>
          <w:rFonts w:cs="Arial"/>
          <w:bCs/>
          <w:i/>
          <w:color w:val="003768"/>
          <w:sz w:val="20"/>
          <w:szCs w:val="20"/>
        </w:rPr>
        <w:t>characterised</w:t>
      </w:r>
      <w:proofErr w:type="spellEnd"/>
      <w:r w:rsidRPr="00485E48">
        <w:rPr>
          <w:rFonts w:cs="Arial"/>
          <w:bCs/>
          <w:i/>
          <w:color w:val="003768"/>
          <w:sz w:val="20"/>
          <w:szCs w:val="20"/>
        </w:rPr>
        <w:t xml:space="preserve"> by higher net interest income, stable net fee and commission income, good life insurance sales, though a weaker non-life combined ratio due to higher claims, lower operating expenses and a higher level of loan loss impairment charges. The banking activities accounted for 85% of the net result in the quarter under review, and the insurance activities for 15%.</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The Czech Republic Business Unit posted a net result of 119 million euros, slightly above the figure for the last quarter of 2012. In general, the results have been impacted by a weaker Czech koruna in the last three months of the year. Compared with the third quarter, this quarter included a decline in net interest income, an improved combined ratio in non-life insurance, increased unit-linked life insurance sales, higher net fee and commission income, higher operating expenses due to seasonal effects and higher loan loss impairment charges. Banking activities accounted for 92% of the net result in the quarter under review, and the insurance activities for 8%.</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The International Markets Business Unit recorded a net result of -731 million euros, a one-off low. Compared with the previous quarter, the fourth quarter was affected predominantly by impairment charges of 773 million euros recorded for the Irish loan portfolio. Besides this, net interest income was lower (due to Ireland), but net fee and commission income substantially higher (thanks to Hungary). Seasonal effects and a higher cost base in Ireland meant that costs were also higher. Overall, the banking activities accounted for a negative net result of -735 million euros (the positive results in Hungary (with its adverse tax environment), Slovakia (where profit growth was robust) and Bulgaria were wiped out by the negative result in Ireland), while the insurance activities accounted for a positive net result of 4 million euros.</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As announced in November 2013, we have reassessed our loan book, paying specific attention to the Irish loan portfolio, and set aside additional provisions due to the reclassification of 2 billion euros’ worth of restructured </w:t>
      </w:r>
      <w:r w:rsidRPr="00485E48">
        <w:rPr>
          <w:rFonts w:cs="Arial"/>
          <w:bCs/>
          <w:i/>
          <w:color w:val="003768"/>
          <w:sz w:val="20"/>
          <w:szCs w:val="20"/>
        </w:rPr>
        <w:lastRenderedPageBreak/>
        <w:t xml:space="preserve">mortgage loans. Given the slower-than-expected recovery of the SME sector in Ireland and a more prudent outlook for future </w:t>
      </w:r>
      <w:proofErr w:type="spellStart"/>
      <w:r w:rsidRPr="00485E48">
        <w:rPr>
          <w:rFonts w:cs="Arial"/>
          <w:bCs/>
          <w:i/>
          <w:color w:val="003768"/>
          <w:sz w:val="20"/>
          <w:szCs w:val="20"/>
        </w:rPr>
        <w:t>cashflows</w:t>
      </w:r>
      <w:proofErr w:type="spellEnd"/>
      <w:r w:rsidRPr="00485E48">
        <w:rPr>
          <w:rFonts w:cs="Arial"/>
          <w:bCs/>
          <w:i/>
          <w:color w:val="003768"/>
          <w:sz w:val="20"/>
          <w:szCs w:val="20"/>
        </w:rPr>
        <w:t xml:space="preserve"> and collateral values, we have also added provisions in our corporate loan book. This has led to an overall impairment charge in Ireland of 773 million euros for the fourth quarter of 2013. Our guidance for loan loss provisions in Ireland for the coming years remains at 150 to 200 million euros for 2014 and 50 to 100 million euros for both 2015 and 2016. This guidance is based on current economic projections. As regards the other countries, the estimated impact is considered to be immaterial at present.</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We also </w:t>
      </w:r>
      <w:r w:rsidRPr="00485E48">
        <w:rPr>
          <w:rFonts w:cs="Arial"/>
          <w:bCs/>
          <w:i/>
          <w:color w:val="003768"/>
          <w:sz w:val="20"/>
          <w:szCs w:val="20"/>
          <w:lang w:val="en-GB"/>
        </w:rPr>
        <w:t>finalised</w:t>
      </w:r>
      <w:r w:rsidRPr="00485E48">
        <w:rPr>
          <w:rFonts w:cs="Arial"/>
          <w:bCs/>
          <w:i/>
          <w:color w:val="003768"/>
          <w:sz w:val="20"/>
          <w:szCs w:val="20"/>
        </w:rPr>
        <w:t xml:space="preserve"> our divestment plan. In December, we completed the sale of KBC Banka and announced that an agreement had been reached to sell Antwerp Diamond Bank to the </w:t>
      </w:r>
      <w:proofErr w:type="spellStart"/>
      <w:r w:rsidRPr="00485E48">
        <w:rPr>
          <w:rFonts w:cs="Arial"/>
          <w:bCs/>
          <w:i/>
          <w:color w:val="003768"/>
          <w:sz w:val="20"/>
          <w:szCs w:val="20"/>
        </w:rPr>
        <w:t>Yinren</w:t>
      </w:r>
      <w:proofErr w:type="spellEnd"/>
      <w:r w:rsidRPr="00485E48">
        <w:rPr>
          <w:rFonts w:cs="Arial"/>
          <w:bCs/>
          <w:i/>
          <w:color w:val="003768"/>
          <w:sz w:val="20"/>
          <w:szCs w:val="20"/>
        </w:rPr>
        <w:t xml:space="preserve"> Group. As announced before, we reached an agreement in September to sell KBC Bank Deutschland AG. These deals will ultimately improve KBC's tier-1 ratio (Basel II) by around 0.3%. </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We have collapsed one CDO in the first quarter of 2014, which will lead to a further decrease in exposure of our legacy assets of roughly 2 billion euros in nominal value.</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On the subject of capital management, 0.7 billion euros in loans that KBC had granted to </w:t>
      </w:r>
      <w:proofErr w:type="spellStart"/>
      <w:r w:rsidRPr="00485E48">
        <w:rPr>
          <w:rFonts w:cs="Arial"/>
          <w:bCs/>
          <w:i/>
          <w:color w:val="003768"/>
          <w:sz w:val="20"/>
          <w:szCs w:val="20"/>
        </w:rPr>
        <w:t>Cera</w:t>
      </w:r>
      <w:proofErr w:type="spellEnd"/>
      <w:r w:rsidRPr="00485E48">
        <w:rPr>
          <w:rFonts w:cs="Arial"/>
          <w:bCs/>
          <w:i/>
          <w:color w:val="003768"/>
          <w:sz w:val="20"/>
          <w:szCs w:val="20"/>
        </w:rPr>
        <w:t xml:space="preserve"> and KBC </w:t>
      </w:r>
      <w:proofErr w:type="spellStart"/>
      <w:r w:rsidRPr="00485E48">
        <w:rPr>
          <w:rFonts w:cs="Arial"/>
          <w:bCs/>
          <w:i/>
          <w:color w:val="003768"/>
          <w:sz w:val="20"/>
          <w:szCs w:val="20"/>
        </w:rPr>
        <w:t>Ancora</w:t>
      </w:r>
      <w:proofErr w:type="spellEnd"/>
      <w:r w:rsidRPr="00485E48">
        <w:rPr>
          <w:rFonts w:cs="Arial"/>
          <w:bCs/>
          <w:i/>
          <w:color w:val="003768"/>
          <w:sz w:val="20"/>
          <w:szCs w:val="20"/>
        </w:rPr>
        <w:t xml:space="preserve"> was repaid during the fourth quarter. The proceeds of the sale of some of the KBC Group shares owned by these two entities were used to finance this operation. This reduction improved regulatory capital by 0.7 billion euros and the common equity ratio (Basel III fully loaded) by 0.7%.</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At the beginning of 2014, we repaid a second instalment (0.5 billion euros, comprising 0.33 billion euros in principal plus a penalty of 50%) to the Flemish Regional Government. This repayment was again ahead of the schedule agreed with the European Commission and was made possible on account of KBC's robust capital position. The remaining state aid now amounts to 2 billion euros.</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The liquidity position of our group remains very strong, with both the LCR and NSFR being well above 100%.</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Our capital position also continues to be very robust, as illustrated by a pro forma tier-1 ratio of 15.6% (Basel II). This calculation takes into account the repayment of 0.5 billion euros to the Flemish Regional Government at the beginning of January and the divestments for which agreements have been signed. At year-end 2013, our common equity ratio under Basel III stood at 12.5% (fully loaded, pro forma, Danish compromise method), well above our goal of maintaining a target common equity ratio under Basel III (fully loaded) of 10%.</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As regards to future dividend pay-outs, we will propose to the respective Annual General Meetings of Shareholders that no dividend be paid over accounting years 2013 and 2015. This would imply that no coupon will be paid on the outstanding Yield Enhanced Securities subscribed to by the Flemish Regional Government over those accounting years. </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In relation to accounting year 2014, the intention is to propose to pay, out of the available profits generated in that accounting year,  a dividend of up to 2 euros per share.</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From accounting year 2016 onwards, it is the intention to resume regular dividend payments. The precise dividend policy from then on will be presented at the KBC investor day in June 2014.  </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Despite the fact that no coupons would be paid on the Yield Enhanced Securities in relation to accounting year 2013 and 2015, the return which the Flemish Region will receive on these instruments will remain well in excess of the minimum guaranteed return of 10% per year for the full holding period. </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 xml:space="preserve">Any dividend payment will of course be subject to the usual approval of the regulator. </w:t>
      </w:r>
    </w:p>
    <w:p w:rsidR="009474DE" w:rsidRPr="00485E48" w:rsidRDefault="009474DE" w:rsidP="003B367B">
      <w:pPr>
        <w:autoSpaceDE w:val="0"/>
        <w:autoSpaceDN w:val="0"/>
        <w:adjustRightInd w:val="0"/>
        <w:spacing w:after="60" w:line="240" w:lineRule="auto"/>
        <w:ind w:left="992" w:right="6"/>
        <w:jc w:val="both"/>
        <w:rPr>
          <w:rFonts w:cs="Arial"/>
          <w:bCs/>
          <w:i/>
          <w:color w:val="003768"/>
          <w:sz w:val="20"/>
          <w:szCs w:val="20"/>
        </w:rPr>
      </w:pPr>
      <w:r w:rsidRPr="00485E48">
        <w:rPr>
          <w:rFonts w:cs="Arial"/>
          <w:bCs/>
          <w:i/>
          <w:color w:val="003768"/>
          <w:sz w:val="20"/>
          <w:szCs w:val="20"/>
        </w:rPr>
        <w:t>In conclusion, the results for 2013 reconfirm our strong belief in our core business of bank-insurance in Belgium, the Czech Republic, Slovakia, Hungary and Bulgaria.. Our utmost priority is to ensure that our clients, shareholders and other stakeholders benefit from our activities, and our 36 000 employees are committed to achieving this goal. We are truly appreciative of the trust that continues to be placed in us.’</w:t>
      </w:r>
    </w:p>
    <w:p w:rsidR="00836A07" w:rsidRDefault="00836A07">
      <w:pPr>
        <w:spacing w:after="0" w:line="240" w:lineRule="auto"/>
        <w:rPr>
          <w:rFonts w:ascii="Rockwell" w:hAnsi="Rockwell" w:cs="Arial"/>
          <w:b/>
          <w:bCs/>
          <w:color w:val="003366"/>
          <w:sz w:val="28"/>
          <w:szCs w:val="28"/>
        </w:rPr>
      </w:pPr>
      <w:r>
        <w:rPr>
          <w:rFonts w:ascii="Rockwell" w:hAnsi="Rockwell" w:cs="Arial"/>
          <w:b/>
          <w:bCs/>
          <w:color w:val="003366"/>
          <w:sz w:val="28"/>
          <w:szCs w:val="28"/>
        </w:rPr>
        <w:br w:type="page"/>
      </w:r>
    </w:p>
    <w:p w:rsidR="00AE28C8" w:rsidRDefault="00AE28C8" w:rsidP="00836A07">
      <w:pPr>
        <w:autoSpaceDE w:val="0"/>
        <w:autoSpaceDN w:val="0"/>
        <w:adjustRightInd w:val="0"/>
        <w:spacing w:after="120" w:line="240" w:lineRule="auto"/>
        <w:ind w:left="992" w:right="6"/>
        <w:jc w:val="both"/>
        <w:rPr>
          <w:rFonts w:ascii="Rockwell" w:hAnsi="Rockwell" w:cs="Arial"/>
          <w:b/>
          <w:bCs/>
          <w:color w:val="003366"/>
          <w:sz w:val="28"/>
          <w:szCs w:val="28"/>
        </w:rPr>
      </w:pPr>
      <w:r w:rsidRPr="00AE28C8">
        <w:rPr>
          <w:rFonts w:ascii="Rockwell" w:hAnsi="Rockwell" w:cs="Arial"/>
          <w:b/>
          <w:bCs/>
          <w:color w:val="003366"/>
          <w:sz w:val="28"/>
          <w:szCs w:val="28"/>
        </w:rPr>
        <w:lastRenderedPageBreak/>
        <w:t>Impact of the legacy business and valuation of own credit risk:</w:t>
      </w:r>
    </w:p>
    <w:p w:rsidR="00AE28C8" w:rsidRPr="00485E48" w:rsidRDefault="00AE28C8" w:rsidP="003B367B">
      <w:pPr>
        <w:autoSpaceDE w:val="0"/>
        <w:autoSpaceDN w:val="0"/>
        <w:adjustRightInd w:val="0"/>
        <w:spacing w:after="60" w:line="240" w:lineRule="auto"/>
        <w:ind w:left="992" w:right="6"/>
        <w:jc w:val="both"/>
        <w:rPr>
          <w:rFonts w:cs="Arial"/>
          <w:color w:val="003768"/>
          <w:sz w:val="20"/>
          <w:szCs w:val="20"/>
        </w:rPr>
      </w:pPr>
      <w:r w:rsidRPr="00485E48">
        <w:rPr>
          <w:rFonts w:cs="Arial"/>
          <w:color w:val="003768"/>
          <w:sz w:val="20"/>
          <w:szCs w:val="20"/>
        </w:rPr>
        <w:t>In order to give a good insight into the ongoing business performance, KBC also provides adjusted figures that exclude a) the impact of the legacy business, i.e. the valuation of the remaining CDOs in portfolio (including fees for the related guarantee agreement with the Belgian State) and the impact of divestments and b) the impact of the valuation of own credit risk. For the quarter under review, these items had the following impact:</w:t>
      </w:r>
    </w:p>
    <w:p w:rsidR="00AE28C8" w:rsidRPr="00485E48" w:rsidRDefault="00AE28C8" w:rsidP="003B367B">
      <w:pPr>
        <w:pStyle w:val="Lijstalinea"/>
        <w:numPr>
          <w:ilvl w:val="0"/>
          <w:numId w:val="1"/>
        </w:numPr>
        <w:autoSpaceDE w:val="0"/>
        <w:autoSpaceDN w:val="0"/>
        <w:adjustRightInd w:val="0"/>
        <w:spacing w:after="60" w:line="240" w:lineRule="auto"/>
        <w:ind w:left="1712" w:right="6" w:hanging="357"/>
        <w:contextualSpacing w:val="0"/>
        <w:jc w:val="both"/>
        <w:rPr>
          <w:rFonts w:cs="Arial"/>
          <w:color w:val="003768"/>
          <w:sz w:val="20"/>
          <w:szCs w:val="20"/>
          <w:lang w:val="en-GB"/>
        </w:rPr>
      </w:pPr>
      <w:r w:rsidRPr="00485E48">
        <w:rPr>
          <w:rFonts w:cs="Arial"/>
          <w:color w:val="003768"/>
          <w:sz w:val="20"/>
          <w:szCs w:val="20"/>
          <w:lang w:val="en-GB"/>
        </w:rPr>
        <w:t>CDOs: During the fourth quarter, corporate and ABS credit spreads tightened further, as had been the case during previous quarters. When account is taken of the impact of the fee for the CDO guarantee scheme with the Belgian Federal Government, along with the termination costs, there was a positive post-tax impact of 65 million euros.</w:t>
      </w:r>
    </w:p>
    <w:p w:rsidR="00AE28C8" w:rsidRPr="00485E48" w:rsidRDefault="00AE28C8" w:rsidP="003B367B">
      <w:pPr>
        <w:pStyle w:val="Lijstalinea"/>
        <w:numPr>
          <w:ilvl w:val="0"/>
          <w:numId w:val="1"/>
        </w:numPr>
        <w:autoSpaceDE w:val="0"/>
        <w:autoSpaceDN w:val="0"/>
        <w:adjustRightInd w:val="0"/>
        <w:spacing w:after="60" w:line="240" w:lineRule="auto"/>
        <w:ind w:left="1712" w:right="6" w:hanging="357"/>
        <w:contextualSpacing w:val="0"/>
        <w:jc w:val="both"/>
        <w:rPr>
          <w:rFonts w:cs="Arial"/>
          <w:color w:val="003768"/>
          <w:sz w:val="20"/>
          <w:szCs w:val="20"/>
          <w:lang w:val="en-GB"/>
        </w:rPr>
      </w:pPr>
      <w:r w:rsidRPr="00485E48">
        <w:rPr>
          <w:rFonts w:cs="Arial"/>
          <w:color w:val="003768"/>
          <w:sz w:val="20"/>
          <w:szCs w:val="20"/>
          <w:lang w:val="en-GB"/>
        </w:rPr>
        <w:t>Remaining divestments: A total post-tax negative impact of 10 million euros was recorded for this quarter. This was attributable primarily to the completion of the sale of KBC Banka, as well as to the costs linked to the reduction in shareholders’ loans.</w:t>
      </w:r>
    </w:p>
    <w:p w:rsidR="00AE28C8" w:rsidRPr="00485E48" w:rsidRDefault="00AE28C8" w:rsidP="006E022B">
      <w:pPr>
        <w:pStyle w:val="Lijstalinea"/>
        <w:numPr>
          <w:ilvl w:val="0"/>
          <w:numId w:val="1"/>
        </w:numPr>
        <w:autoSpaceDE w:val="0"/>
        <w:autoSpaceDN w:val="0"/>
        <w:adjustRightInd w:val="0"/>
        <w:spacing w:after="120" w:line="240" w:lineRule="auto"/>
        <w:ind w:left="1712" w:right="6" w:hanging="357"/>
        <w:contextualSpacing w:val="0"/>
        <w:jc w:val="both"/>
        <w:rPr>
          <w:rFonts w:cs="Arial"/>
          <w:color w:val="003768"/>
          <w:sz w:val="20"/>
          <w:szCs w:val="20"/>
          <w:lang w:val="en-GB"/>
        </w:rPr>
      </w:pPr>
      <w:r w:rsidRPr="00485E48">
        <w:rPr>
          <w:rFonts w:cs="Arial"/>
          <w:color w:val="003768"/>
          <w:sz w:val="20"/>
          <w:szCs w:val="20"/>
          <w:lang w:val="en-GB"/>
        </w:rPr>
        <w:t>Impact of own credit risk valuation: The slight tightening of the credit spread on KBC debt between the end of September 2013 and year-end 2013 resulted in a negative marked-to-market adjustment of 9 million euros (post tax), but had no impact on regulatory capital.</w:t>
      </w:r>
    </w:p>
    <w:p w:rsidR="00AE28C8" w:rsidRPr="00AE28C8" w:rsidRDefault="00AE28C8" w:rsidP="00836A07">
      <w:pPr>
        <w:autoSpaceDE w:val="0"/>
        <w:autoSpaceDN w:val="0"/>
        <w:adjustRightInd w:val="0"/>
        <w:spacing w:after="120" w:line="240" w:lineRule="auto"/>
        <w:ind w:left="992" w:right="6"/>
        <w:jc w:val="both"/>
        <w:rPr>
          <w:rFonts w:ascii="Rockwell" w:hAnsi="Rockwell" w:cs="Arial"/>
          <w:b/>
          <w:bCs/>
          <w:color w:val="003366"/>
          <w:sz w:val="28"/>
          <w:szCs w:val="28"/>
        </w:rPr>
      </w:pPr>
      <w:r w:rsidRPr="00AE28C8">
        <w:rPr>
          <w:rFonts w:ascii="Rockwell" w:hAnsi="Rockwell" w:cs="Arial"/>
          <w:b/>
          <w:bCs/>
          <w:color w:val="003366"/>
          <w:sz w:val="28"/>
          <w:szCs w:val="28"/>
        </w:rPr>
        <w:t>Financial highlights for 4Q2013 compared with 3Q2013:</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 xml:space="preserve">Sound commercial results. </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 xml:space="preserve">Net result distorted by high level of loan loss impairment in Ireland. </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Net interest margin up to 1.80%.</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Strong deposit growth in the Czech Republic, Slovakia and Bulgaria.</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Solid mortgage growth in Belgium, the Czech Republic and Slovakia.</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Healthy combined ratio of 94% for the full year, despite a relatively high claims ratio in 4Q2013.</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Good level of dealing room income, modest impact of marked-to-market valuations of ALM derivatives.</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Higher net fee and commission income, thanks to the Czech Republic and Hungary.</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Excellent cost/income ratio of 52% for the full year.</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 xml:space="preserve">Credit cost ratio up to 1.19% for the full year, due to impairment charges on Irish loans. Ireland’s credit cost ratio at 6.72%. </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Consistently solid liquidity position, with LCR at 131% and NSFR at 111%.</w:t>
      </w:r>
    </w:p>
    <w:p w:rsidR="00AE28C8" w:rsidRPr="00485E48" w:rsidRDefault="00AE28C8" w:rsidP="003B367B">
      <w:pPr>
        <w:pStyle w:val="Lijstalinea"/>
        <w:numPr>
          <w:ilvl w:val="0"/>
          <w:numId w:val="2"/>
        </w:numPr>
        <w:autoSpaceDE w:val="0"/>
        <w:autoSpaceDN w:val="0"/>
        <w:adjustRightInd w:val="0"/>
        <w:spacing w:after="60" w:line="240" w:lineRule="auto"/>
        <w:ind w:left="1712" w:right="6" w:hanging="357"/>
        <w:contextualSpacing w:val="0"/>
        <w:jc w:val="both"/>
        <w:rPr>
          <w:rFonts w:cs="Arial"/>
          <w:color w:val="003768"/>
          <w:sz w:val="20"/>
          <w:szCs w:val="20"/>
        </w:rPr>
      </w:pPr>
      <w:r w:rsidRPr="00485E48">
        <w:rPr>
          <w:rFonts w:cs="Arial"/>
          <w:color w:val="003768"/>
          <w:sz w:val="20"/>
          <w:szCs w:val="20"/>
        </w:rPr>
        <w:t>Solvency: strong capital base, with a pro forma tier-1 ratio of 15.6% (core tier-1 ratio of 13.2%). Basel III common equity ratio (fully loaded, pro forma) at 12.5%, well above the 10% target.</w:t>
      </w:r>
    </w:p>
    <w:p w:rsidR="00AE28C8" w:rsidRDefault="00AE28C8" w:rsidP="009604C7">
      <w:pPr>
        <w:pStyle w:val="Lijstalinea"/>
        <w:numPr>
          <w:ilvl w:val="0"/>
          <w:numId w:val="2"/>
        </w:numPr>
        <w:autoSpaceDE w:val="0"/>
        <w:autoSpaceDN w:val="0"/>
        <w:adjustRightInd w:val="0"/>
        <w:spacing w:after="120" w:line="240" w:lineRule="auto"/>
        <w:ind w:left="1712" w:right="6" w:hanging="357"/>
        <w:contextualSpacing w:val="0"/>
        <w:jc w:val="both"/>
        <w:rPr>
          <w:rFonts w:cs="Arial"/>
          <w:color w:val="003768"/>
          <w:sz w:val="20"/>
          <w:szCs w:val="20"/>
        </w:rPr>
      </w:pPr>
      <w:r w:rsidRPr="00485E48">
        <w:rPr>
          <w:rFonts w:cs="Arial"/>
          <w:color w:val="003768"/>
          <w:sz w:val="20"/>
          <w:szCs w:val="20"/>
        </w:rPr>
        <w:t xml:space="preserve">No dividend payment for 2013 to be proposed to AGM. </w:t>
      </w:r>
    </w:p>
    <w:tbl>
      <w:tblPr>
        <w:tblW w:w="10206" w:type="dxa"/>
        <w:tblInd w:w="1127" w:type="dxa"/>
        <w:tblLayout w:type="fixed"/>
        <w:tblLook w:val="01E0" w:firstRow="1" w:lastRow="1" w:firstColumn="1" w:lastColumn="1" w:noHBand="0" w:noVBand="0"/>
      </w:tblPr>
      <w:tblGrid>
        <w:gridCol w:w="5670"/>
        <w:gridCol w:w="850"/>
        <w:gridCol w:w="851"/>
        <w:gridCol w:w="850"/>
        <w:gridCol w:w="1128"/>
        <w:gridCol w:w="857"/>
      </w:tblGrid>
      <w:tr w:rsidR="00151940" w:rsidRPr="00151940" w:rsidTr="00151940">
        <w:tc>
          <w:tcPr>
            <w:tcW w:w="5670" w:type="dxa"/>
            <w:shd w:val="clear" w:color="auto" w:fill="365F91" w:themeFill="accent1" w:themeFillShade="BF"/>
            <w:vAlign w:val="center"/>
          </w:tcPr>
          <w:p w:rsidR="00151940" w:rsidRPr="00151940" w:rsidRDefault="00151940" w:rsidP="00151940">
            <w:pPr>
              <w:spacing w:after="0" w:line="240" w:lineRule="auto"/>
              <w:rPr>
                <w:rFonts w:ascii="Arial" w:eastAsia="Times New Roman" w:hAnsi="Arial"/>
                <w:bCs/>
                <w:snapToGrid w:val="0"/>
                <w:color w:val="FFFFFF" w:themeColor="background1"/>
                <w:sz w:val="14"/>
                <w:szCs w:val="14"/>
                <w:lang w:val="en-GB"/>
              </w:rPr>
            </w:pPr>
            <w:bookmarkStart w:id="0" w:name="_GoBack"/>
            <w:bookmarkEnd w:id="0"/>
            <w:r w:rsidRPr="00151940">
              <w:rPr>
                <w:rFonts w:ascii="Arial" w:eastAsia="Times New Roman" w:hAnsi="Arial"/>
                <w:bCs/>
                <w:snapToGrid w:val="0"/>
                <w:color w:val="FFFFFF" w:themeColor="background1"/>
                <w:sz w:val="14"/>
                <w:szCs w:val="14"/>
                <w:lang w:val="en-GB"/>
              </w:rPr>
              <w:t>Overview</w:t>
            </w:r>
          </w:p>
          <w:p w:rsidR="00151940" w:rsidRPr="00151940" w:rsidRDefault="00151940" w:rsidP="00151940">
            <w:pPr>
              <w:spacing w:after="0" w:line="240" w:lineRule="auto"/>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KBC Group (consolidated)</w:t>
            </w:r>
          </w:p>
        </w:tc>
        <w:tc>
          <w:tcPr>
            <w:tcW w:w="850" w:type="dxa"/>
            <w:shd w:val="clear" w:color="auto" w:fill="365F91" w:themeFill="accent1" w:themeFillShade="BF"/>
            <w:vAlign w:val="center"/>
          </w:tcPr>
          <w:p w:rsidR="00151940" w:rsidRPr="00151940" w:rsidRDefault="00151940" w:rsidP="00151940">
            <w:pPr>
              <w:spacing w:after="0" w:line="240" w:lineRule="auto"/>
              <w:jc w:val="right"/>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4Q2012</w:t>
            </w:r>
          </w:p>
        </w:tc>
        <w:tc>
          <w:tcPr>
            <w:tcW w:w="851" w:type="dxa"/>
            <w:shd w:val="clear" w:color="auto" w:fill="365F91" w:themeFill="accent1" w:themeFillShade="BF"/>
            <w:vAlign w:val="center"/>
          </w:tcPr>
          <w:p w:rsidR="00151940" w:rsidRPr="00151940" w:rsidRDefault="00151940" w:rsidP="00151940">
            <w:pPr>
              <w:spacing w:after="0" w:line="240" w:lineRule="auto"/>
              <w:jc w:val="right"/>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3Q2013</w:t>
            </w:r>
          </w:p>
        </w:tc>
        <w:tc>
          <w:tcPr>
            <w:tcW w:w="850" w:type="dxa"/>
            <w:shd w:val="clear" w:color="auto" w:fill="365F91" w:themeFill="accent1" w:themeFillShade="BF"/>
            <w:vAlign w:val="center"/>
          </w:tcPr>
          <w:p w:rsidR="00151940" w:rsidRPr="00151940" w:rsidRDefault="00151940" w:rsidP="00151940">
            <w:pPr>
              <w:spacing w:after="0" w:line="240" w:lineRule="auto"/>
              <w:jc w:val="right"/>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4Q2013</w:t>
            </w:r>
          </w:p>
        </w:tc>
        <w:tc>
          <w:tcPr>
            <w:tcW w:w="1128" w:type="dxa"/>
            <w:shd w:val="clear" w:color="auto" w:fill="365F91" w:themeFill="accent1" w:themeFillShade="BF"/>
            <w:vAlign w:val="center"/>
          </w:tcPr>
          <w:p w:rsidR="00151940" w:rsidRPr="00151940" w:rsidRDefault="00151940" w:rsidP="00151940">
            <w:pPr>
              <w:spacing w:after="0" w:line="240" w:lineRule="auto"/>
              <w:jc w:val="right"/>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FY2012</w:t>
            </w:r>
          </w:p>
        </w:tc>
        <w:tc>
          <w:tcPr>
            <w:tcW w:w="857" w:type="dxa"/>
            <w:shd w:val="clear" w:color="auto" w:fill="365F91" w:themeFill="accent1" w:themeFillShade="BF"/>
            <w:vAlign w:val="center"/>
          </w:tcPr>
          <w:p w:rsidR="00151940" w:rsidRPr="00151940" w:rsidRDefault="00151940" w:rsidP="00151940">
            <w:pPr>
              <w:spacing w:after="0" w:line="240" w:lineRule="auto"/>
              <w:jc w:val="right"/>
              <w:rPr>
                <w:rFonts w:ascii="Arial" w:eastAsia="Times New Roman" w:hAnsi="Arial"/>
                <w:bCs/>
                <w:snapToGrid w:val="0"/>
                <w:color w:val="FFFFFF" w:themeColor="background1"/>
                <w:sz w:val="14"/>
                <w:szCs w:val="14"/>
                <w:lang w:val="en-GB"/>
              </w:rPr>
            </w:pPr>
            <w:r w:rsidRPr="00151940">
              <w:rPr>
                <w:rFonts w:ascii="Arial" w:eastAsia="Times New Roman" w:hAnsi="Arial"/>
                <w:bCs/>
                <w:snapToGrid w:val="0"/>
                <w:color w:val="FFFFFF" w:themeColor="background1"/>
                <w:sz w:val="14"/>
                <w:szCs w:val="14"/>
                <w:lang w:val="en-GB"/>
              </w:rPr>
              <w:t>FY2013</w:t>
            </w:r>
          </w:p>
        </w:tc>
      </w:tr>
      <w:tr w:rsidR="00151940" w:rsidRPr="00151940" w:rsidTr="00151940">
        <w:trPr>
          <w:trHeight w:val="284"/>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Net result, IFRS (in millions of EUR)</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ind w:left="-108" w:hanging="142"/>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240</w:t>
            </w:r>
          </w:p>
        </w:tc>
        <w:tc>
          <w:tcPr>
            <w:tcW w:w="851" w:type="dxa"/>
            <w:vAlign w:val="center"/>
          </w:tcPr>
          <w:p w:rsidR="00151940" w:rsidRPr="00151940" w:rsidRDefault="00151940" w:rsidP="00151940">
            <w:pPr>
              <w:spacing w:after="0" w:line="240" w:lineRule="auto"/>
              <w:ind w:left="-108" w:hanging="142"/>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272</w:t>
            </w: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ind w:left="-108" w:hanging="142"/>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-294</w:t>
            </w: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ind w:left="-108" w:hanging="142"/>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612</w:t>
            </w:r>
          </w:p>
        </w:tc>
        <w:tc>
          <w:tcPr>
            <w:tcW w:w="857" w:type="dxa"/>
            <w:shd w:val="clear" w:color="auto" w:fill="DBE5F1" w:themeFill="accent1" w:themeFillTint="33"/>
            <w:vAlign w:val="center"/>
          </w:tcPr>
          <w:p w:rsidR="00151940" w:rsidRPr="00151940" w:rsidRDefault="00151940" w:rsidP="00151940">
            <w:pPr>
              <w:spacing w:after="0" w:line="240" w:lineRule="auto"/>
              <w:ind w:left="-108" w:hanging="142"/>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1 015</w:t>
            </w:r>
          </w:p>
        </w:tc>
      </w:tr>
      <w:tr w:rsidR="00151940" w:rsidRPr="00151940" w:rsidTr="00151940">
        <w:trPr>
          <w:trHeight w:val="284"/>
        </w:trPr>
        <w:tc>
          <w:tcPr>
            <w:tcW w:w="5670" w:type="dxa"/>
            <w:tcBorders>
              <w:bottom w:val="single" w:sz="4" w:space="0" w:color="365F91" w:themeColor="accent1" w:themeShade="BF"/>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vertAlign w:val="superscript"/>
                <w:lang w:val="en-GB"/>
              </w:rPr>
            </w:pPr>
            <w:r w:rsidRPr="00151940">
              <w:rPr>
                <w:rFonts w:ascii="Arial" w:eastAsia="Times New Roman" w:hAnsi="Arial"/>
                <w:bCs/>
                <w:snapToGrid w:val="0"/>
                <w:sz w:val="14"/>
                <w:szCs w:val="14"/>
                <w:lang w:val="en-GB"/>
              </w:rPr>
              <w:t>Basic earnings per share, IFRS (in EUR)</w:t>
            </w:r>
            <w:r w:rsidRPr="00151940">
              <w:rPr>
                <w:rFonts w:ascii="Arial" w:eastAsia="Times New Roman" w:hAnsi="Arial"/>
                <w:bCs/>
                <w:snapToGrid w:val="0"/>
                <w:sz w:val="14"/>
                <w:szCs w:val="14"/>
                <w:vertAlign w:val="superscript"/>
                <w:lang w:val="en-GB"/>
              </w:rPr>
              <w:t>1</w:t>
            </w:r>
          </w:p>
        </w:tc>
        <w:tc>
          <w:tcPr>
            <w:tcW w:w="850" w:type="dxa"/>
            <w:tcBorders>
              <w:left w:val="single" w:sz="4" w:space="0" w:color="365F91" w:themeColor="accent1" w:themeShade="BF"/>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-0.97</w:t>
            </w:r>
          </w:p>
        </w:tc>
        <w:tc>
          <w:tcPr>
            <w:tcW w:w="851" w:type="dxa"/>
            <w:tcBorders>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-0.75</w:t>
            </w:r>
          </w:p>
        </w:tc>
        <w:tc>
          <w:tcPr>
            <w:tcW w:w="850"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-0.71</w:t>
            </w:r>
          </w:p>
        </w:tc>
        <w:tc>
          <w:tcPr>
            <w:tcW w:w="1128" w:type="dxa"/>
            <w:tcBorders>
              <w:left w:val="single" w:sz="4" w:space="0" w:color="365F91" w:themeColor="accent1" w:themeShade="BF"/>
              <w:bottom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-1.09</w:t>
            </w:r>
          </w:p>
        </w:tc>
        <w:tc>
          <w:tcPr>
            <w:tcW w:w="857" w:type="dxa"/>
            <w:tcBorders>
              <w:bottom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1.03</w:t>
            </w:r>
          </w:p>
        </w:tc>
      </w:tr>
      <w:tr w:rsidR="00151940" w:rsidRPr="00151940" w:rsidTr="00151940">
        <w:trPr>
          <w:trHeight w:val="284"/>
        </w:trPr>
        <w:tc>
          <w:tcPr>
            <w:tcW w:w="5670" w:type="dxa"/>
            <w:tcBorders>
              <w:top w:val="single" w:sz="4" w:space="0" w:color="365F91" w:themeColor="accent1" w:themeShade="BF"/>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Adjusted net result (in millions of EUR)</w:t>
            </w:r>
          </w:p>
        </w:tc>
        <w:tc>
          <w:tcPr>
            <w:tcW w:w="850" w:type="dxa"/>
            <w:tcBorders>
              <w:top w:val="single" w:sz="4" w:space="0" w:color="365F91" w:themeColor="accent1" w:themeShade="BF"/>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279</w:t>
            </w:r>
          </w:p>
        </w:tc>
        <w:tc>
          <w:tcPr>
            <w:tcW w:w="851" w:type="dxa"/>
            <w:tcBorders>
              <w:top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457</w:t>
            </w:r>
          </w:p>
        </w:tc>
        <w:tc>
          <w:tcPr>
            <w:tcW w:w="850" w:type="dxa"/>
            <w:tcBorders>
              <w:top w:val="single" w:sz="4" w:space="0" w:color="365F91" w:themeColor="accent1" w:themeShade="BF"/>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-340</w:t>
            </w:r>
          </w:p>
        </w:tc>
        <w:tc>
          <w:tcPr>
            <w:tcW w:w="1128" w:type="dxa"/>
            <w:tcBorders>
              <w:top w:val="single" w:sz="4" w:space="0" w:color="365F91" w:themeColor="accent1" w:themeShade="BF"/>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1 496</w:t>
            </w:r>
          </w:p>
        </w:tc>
        <w:tc>
          <w:tcPr>
            <w:tcW w:w="857" w:type="dxa"/>
            <w:tcBorders>
              <w:top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960</w:t>
            </w:r>
          </w:p>
        </w:tc>
      </w:tr>
      <w:tr w:rsidR="00151940" w:rsidRPr="00151940" w:rsidTr="00151940">
        <w:trPr>
          <w:trHeight w:val="284"/>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Basic earnings per share, based on adjusted net result (in EUR)</w:t>
            </w:r>
            <w:r w:rsidRPr="00151940">
              <w:rPr>
                <w:rFonts w:ascii="Arial" w:eastAsia="Times New Roman" w:hAnsi="Arial"/>
                <w:bCs/>
                <w:snapToGrid w:val="0"/>
                <w:sz w:val="14"/>
                <w:szCs w:val="14"/>
                <w:vertAlign w:val="superscript"/>
                <w:lang w:val="en-GB"/>
              </w:rPr>
              <w:t>1</w:t>
            </w:r>
            <w:r w:rsidRPr="00151940">
              <w:rPr>
                <w:rFonts w:ascii="Arial" w:eastAsia="Times New Roman" w:hAnsi="Arial"/>
                <w:bCs/>
                <w:snapToGrid w:val="0"/>
                <w:sz w:val="14"/>
                <w:szCs w:val="14"/>
                <w:lang w:val="en-GB"/>
              </w:rPr>
              <w:t xml:space="preserve"> </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-0.92</w:t>
            </w:r>
          </w:p>
        </w:tc>
        <w:tc>
          <w:tcPr>
            <w:tcW w:w="851" w:type="dxa"/>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-0.30</w:t>
            </w: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-0.82</w:t>
            </w: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1.44</w:t>
            </w:r>
          </w:p>
        </w:tc>
        <w:tc>
          <w:tcPr>
            <w:tcW w:w="857" w:type="dxa"/>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0.90</w:t>
            </w:r>
          </w:p>
        </w:tc>
      </w:tr>
      <w:tr w:rsidR="00151940" w:rsidRPr="00151940" w:rsidTr="00151940">
        <w:trPr>
          <w:trHeight w:val="284"/>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Breakdown by business unit (in millions of EUR)</w:t>
            </w:r>
            <w:r w:rsidRPr="00151940">
              <w:rPr>
                <w:rFonts w:ascii="Arial" w:eastAsia="Times New Roman" w:hAnsi="Arial"/>
                <w:bCs/>
                <w:snapToGrid w:val="0"/>
                <w:sz w:val="14"/>
                <w:szCs w:val="14"/>
                <w:vertAlign w:val="superscript"/>
                <w:lang w:val="en-GB"/>
              </w:rPr>
              <w:t>2</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p>
        </w:tc>
        <w:tc>
          <w:tcPr>
            <w:tcW w:w="851" w:type="dxa"/>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p>
        </w:tc>
        <w:tc>
          <w:tcPr>
            <w:tcW w:w="857" w:type="dxa"/>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p>
        </w:tc>
      </w:tr>
      <w:tr w:rsidR="00151940" w:rsidRPr="00151940" w:rsidTr="00151940">
        <w:trPr>
          <w:trHeight w:val="227"/>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 xml:space="preserve">          Belgium</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295</w:t>
            </w:r>
          </w:p>
        </w:tc>
        <w:tc>
          <w:tcPr>
            <w:tcW w:w="851" w:type="dxa"/>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391</w:t>
            </w: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376</w:t>
            </w: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1 360</w:t>
            </w:r>
          </w:p>
        </w:tc>
        <w:tc>
          <w:tcPr>
            <w:tcW w:w="857" w:type="dxa"/>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1 570</w:t>
            </w:r>
          </w:p>
        </w:tc>
      </w:tr>
      <w:tr w:rsidR="00151940" w:rsidRPr="00151940" w:rsidTr="00151940">
        <w:trPr>
          <w:trHeight w:val="227"/>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 xml:space="preserve">          Czech Republic</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114</w:t>
            </w:r>
          </w:p>
        </w:tc>
        <w:tc>
          <w:tcPr>
            <w:tcW w:w="851" w:type="dxa"/>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157</w:t>
            </w: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119</w:t>
            </w: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581</w:t>
            </w:r>
          </w:p>
        </w:tc>
        <w:tc>
          <w:tcPr>
            <w:tcW w:w="857" w:type="dxa"/>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554</w:t>
            </w:r>
          </w:p>
        </w:tc>
      </w:tr>
      <w:tr w:rsidR="00151940" w:rsidRPr="00151940" w:rsidTr="00151940">
        <w:trPr>
          <w:trHeight w:val="227"/>
        </w:trPr>
        <w:tc>
          <w:tcPr>
            <w:tcW w:w="5670" w:type="dxa"/>
            <w:tcBorders>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 xml:space="preserve">          International Markets</w:t>
            </w:r>
          </w:p>
        </w:tc>
        <w:tc>
          <w:tcPr>
            <w:tcW w:w="850" w:type="dxa"/>
            <w:tcBorders>
              <w:left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-18</w:t>
            </w:r>
          </w:p>
        </w:tc>
        <w:tc>
          <w:tcPr>
            <w:tcW w:w="851" w:type="dxa"/>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-12</w:t>
            </w:r>
          </w:p>
        </w:tc>
        <w:tc>
          <w:tcPr>
            <w:tcW w:w="850" w:type="dxa"/>
            <w:tcBorders>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-731</w:t>
            </w:r>
          </w:p>
        </w:tc>
        <w:tc>
          <w:tcPr>
            <w:tcW w:w="1128" w:type="dxa"/>
            <w:tcBorders>
              <w:left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-260</w:t>
            </w:r>
          </w:p>
        </w:tc>
        <w:tc>
          <w:tcPr>
            <w:tcW w:w="857" w:type="dxa"/>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-853</w:t>
            </w:r>
          </w:p>
        </w:tc>
      </w:tr>
      <w:tr w:rsidR="00151940" w:rsidRPr="00151940" w:rsidTr="00151940">
        <w:trPr>
          <w:trHeight w:val="227"/>
        </w:trPr>
        <w:tc>
          <w:tcPr>
            <w:tcW w:w="5670" w:type="dxa"/>
            <w:tcBorders>
              <w:bottom w:val="single" w:sz="4" w:space="0" w:color="365F91" w:themeColor="accent1" w:themeShade="BF"/>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 xml:space="preserve">          Group Centre</w:t>
            </w:r>
          </w:p>
        </w:tc>
        <w:tc>
          <w:tcPr>
            <w:tcW w:w="850" w:type="dxa"/>
            <w:tcBorders>
              <w:left w:val="single" w:sz="4" w:space="0" w:color="365F91" w:themeColor="accent1" w:themeShade="BF"/>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-113</w:t>
            </w:r>
          </w:p>
        </w:tc>
        <w:tc>
          <w:tcPr>
            <w:tcW w:w="851" w:type="dxa"/>
            <w:tcBorders>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-79</w:t>
            </w:r>
          </w:p>
        </w:tc>
        <w:tc>
          <w:tcPr>
            <w:tcW w:w="850"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-104</w:t>
            </w:r>
          </w:p>
        </w:tc>
        <w:tc>
          <w:tcPr>
            <w:tcW w:w="1128" w:type="dxa"/>
            <w:tcBorders>
              <w:left w:val="single" w:sz="4" w:space="0" w:color="365F91" w:themeColor="accent1" w:themeShade="BF"/>
              <w:bottom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-185</w:t>
            </w:r>
          </w:p>
        </w:tc>
        <w:tc>
          <w:tcPr>
            <w:tcW w:w="857" w:type="dxa"/>
            <w:tcBorders>
              <w:bottom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-311</w:t>
            </w:r>
          </w:p>
        </w:tc>
      </w:tr>
      <w:tr w:rsidR="00151940" w:rsidRPr="00151940" w:rsidTr="00151940">
        <w:trPr>
          <w:trHeight w:val="284"/>
        </w:trPr>
        <w:tc>
          <w:tcPr>
            <w:tcW w:w="5670"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rsidR="00151940" w:rsidRPr="00151940" w:rsidRDefault="00151940" w:rsidP="00151940">
            <w:pPr>
              <w:spacing w:after="0" w:line="240" w:lineRule="auto"/>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Parent shareholders’ equity per share (in EUR, end of period)</w:t>
            </w:r>
          </w:p>
        </w:tc>
        <w:tc>
          <w:tcPr>
            <w:tcW w:w="850"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29.0</w:t>
            </w:r>
          </w:p>
        </w:tc>
        <w:tc>
          <w:tcPr>
            <w:tcW w:w="851" w:type="dxa"/>
            <w:tcBorders>
              <w:top w:val="single" w:sz="4" w:space="0" w:color="365F91" w:themeColor="accent1" w:themeShade="BF"/>
              <w:bottom w:val="single" w:sz="4" w:space="0" w:color="365F91" w:themeColor="accent1" w:themeShade="BF"/>
            </w:tcBorders>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28.5</w:t>
            </w:r>
          </w:p>
        </w:tc>
        <w:tc>
          <w:tcPr>
            <w:tcW w:w="85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28.3</w:t>
            </w:r>
          </w:p>
        </w:tc>
        <w:tc>
          <w:tcPr>
            <w:tcW w:w="1128"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auto"/>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29.0</w:t>
            </w:r>
          </w:p>
        </w:tc>
        <w:tc>
          <w:tcPr>
            <w:tcW w:w="857"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151940" w:rsidRPr="00151940" w:rsidRDefault="00151940" w:rsidP="00151940">
            <w:pPr>
              <w:spacing w:after="0" w:line="240" w:lineRule="auto"/>
              <w:jc w:val="right"/>
              <w:rPr>
                <w:rFonts w:ascii="Arial" w:eastAsia="Times New Roman" w:hAnsi="Arial"/>
                <w:bCs/>
                <w:snapToGrid w:val="0"/>
                <w:sz w:val="14"/>
                <w:szCs w:val="14"/>
                <w:lang w:val="en-GB"/>
              </w:rPr>
            </w:pPr>
            <w:r w:rsidRPr="00151940">
              <w:rPr>
                <w:rFonts w:ascii="Arial" w:eastAsia="Times New Roman" w:hAnsi="Arial"/>
                <w:bCs/>
                <w:snapToGrid w:val="0"/>
                <w:sz w:val="14"/>
                <w:szCs w:val="14"/>
                <w:lang w:val="en-GB"/>
              </w:rPr>
              <w:t>28.3</w:t>
            </w:r>
          </w:p>
        </w:tc>
      </w:tr>
      <w:tr w:rsidR="00151940" w:rsidRPr="00151940" w:rsidTr="00151940">
        <w:trPr>
          <w:trHeight w:val="113"/>
        </w:trPr>
        <w:tc>
          <w:tcPr>
            <w:tcW w:w="10206" w:type="dxa"/>
            <w:gridSpan w:val="6"/>
            <w:tcBorders>
              <w:top w:val="single" w:sz="4" w:space="0" w:color="365F91" w:themeColor="accent1" w:themeShade="BF"/>
            </w:tcBorders>
            <w:vAlign w:val="center"/>
          </w:tcPr>
          <w:p w:rsidR="00151940" w:rsidRPr="00151940" w:rsidRDefault="00151940" w:rsidP="00151940">
            <w:pPr>
              <w:spacing w:after="0" w:line="240" w:lineRule="auto"/>
              <w:ind w:left="88" w:hanging="88"/>
              <w:rPr>
                <w:rFonts w:ascii="Arial" w:eastAsia="Times New Roman" w:hAnsi="Arial" w:cs="Arial"/>
                <w:bCs/>
                <w:snapToGrid w:val="0"/>
                <w:color w:val="808080"/>
                <w:sz w:val="12"/>
                <w:szCs w:val="12"/>
                <w:lang w:val="en-GB"/>
              </w:rPr>
            </w:pPr>
            <w:r w:rsidRPr="00151940">
              <w:rPr>
                <w:rFonts w:ascii="Arial" w:eastAsia="Times New Roman" w:hAnsi="Arial"/>
                <w:bCs/>
                <w:snapToGrid w:val="0"/>
                <w:sz w:val="12"/>
                <w:szCs w:val="12"/>
                <w:lang w:val="en-GB"/>
              </w:rPr>
              <w:t xml:space="preserve">1 Note: If a coupon </w:t>
            </w:r>
            <w:r w:rsidRPr="00151940">
              <w:rPr>
                <w:rFonts w:ascii="Arial" w:eastAsia="Times New Roman" w:hAnsi="Arial"/>
                <w:bCs/>
                <w:snapToGrid w:val="0"/>
                <w:color w:val="000000"/>
                <w:sz w:val="12"/>
                <w:szCs w:val="12"/>
                <w:lang w:val="en-GB"/>
              </w:rPr>
              <w:t>is expected</w:t>
            </w:r>
            <w:r w:rsidRPr="00151940">
              <w:rPr>
                <w:rFonts w:ascii="Arial" w:eastAsia="Times New Roman" w:hAnsi="Arial"/>
                <w:bCs/>
                <w:snapToGrid w:val="0"/>
                <w:sz w:val="12"/>
                <w:szCs w:val="12"/>
                <w:lang w:val="en-GB"/>
              </w:rPr>
              <w:t xml:space="preserve"> to be paid on the core-capital securities sold to the Belgian Federal and Flemish Regional governments, it will be deducted from the numerator (</w:t>
            </w:r>
            <w:r w:rsidRPr="00151940">
              <w:rPr>
                <w:rFonts w:ascii="Arial" w:eastAsia="Times New Roman" w:hAnsi="Arial"/>
                <w:bCs/>
                <w:i/>
                <w:snapToGrid w:val="0"/>
                <w:sz w:val="12"/>
                <w:szCs w:val="12"/>
                <w:lang w:val="en-GB"/>
              </w:rPr>
              <w:t>pro rata</w:t>
            </w:r>
            <w:r w:rsidRPr="00151940">
              <w:rPr>
                <w:rFonts w:ascii="Arial" w:eastAsia="Times New Roman" w:hAnsi="Arial"/>
                <w:bCs/>
                <w:snapToGrid w:val="0"/>
                <w:sz w:val="12"/>
                <w:szCs w:val="12"/>
                <w:lang w:val="en-GB"/>
              </w:rPr>
              <w:t>)</w:t>
            </w:r>
            <w:r w:rsidRPr="00151940">
              <w:rPr>
                <w:rFonts w:ascii="Arial" w:eastAsia="Times New Roman" w:hAnsi="Arial" w:cs="Arial"/>
                <w:bCs/>
                <w:snapToGrid w:val="0"/>
                <w:color w:val="000000"/>
                <w:sz w:val="12"/>
                <w:szCs w:val="12"/>
                <w:lang w:val="en-GB"/>
              </w:rPr>
              <w:t>. If a penalty has to be paid, it will likewise be deducted</w:t>
            </w:r>
            <w:r w:rsidRPr="00151940">
              <w:rPr>
                <w:rFonts w:ascii="Arial" w:eastAsia="Times New Roman" w:hAnsi="Arial" w:cs="Arial"/>
                <w:bCs/>
                <w:snapToGrid w:val="0"/>
                <w:color w:val="808080"/>
                <w:sz w:val="12"/>
                <w:szCs w:val="12"/>
                <w:lang w:val="en-GB"/>
              </w:rPr>
              <w:t>.</w:t>
            </w:r>
          </w:p>
          <w:p w:rsidR="00151940" w:rsidRPr="00151940" w:rsidRDefault="00151940" w:rsidP="00151940">
            <w:pPr>
              <w:spacing w:after="0" w:line="240" w:lineRule="auto"/>
              <w:ind w:left="88" w:hanging="88"/>
              <w:rPr>
                <w:rFonts w:ascii="Arial" w:eastAsia="Times New Roman" w:hAnsi="Arial"/>
                <w:bCs/>
                <w:snapToGrid w:val="0"/>
                <w:sz w:val="12"/>
                <w:szCs w:val="12"/>
                <w:lang w:val="en-GB"/>
              </w:rPr>
            </w:pPr>
            <w:r w:rsidRPr="00151940">
              <w:rPr>
                <w:rFonts w:ascii="Arial" w:eastAsia="Times New Roman" w:hAnsi="Arial"/>
                <w:bCs/>
                <w:snapToGrid w:val="0"/>
                <w:sz w:val="12"/>
                <w:szCs w:val="12"/>
                <w:lang w:val="en-GB"/>
              </w:rPr>
              <w:t>2 A new breakdown by business unit entered into force in 2013 (more information on this breakdown can be found under ‘Notes on segment reporting’ in the ‘Consolidated financial statements’ section of the quarterly report). The 2012 reference figures have been restated in order to reflect this new breakdown.</w:t>
            </w:r>
          </w:p>
        </w:tc>
      </w:tr>
    </w:tbl>
    <w:p w:rsidR="00151940" w:rsidRPr="00151940" w:rsidRDefault="00151940" w:rsidP="00151940">
      <w:pPr>
        <w:pStyle w:val="Lijstalinea"/>
        <w:autoSpaceDE w:val="0"/>
        <w:autoSpaceDN w:val="0"/>
        <w:adjustRightInd w:val="0"/>
        <w:spacing w:after="120" w:line="240" w:lineRule="auto"/>
        <w:ind w:left="1712" w:right="6"/>
        <w:contextualSpacing w:val="0"/>
        <w:jc w:val="both"/>
        <w:rPr>
          <w:rFonts w:cs="Arial"/>
          <w:color w:val="003768"/>
          <w:sz w:val="20"/>
          <w:szCs w:val="20"/>
          <w:lang w:val="en-GB"/>
        </w:rPr>
      </w:pPr>
    </w:p>
    <w:p w:rsidR="00485E48" w:rsidRDefault="00485E48" w:rsidP="002A5D6D">
      <w:pPr>
        <w:spacing w:after="0" w:line="240" w:lineRule="auto"/>
        <w:jc w:val="both"/>
        <w:rPr>
          <w:rFonts w:cs="Arial"/>
          <w:color w:val="003768"/>
        </w:rPr>
      </w:pPr>
    </w:p>
    <w:p w:rsidR="00485E48" w:rsidRDefault="00485E48" w:rsidP="002A5D6D">
      <w:pPr>
        <w:spacing w:after="0" w:line="240" w:lineRule="auto"/>
        <w:jc w:val="both"/>
        <w:rPr>
          <w:rFonts w:cs="Arial"/>
          <w:color w:val="003768"/>
        </w:rPr>
      </w:pPr>
      <w:r>
        <w:rPr>
          <w:rFonts w:cs="Arial"/>
          <w:color w:val="003768"/>
        </w:rPr>
        <w:br w:type="page"/>
      </w:r>
    </w:p>
    <w:p w:rsidR="00485E48" w:rsidRDefault="00485E48" w:rsidP="002A5D6D">
      <w:pPr>
        <w:autoSpaceDE w:val="0"/>
        <w:autoSpaceDN w:val="0"/>
        <w:adjustRightInd w:val="0"/>
        <w:spacing w:after="120" w:line="240" w:lineRule="auto"/>
        <w:ind w:left="992" w:right="6"/>
        <w:jc w:val="both"/>
        <w:rPr>
          <w:rFonts w:cs="Arial"/>
          <w:color w:val="003768"/>
        </w:rPr>
      </w:pPr>
      <w:r>
        <w:rPr>
          <w:rFonts w:cs="Arial"/>
          <w:noProof/>
          <w:color w:val="003768"/>
          <w:lang w:val="nl-BE" w:eastAsia="nl-BE"/>
        </w:rPr>
        <w:lastRenderedPageBreak/>
        <w:drawing>
          <wp:inline distT="0" distB="0" distL="0" distR="0" wp14:anchorId="299C2E9B" wp14:editId="67B4BCE2">
            <wp:extent cx="6450330" cy="499745"/>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485E48" w:rsidRPr="00485E48" w:rsidRDefault="00485E48" w:rsidP="002A5D6D">
      <w:pPr>
        <w:autoSpaceDE w:val="0"/>
        <w:autoSpaceDN w:val="0"/>
        <w:adjustRightInd w:val="0"/>
        <w:spacing w:after="120" w:line="240" w:lineRule="auto"/>
        <w:ind w:left="992" w:right="6"/>
        <w:jc w:val="both"/>
        <w:rPr>
          <w:rFonts w:cs="Arial"/>
          <w:color w:val="003768"/>
          <w:sz w:val="20"/>
          <w:szCs w:val="20"/>
        </w:rPr>
      </w:pPr>
      <w:r w:rsidRPr="00485E48">
        <w:rPr>
          <w:rFonts w:cs="Arial"/>
          <w:color w:val="003768"/>
          <w:sz w:val="20"/>
          <w:szCs w:val="20"/>
        </w:rPr>
        <w:t xml:space="preserve">A full overview of the IFRS consolidated income statement and balance sheet is provided in the ‘Consolidated financial statements’ section of the quarterly report. Condensed statements of comprehensive income, changes in shareholders’ equity, and cash flow, as well as several notes to the accounts, are also available in the same section. </w:t>
      </w:r>
    </w:p>
    <w:p w:rsidR="00485E48" w:rsidRPr="00485E48" w:rsidRDefault="00485E48" w:rsidP="002A5D6D">
      <w:pPr>
        <w:autoSpaceDE w:val="0"/>
        <w:autoSpaceDN w:val="0"/>
        <w:adjustRightInd w:val="0"/>
        <w:spacing w:after="120" w:line="240" w:lineRule="auto"/>
        <w:ind w:left="992" w:right="6"/>
        <w:jc w:val="both"/>
        <w:rPr>
          <w:rFonts w:cs="Arial"/>
          <w:color w:val="003768"/>
          <w:sz w:val="20"/>
          <w:szCs w:val="20"/>
        </w:rPr>
      </w:pPr>
      <w:r w:rsidRPr="00485E48">
        <w:rPr>
          <w:rFonts w:cs="Arial"/>
          <w:color w:val="003768"/>
          <w:sz w:val="20"/>
          <w:szCs w:val="20"/>
        </w:rPr>
        <w:t xml:space="preserve">In order to provide a good insight into the ongoing business performance, KBC also publishes an overview of adjusted results, where the impact of legacy activities (divestments, CDOs) and of the valuation of own credit risk is excluded from P/L and </w:t>
      </w:r>
      <w:proofErr w:type="spellStart"/>
      <w:r w:rsidRPr="00485E48">
        <w:rPr>
          <w:rFonts w:cs="Arial"/>
          <w:color w:val="003768"/>
          <w:sz w:val="20"/>
          <w:szCs w:val="20"/>
        </w:rPr>
        <w:t>summarised</w:t>
      </w:r>
      <w:proofErr w:type="spellEnd"/>
      <w:r w:rsidRPr="00485E48">
        <w:rPr>
          <w:rFonts w:cs="Arial"/>
          <w:color w:val="003768"/>
          <w:sz w:val="20"/>
          <w:szCs w:val="20"/>
        </w:rPr>
        <w:t xml:space="preserve"> in three lines at the bottom of the presentation (see next section).</w:t>
      </w:r>
    </w:p>
    <w:tbl>
      <w:tblPr>
        <w:tblW w:w="10130" w:type="dxa"/>
        <w:tblInd w:w="1178" w:type="dxa"/>
        <w:tblLayout w:type="fixed"/>
        <w:tblLook w:val="01E0" w:firstRow="1" w:lastRow="1" w:firstColumn="1" w:lastColumn="1" w:noHBand="0" w:noVBand="0"/>
      </w:tblPr>
      <w:tblGrid>
        <w:gridCol w:w="3559"/>
        <w:gridCol w:w="663"/>
        <w:gridCol w:w="698"/>
        <w:gridCol w:w="593"/>
        <w:gridCol w:w="639"/>
        <w:gridCol w:w="639"/>
        <w:gridCol w:w="627"/>
        <w:gridCol w:w="657"/>
        <w:gridCol w:w="632"/>
        <w:gridCol w:w="738"/>
        <w:gridCol w:w="685"/>
      </w:tblGrid>
      <w:tr w:rsidR="00727FDC" w:rsidRPr="00727FDC" w:rsidTr="00727FDC">
        <w:trPr>
          <w:trHeight w:val="304"/>
        </w:trPr>
        <w:tc>
          <w:tcPr>
            <w:tcW w:w="3559" w:type="dxa"/>
            <w:shd w:val="clear" w:color="auto" w:fill="365F91" w:themeFill="accent1" w:themeFillShade="BF"/>
            <w:vAlign w:val="center"/>
          </w:tcPr>
          <w:p w:rsidR="00727FDC" w:rsidRPr="00727FDC" w:rsidRDefault="00727FDC" w:rsidP="00727FDC">
            <w:pPr>
              <w:spacing w:after="0" w:line="240" w:lineRule="auto"/>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Consolidated income statement, IFRS</w:t>
            </w:r>
            <w:r w:rsidRPr="00727FDC">
              <w:rPr>
                <w:rFonts w:ascii="Arial" w:eastAsia="Times New Roman" w:hAnsi="Arial"/>
                <w:bCs/>
                <w:snapToGrid w:val="0"/>
                <w:color w:val="FFFFFF" w:themeColor="background1"/>
                <w:sz w:val="14"/>
                <w:szCs w:val="14"/>
                <w:lang w:val="en-GB"/>
              </w:rPr>
              <w:br/>
              <w:t>KBC Group (in millions of EUR)</w:t>
            </w:r>
          </w:p>
        </w:tc>
        <w:tc>
          <w:tcPr>
            <w:tcW w:w="663"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1Q 2012</w:t>
            </w:r>
          </w:p>
        </w:tc>
        <w:tc>
          <w:tcPr>
            <w:tcW w:w="698"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2Q 2012</w:t>
            </w:r>
          </w:p>
        </w:tc>
        <w:tc>
          <w:tcPr>
            <w:tcW w:w="593"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 xml:space="preserve">3Q </w:t>
            </w:r>
          </w:p>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2012</w:t>
            </w:r>
          </w:p>
        </w:tc>
        <w:tc>
          <w:tcPr>
            <w:tcW w:w="639"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4Q 2012</w:t>
            </w:r>
          </w:p>
        </w:tc>
        <w:tc>
          <w:tcPr>
            <w:tcW w:w="639"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1Q 2013</w:t>
            </w:r>
          </w:p>
        </w:tc>
        <w:tc>
          <w:tcPr>
            <w:tcW w:w="627"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2Q 2013</w:t>
            </w:r>
          </w:p>
        </w:tc>
        <w:tc>
          <w:tcPr>
            <w:tcW w:w="657"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 xml:space="preserve">3Q </w:t>
            </w:r>
          </w:p>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2013</w:t>
            </w:r>
          </w:p>
        </w:tc>
        <w:tc>
          <w:tcPr>
            <w:tcW w:w="632"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4Q 2013</w:t>
            </w:r>
          </w:p>
        </w:tc>
        <w:tc>
          <w:tcPr>
            <w:tcW w:w="738"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FY</w:t>
            </w:r>
            <w:r w:rsidRPr="00727FDC">
              <w:rPr>
                <w:rFonts w:ascii="Arial" w:eastAsia="Times New Roman" w:hAnsi="Arial"/>
                <w:bCs/>
                <w:snapToGrid w:val="0"/>
                <w:color w:val="FFFFFF" w:themeColor="background1"/>
                <w:sz w:val="14"/>
                <w:szCs w:val="14"/>
                <w:lang w:val="en-GB"/>
              </w:rPr>
              <w:br/>
              <w:t>2012</w:t>
            </w:r>
          </w:p>
        </w:tc>
        <w:tc>
          <w:tcPr>
            <w:tcW w:w="685" w:type="dxa"/>
            <w:shd w:val="clear" w:color="auto" w:fill="365F91" w:themeFill="accent1" w:themeFillShade="BF"/>
            <w:vAlign w:val="bottom"/>
          </w:tcPr>
          <w:p w:rsidR="00727FDC" w:rsidRPr="00727FDC" w:rsidRDefault="00727FDC" w:rsidP="00727FDC">
            <w:pPr>
              <w:spacing w:after="0" w:line="240" w:lineRule="auto"/>
              <w:jc w:val="right"/>
              <w:rPr>
                <w:rFonts w:ascii="Arial" w:eastAsia="Times New Roman" w:hAnsi="Arial"/>
                <w:bCs/>
                <w:snapToGrid w:val="0"/>
                <w:color w:val="FFFFFF" w:themeColor="background1"/>
                <w:sz w:val="14"/>
                <w:szCs w:val="14"/>
                <w:lang w:val="en-GB"/>
              </w:rPr>
            </w:pPr>
            <w:r w:rsidRPr="00727FDC">
              <w:rPr>
                <w:rFonts w:ascii="Arial" w:eastAsia="Times New Roman" w:hAnsi="Arial"/>
                <w:bCs/>
                <w:snapToGrid w:val="0"/>
                <w:color w:val="FFFFFF" w:themeColor="background1"/>
                <w:sz w:val="14"/>
                <w:szCs w:val="14"/>
                <w:lang w:val="en-GB"/>
              </w:rPr>
              <w:t>FY</w:t>
            </w:r>
            <w:r w:rsidRPr="00727FDC">
              <w:rPr>
                <w:rFonts w:ascii="Arial" w:eastAsia="Times New Roman" w:hAnsi="Arial"/>
                <w:bCs/>
                <w:snapToGrid w:val="0"/>
                <w:color w:val="FFFFFF" w:themeColor="background1"/>
                <w:sz w:val="14"/>
                <w:szCs w:val="14"/>
                <w:lang w:val="en-GB"/>
              </w:rPr>
              <w:br/>
              <w:t>2013</w:t>
            </w:r>
          </w:p>
        </w:tc>
      </w:tr>
      <w:tr w:rsidR="00727FDC" w:rsidRPr="00727FDC" w:rsidTr="00727FDC">
        <w:trPr>
          <w:trHeight w:val="230"/>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Net interest income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1 261</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1 190</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1 097</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1 121</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1 068</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1 016</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1 028</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1 020</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4 669</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4 132</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 xml:space="preserve">     Interest income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2 695</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2 563</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2 493</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2 382</w:t>
            </w:r>
          </w:p>
        </w:tc>
        <w:tc>
          <w:tcPr>
            <w:tcW w:w="639" w:type="dxa"/>
            <w:shd w:val="clear" w:color="auto" w:fill="auto"/>
            <w:vAlign w:val="center"/>
          </w:tcPr>
          <w:p w:rsidR="00727FDC" w:rsidRPr="00727FDC" w:rsidRDefault="00727FDC" w:rsidP="00727FDC">
            <w:pPr>
              <w:keepNext/>
              <w:spacing w:after="0" w:line="240" w:lineRule="auto"/>
              <w:ind w:right="-290"/>
              <w:jc w:val="right"/>
              <w:outlineLvl w:val="3"/>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2 193    00</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2 109</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2 066</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2 095</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10 134</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8 464</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 xml:space="preserve">     Interest expense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-1 434</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-1 374</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-1 396</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-1 261</w:t>
            </w:r>
          </w:p>
        </w:tc>
        <w:tc>
          <w:tcPr>
            <w:tcW w:w="639" w:type="dxa"/>
            <w:shd w:val="clear" w:color="auto" w:fill="auto"/>
            <w:vAlign w:val="center"/>
          </w:tcPr>
          <w:p w:rsidR="00727FDC" w:rsidRPr="00727FDC" w:rsidRDefault="00727FDC" w:rsidP="00727FDC">
            <w:pPr>
              <w:keepNext/>
              <w:spacing w:after="0" w:line="240" w:lineRule="auto"/>
              <w:ind w:right="-290"/>
              <w:jc w:val="right"/>
              <w:outlineLvl w:val="3"/>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-1 125    00</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-1 093</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-1 039</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-1 075</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-5 465</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-4 332</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cs="Arial"/>
                <w:sz w:val="14"/>
                <w:szCs w:val="14"/>
                <w:lang w:val="en-GB"/>
              </w:rPr>
            </w:pPr>
            <w:r w:rsidRPr="00727FDC">
              <w:rPr>
                <w:rFonts w:ascii="Arial" w:eastAsia="Times New Roman" w:hAnsi="Arial" w:cs="Arial"/>
                <w:sz w:val="14"/>
                <w:szCs w:val="14"/>
                <w:lang w:val="en-GB"/>
              </w:rPr>
              <w:t>Non-life insurance (before reinsurance)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204</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200</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157</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61</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149</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115</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145</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127</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622</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536</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ind w:firstLineChars="400" w:firstLine="560"/>
              <w:rPr>
                <w:rFonts w:ascii="Arial" w:eastAsia="Times New Roman" w:hAnsi="Arial" w:cs="Arial"/>
                <w:i/>
                <w:iCs/>
                <w:color w:val="404040" w:themeColor="text1" w:themeTint="BF"/>
                <w:sz w:val="14"/>
                <w:szCs w:val="14"/>
                <w:lang w:val="en-GB"/>
              </w:rPr>
            </w:pPr>
            <w:r w:rsidRPr="00727FDC">
              <w:rPr>
                <w:rFonts w:ascii="Arial" w:eastAsia="Times New Roman" w:hAnsi="Arial" w:cs="Arial"/>
                <w:i/>
                <w:iCs/>
                <w:sz w:val="14"/>
                <w:szCs w:val="14"/>
                <w:lang w:val="en-GB"/>
              </w:rPr>
              <w:t>Earned premiums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438</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442</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307</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313</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305</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316</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321</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317</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1 500</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1 259</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ind w:firstLineChars="400" w:firstLine="560"/>
              <w:rPr>
                <w:rFonts w:ascii="Arial" w:eastAsia="Times New Roman" w:hAnsi="Arial" w:cs="Arial"/>
                <w:i/>
                <w:iCs/>
                <w:color w:val="404040" w:themeColor="text1" w:themeTint="BF"/>
                <w:sz w:val="14"/>
                <w:szCs w:val="14"/>
                <w:lang w:val="en-GB"/>
              </w:rPr>
            </w:pPr>
            <w:r w:rsidRPr="00727FDC">
              <w:rPr>
                <w:rFonts w:ascii="Arial" w:eastAsia="Times New Roman" w:hAnsi="Arial" w:cs="Arial"/>
                <w:i/>
                <w:iCs/>
                <w:sz w:val="14"/>
                <w:szCs w:val="14"/>
                <w:lang w:val="en-GB"/>
              </w:rPr>
              <w:t>Technical charges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-234</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-243</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-150</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-252</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-156</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-201</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-176</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-190</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-878</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-723</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cs="Arial"/>
                <w:sz w:val="14"/>
                <w:szCs w:val="14"/>
                <w:lang w:val="en-GB"/>
              </w:rPr>
            </w:pPr>
            <w:r w:rsidRPr="00727FDC">
              <w:rPr>
                <w:rFonts w:ascii="Arial" w:eastAsia="Times New Roman" w:hAnsi="Arial" w:cs="Arial"/>
                <w:sz w:val="14"/>
                <w:szCs w:val="14"/>
                <w:lang w:val="en-GB"/>
              </w:rPr>
              <w:t>Life insurance (before reinsurance)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-72</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-67</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-79</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-22</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-59</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-62</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-63</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-57</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-240</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-242</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ind w:firstLineChars="400" w:firstLine="560"/>
              <w:rPr>
                <w:rFonts w:ascii="Arial" w:eastAsia="Times New Roman" w:hAnsi="Arial" w:cs="Arial"/>
                <w:i/>
                <w:iCs/>
                <w:sz w:val="14"/>
                <w:szCs w:val="14"/>
                <w:lang w:val="en-GB"/>
              </w:rPr>
            </w:pPr>
            <w:r w:rsidRPr="00727FDC">
              <w:rPr>
                <w:rFonts w:ascii="Arial" w:eastAsia="Times New Roman" w:hAnsi="Arial" w:cs="Arial"/>
                <w:i/>
                <w:iCs/>
                <w:sz w:val="14"/>
                <w:szCs w:val="14"/>
                <w:lang w:val="en-GB"/>
              </w:rPr>
              <w:t>Earned premiums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446</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448</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271</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310</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271</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241</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238</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381</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1 475</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1 132</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ind w:firstLineChars="400" w:firstLine="560"/>
              <w:rPr>
                <w:rFonts w:ascii="Arial" w:eastAsia="Times New Roman" w:hAnsi="Arial" w:cs="Arial"/>
                <w:i/>
                <w:iCs/>
                <w:sz w:val="14"/>
                <w:szCs w:val="14"/>
                <w:lang w:val="en-GB"/>
              </w:rPr>
            </w:pPr>
            <w:r w:rsidRPr="00727FDC">
              <w:rPr>
                <w:rFonts w:ascii="Arial" w:eastAsia="Times New Roman" w:hAnsi="Arial" w:cs="Arial"/>
                <w:i/>
                <w:iCs/>
                <w:sz w:val="14"/>
                <w:szCs w:val="14"/>
                <w:lang w:val="en-GB"/>
              </w:rPr>
              <w:t>Technical charges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-518</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-514</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-350</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-332</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-331</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-303</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-302</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-438</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-1 714</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-1 373</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Ceded reinsurance result</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13</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13</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-13</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Dividend income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21</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13</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45</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47</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Net result from financial instruments at fair value through profit or loss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60</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43</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275</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42</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314</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425</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223</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229</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420</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1 191</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Net realised result from available-for-sale assets</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32</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56</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85</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142</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47</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34</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29</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181</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252</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Net fee and commission income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304</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309</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343</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360</w:t>
            </w:r>
          </w:p>
        </w:tc>
        <w:tc>
          <w:tcPr>
            <w:tcW w:w="639"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393</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385</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340</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366</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1 315</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1 484</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 xml:space="preserve">     Fee and commission income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492</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479</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494</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541</w:t>
            </w:r>
          </w:p>
        </w:tc>
        <w:tc>
          <w:tcPr>
            <w:tcW w:w="639" w:type="dxa"/>
            <w:shd w:val="clear" w:color="auto" w:fill="auto"/>
            <w:vAlign w:val="center"/>
          </w:tcPr>
          <w:p w:rsidR="00727FDC" w:rsidRPr="00727FDC" w:rsidRDefault="00727FDC" w:rsidP="00727FDC">
            <w:pPr>
              <w:keepNext/>
              <w:spacing w:after="0" w:line="240" w:lineRule="auto"/>
              <w:ind w:right="-290"/>
              <w:jc w:val="right"/>
              <w:outlineLvl w:val="3"/>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641     00</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565</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512</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569</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2 005</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2 286</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 xml:space="preserve">     Fee and commission expense</w:t>
            </w:r>
          </w:p>
        </w:tc>
        <w:tc>
          <w:tcPr>
            <w:tcW w:w="663" w:type="dxa"/>
            <w:tcBorders>
              <w:left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-188</w:t>
            </w:r>
          </w:p>
        </w:tc>
        <w:tc>
          <w:tcPr>
            <w:tcW w:w="698"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-170</w:t>
            </w:r>
          </w:p>
        </w:tc>
        <w:tc>
          <w:tcPr>
            <w:tcW w:w="593"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-151</w:t>
            </w:r>
          </w:p>
        </w:tc>
        <w:tc>
          <w:tcPr>
            <w:tcW w:w="639" w:type="dxa"/>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-181</w:t>
            </w:r>
          </w:p>
        </w:tc>
        <w:tc>
          <w:tcPr>
            <w:tcW w:w="639" w:type="dxa"/>
            <w:shd w:val="clear" w:color="auto" w:fill="auto"/>
            <w:vAlign w:val="center"/>
          </w:tcPr>
          <w:p w:rsidR="00727FDC" w:rsidRPr="00727FDC" w:rsidRDefault="00727FDC" w:rsidP="00727FDC">
            <w:pPr>
              <w:keepNext/>
              <w:spacing w:after="0" w:line="240" w:lineRule="auto"/>
              <w:ind w:right="-290"/>
              <w:jc w:val="right"/>
              <w:outlineLvl w:val="3"/>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-248     00</w:t>
            </w:r>
          </w:p>
        </w:tc>
        <w:tc>
          <w:tcPr>
            <w:tcW w:w="62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-180</w:t>
            </w:r>
          </w:p>
        </w:tc>
        <w:tc>
          <w:tcPr>
            <w:tcW w:w="657" w:type="dxa"/>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-171</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-203</w:t>
            </w:r>
          </w:p>
        </w:tc>
        <w:tc>
          <w:tcPr>
            <w:tcW w:w="738" w:type="dxa"/>
            <w:tcBorders>
              <w:left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-690</w:t>
            </w:r>
          </w:p>
        </w:tc>
        <w:tc>
          <w:tcPr>
            <w:tcW w:w="685" w:type="dxa"/>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2"/>
                <w:szCs w:val="12"/>
                <w:lang w:val="en-GB"/>
              </w:rPr>
            </w:pPr>
            <w:r w:rsidRPr="00727FDC">
              <w:rPr>
                <w:rFonts w:ascii="Arial" w:eastAsia="Times New Roman" w:hAnsi="Arial"/>
                <w:bCs/>
                <w:snapToGrid w:val="0"/>
                <w:sz w:val="12"/>
                <w:szCs w:val="12"/>
                <w:lang w:val="en-GB"/>
              </w:rPr>
              <w:t>-802</w:t>
            </w:r>
          </w:p>
        </w:tc>
      </w:tr>
      <w:tr w:rsidR="00727FDC" w:rsidRPr="00727FDC" w:rsidTr="00727FDC">
        <w:trPr>
          <w:trHeight w:val="274"/>
        </w:trPr>
        <w:tc>
          <w:tcPr>
            <w:tcW w:w="3559" w:type="dxa"/>
            <w:tcBorders>
              <w:bottom w:val="single" w:sz="8" w:space="0" w:color="1F497D" w:themeColor="text2"/>
              <w:right w:val="single" w:sz="8" w:space="0" w:color="1F497D" w:themeColor="text2"/>
            </w:tcBorders>
            <w:vAlign w:val="center"/>
          </w:tcPr>
          <w:p w:rsidR="00727FDC" w:rsidRPr="00727FDC" w:rsidRDefault="00727FDC" w:rsidP="00727FDC">
            <w:pPr>
              <w:spacing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Other net income</w:t>
            </w:r>
          </w:p>
        </w:tc>
        <w:tc>
          <w:tcPr>
            <w:tcW w:w="663" w:type="dxa"/>
            <w:tcBorders>
              <w:left w:val="single" w:sz="8" w:space="0" w:color="1F497D" w:themeColor="text2"/>
              <w:bottom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73</w:t>
            </w:r>
          </w:p>
        </w:tc>
        <w:tc>
          <w:tcPr>
            <w:tcW w:w="698" w:type="dxa"/>
            <w:tcBorders>
              <w:bottom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368</w:t>
            </w:r>
          </w:p>
        </w:tc>
        <w:tc>
          <w:tcPr>
            <w:tcW w:w="593" w:type="dxa"/>
            <w:tcBorders>
              <w:bottom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106</w:t>
            </w:r>
          </w:p>
        </w:tc>
        <w:tc>
          <w:tcPr>
            <w:tcW w:w="639" w:type="dxa"/>
            <w:tcBorders>
              <w:bottom w:val="single" w:sz="8" w:space="0" w:color="1F497D" w:themeColor="text2"/>
            </w:tcBorders>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187</w:t>
            </w:r>
          </w:p>
        </w:tc>
        <w:tc>
          <w:tcPr>
            <w:tcW w:w="639" w:type="dxa"/>
            <w:tcBorders>
              <w:bottom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76</w:t>
            </w:r>
          </w:p>
        </w:tc>
        <w:tc>
          <w:tcPr>
            <w:tcW w:w="627" w:type="dxa"/>
            <w:tcBorders>
              <w:bottom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w:t>
            </w:r>
          </w:p>
        </w:tc>
        <w:tc>
          <w:tcPr>
            <w:tcW w:w="657" w:type="dxa"/>
            <w:tcBorders>
              <w:bottom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51</w:t>
            </w:r>
          </w:p>
        </w:tc>
        <w:tc>
          <w:tcPr>
            <w:tcW w:w="632" w:type="dxa"/>
            <w:tcBorders>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15</w:t>
            </w:r>
          </w:p>
        </w:tc>
        <w:tc>
          <w:tcPr>
            <w:tcW w:w="738" w:type="dxa"/>
            <w:tcBorders>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734</w:t>
            </w:r>
          </w:p>
        </w:tc>
        <w:tc>
          <w:tcPr>
            <w:tcW w:w="685" w:type="dxa"/>
            <w:tcBorders>
              <w:bottom w:val="single" w:sz="8" w:space="0" w:color="1F497D" w:themeColor="text2"/>
            </w:tcBorders>
            <w:shd w:val="clear" w:color="auto" w:fill="DBE5F1" w:themeFill="accent1" w:themeFillTint="33"/>
            <w:vAlign w:val="center"/>
          </w:tcPr>
          <w:p w:rsidR="00727FDC" w:rsidRPr="00727FDC" w:rsidRDefault="00727FDC" w:rsidP="00727FDC">
            <w:pPr>
              <w:spacing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123</w:t>
            </w:r>
          </w:p>
        </w:tc>
      </w:tr>
      <w:tr w:rsidR="00727FDC" w:rsidRPr="00727FDC" w:rsidTr="00727FDC">
        <w:trPr>
          <w:trHeight w:val="274"/>
        </w:trPr>
        <w:tc>
          <w:tcPr>
            <w:tcW w:w="3559" w:type="dxa"/>
            <w:tcBorders>
              <w:top w:val="single" w:sz="8" w:space="0" w:color="1F497D" w:themeColor="text2"/>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Total income</w:t>
            </w:r>
          </w:p>
        </w:tc>
        <w:tc>
          <w:tcPr>
            <w:tcW w:w="663" w:type="dxa"/>
            <w:tcBorders>
              <w:top w:val="single" w:sz="8" w:space="0" w:color="1F497D" w:themeColor="text2"/>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1 853</w:t>
            </w:r>
          </w:p>
        </w:tc>
        <w:tc>
          <w:tcPr>
            <w:tcW w:w="698"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2 072</w:t>
            </w:r>
          </w:p>
        </w:tc>
        <w:tc>
          <w:tcPr>
            <w:tcW w:w="593"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1 954</w:t>
            </w:r>
          </w:p>
        </w:tc>
        <w:tc>
          <w:tcPr>
            <w:tcW w:w="639"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1 854</w:t>
            </w:r>
          </w:p>
        </w:tc>
        <w:tc>
          <w:tcPr>
            <w:tcW w:w="639"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2 076</w:t>
            </w:r>
          </w:p>
        </w:tc>
        <w:tc>
          <w:tcPr>
            <w:tcW w:w="62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1 938</w:t>
            </w:r>
          </w:p>
        </w:tc>
        <w:tc>
          <w:tcPr>
            <w:tcW w:w="65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1 772</w:t>
            </w:r>
          </w:p>
        </w:tc>
        <w:tc>
          <w:tcPr>
            <w:tcW w:w="632"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1 731</w:t>
            </w:r>
          </w:p>
        </w:tc>
        <w:tc>
          <w:tcPr>
            <w:tcW w:w="738"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7 733</w:t>
            </w:r>
          </w:p>
        </w:tc>
        <w:tc>
          <w:tcPr>
            <w:tcW w:w="685" w:type="dxa"/>
            <w:tcBorders>
              <w:top w:val="single" w:sz="8" w:space="0" w:color="1F497D" w:themeColor="text2"/>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7 517</w:t>
            </w:r>
          </w:p>
        </w:tc>
      </w:tr>
      <w:tr w:rsidR="00727FDC" w:rsidRPr="00727FDC" w:rsidTr="00727FDC">
        <w:trPr>
          <w:trHeight w:val="274"/>
        </w:trPr>
        <w:tc>
          <w:tcPr>
            <w:tcW w:w="3559" w:type="dxa"/>
            <w:tcBorders>
              <w:top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Operating expenses</w:t>
            </w:r>
          </w:p>
        </w:tc>
        <w:tc>
          <w:tcPr>
            <w:tcW w:w="663" w:type="dxa"/>
            <w:tcBorders>
              <w:top w:val="single" w:sz="8" w:space="0" w:color="1F497D" w:themeColor="text2"/>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-1 132</w:t>
            </w:r>
          </w:p>
        </w:tc>
        <w:tc>
          <w:tcPr>
            <w:tcW w:w="698"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-1 033</w:t>
            </w:r>
          </w:p>
        </w:tc>
        <w:tc>
          <w:tcPr>
            <w:tcW w:w="593"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-1 003</w:t>
            </w:r>
          </w:p>
        </w:tc>
        <w:tc>
          <w:tcPr>
            <w:tcW w:w="639"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-1 081</w:t>
            </w:r>
          </w:p>
        </w:tc>
        <w:tc>
          <w:tcPr>
            <w:tcW w:w="639"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-1 039</w:t>
            </w:r>
          </w:p>
        </w:tc>
        <w:tc>
          <w:tcPr>
            <w:tcW w:w="62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-931</w:t>
            </w:r>
          </w:p>
        </w:tc>
        <w:tc>
          <w:tcPr>
            <w:tcW w:w="65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-925</w:t>
            </w:r>
          </w:p>
        </w:tc>
        <w:tc>
          <w:tcPr>
            <w:tcW w:w="632" w:type="dxa"/>
            <w:tcBorders>
              <w:top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-976</w:t>
            </w:r>
          </w:p>
        </w:tc>
        <w:tc>
          <w:tcPr>
            <w:tcW w:w="738" w:type="dxa"/>
            <w:tcBorders>
              <w:top w:val="single" w:sz="8" w:space="0" w:color="1F497D" w:themeColor="text2"/>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-4 248</w:t>
            </w:r>
          </w:p>
        </w:tc>
        <w:tc>
          <w:tcPr>
            <w:tcW w:w="685" w:type="dxa"/>
            <w:tcBorders>
              <w:top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-3 871</w:t>
            </w:r>
          </w:p>
        </w:tc>
      </w:tr>
      <w:tr w:rsidR="00727FDC" w:rsidRPr="00727FDC" w:rsidTr="00727FDC">
        <w:trPr>
          <w:trHeight w:val="274"/>
        </w:trPr>
        <w:tc>
          <w:tcPr>
            <w:tcW w:w="3559" w:type="dxa"/>
            <w:tcBorders>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Impairment</w:t>
            </w:r>
          </w:p>
        </w:tc>
        <w:tc>
          <w:tcPr>
            <w:tcW w:w="663" w:type="dxa"/>
            <w:tcBorders>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-273</w:t>
            </w:r>
          </w:p>
        </w:tc>
        <w:tc>
          <w:tcPr>
            <w:tcW w:w="698"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-1 473</w:t>
            </w:r>
          </w:p>
        </w:tc>
        <w:tc>
          <w:tcPr>
            <w:tcW w:w="593"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-302</w:t>
            </w:r>
          </w:p>
        </w:tc>
        <w:tc>
          <w:tcPr>
            <w:tcW w:w="639"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-463</w:t>
            </w:r>
          </w:p>
        </w:tc>
        <w:tc>
          <w:tcPr>
            <w:tcW w:w="639"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-352</w:t>
            </w:r>
          </w:p>
        </w:tc>
        <w:tc>
          <w:tcPr>
            <w:tcW w:w="62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-276</w:t>
            </w:r>
          </w:p>
        </w:tc>
        <w:tc>
          <w:tcPr>
            <w:tcW w:w="65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-363</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-942</w:t>
            </w:r>
          </w:p>
        </w:tc>
        <w:tc>
          <w:tcPr>
            <w:tcW w:w="738" w:type="dxa"/>
            <w:tcBorders>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-2 511</w:t>
            </w:r>
          </w:p>
        </w:tc>
        <w:tc>
          <w:tcPr>
            <w:tcW w:w="685" w:type="dxa"/>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-1 933</w:t>
            </w:r>
          </w:p>
        </w:tc>
      </w:tr>
      <w:tr w:rsidR="00727FDC" w:rsidRPr="00727FDC" w:rsidTr="00727FDC">
        <w:trPr>
          <w:trHeight w:val="219"/>
        </w:trPr>
        <w:tc>
          <w:tcPr>
            <w:tcW w:w="3559" w:type="dxa"/>
            <w:tcBorders>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 xml:space="preserve">     on loans and receivables</w:t>
            </w:r>
          </w:p>
        </w:tc>
        <w:tc>
          <w:tcPr>
            <w:tcW w:w="663" w:type="dxa"/>
            <w:tcBorders>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-261</w:t>
            </w:r>
          </w:p>
        </w:tc>
        <w:tc>
          <w:tcPr>
            <w:tcW w:w="698"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-198</w:t>
            </w:r>
          </w:p>
        </w:tc>
        <w:tc>
          <w:tcPr>
            <w:tcW w:w="593"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-283</w:t>
            </w:r>
          </w:p>
        </w:tc>
        <w:tc>
          <w:tcPr>
            <w:tcW w:w="639"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-330</w:t>
            </w:r>
          </w:p>
        </w:tc>
        <w:tc>
          <w:tcPr>
            <w:tcW w:w="639"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-295</w:t>
            </w:r>
          </w:p>
        </w:tc>
        <w:tc>
          <w:tcPr>
            <w:tcW w:w="62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-255</w:t>
            </w:r>
          </w:p>
        </w:tc>
        <w:tc>
          <w:tcPr>
            <w:tcW w:w="65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-231</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-938</w:t>
            </w:r>
          </w:p>
        </w:tc>
        <w:tc>
          <w:tcPr>
            <w:tcW w:w="738" w:type="dxa"/>
            <w:tcBorders>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-1 072</w:t>
            </w:r>
          </w:p>
        </w:tc>
        <w:tc>
          <w:tcPr>
            <w:tcW w:w="685" w:type="dxa"/>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-1 719</w:t>
            </w:r>
          </w:p>
        </w:tc>
      </w:tr>
      <w:tr w:rsidR="00727FDC" w:rsidRPr="00727FDC" w:rsidTr="00727FDC">
        <w:trPr>
          <w:trHeight w:val="219"/>
        </w:trPr>
        <w:tc>
          <w:tcPr>
            <w:tcW w:w="3559" w:type="dxa"/>
            <w:tcBorders>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 xml:space="preserve">     on available-for-sale assets</w:t>
            </w:r>
          </w:p>
        </w:tc>
        <w:tc>
          <w:tcPr>
            <w:tcW w:w="663" w:type="dxa"/>
            <w:tcBorders>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w:t>
            </w:r>
          </w:p>
        </w:tc>
        <w:tc>
          <w:tcPr>
            <w:tcW w:w="698"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-75</w:t>
            </w:r>
          </w:p>
        </w:tc>
        <w:tc>
          <w:tcPr>
            <w:tcW w:w="593"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w:t>
            </w:r>
          </w:p>
        </w:tc>
        <w:tc>
          <w:tcPr>
            <w:tcW w:w="639"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w:t>
            </w:r>
          </w:p>
        </w:tc>
        <w:tc>
          <w:tcPr>
            <w:tcW w:w="639"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-13</w:t>
            </w:r>
          </w:p>
        </w:tc>
        <w:tc>
          <w:tcPr>
            <w:tcW w:w="62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w:t>
            </w:r>
          </w:p>
        </w:tc>
        <w:tc>
          <w:tcPr>
            <w:tcW w:w="65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w:t>
            </w:r>
          </w:p>
        </w:tc>
        <w:tc>
          <w:tcPr>
            <w:tcW w:w="738" w:type="dxa"/>
            <w:tcBorders>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-95</w:t>
            </w:r>
          </w:p>
        </w:tc>
        <w:tc>
          <w:tcPr>
            <w:tcW w:w="685" w:type="dxa"/>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-34</w:t>
            </w:r>
          </w:p>
        </w:tc>
      </w:tr>
      <w:tr w:rsidR="00727FDC" w:rsidRPr="00727FDC" w:rsidTr="00727FDC">
        <w:trPr>
          <w:trHeight w:val="219"/>
        </w:trPr>
        <w:tc>
          <w:tcPr>
            <w:tcW w:w="3559" w:type="dxa"/>
            <w:tcBorders>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 xml:space="preserve">     on goodwill</w:t>
            </w:r>
          </w:p>
        </w:tc>
        <w:tc>
          <w:tcPr>
            <w:tcW w:w="663" w:type="dxa"/>
            <w:tcBorders>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98"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-414</w:t>
            </w:r>
          </w:p>
        </w:tc>
        <w:tc>
          <w:tcPr>
            <w:tcW w:w="593"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39"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w:t>
            </w:r>
          </w:p>
        </w:tc>
        <w:tc>
          <w:tcPr>
            <w:tcW w:w="639"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w:t>
            </w:r>
          </w:p>
        </w:tc>
        <w:tc>
          <w:tcPr>
            <w:tcW w:w="62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5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738" w:type="dxa"/>
            <w:tcBorders>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-421</w:t>
            </w:r>
          </w:p>
        </w:tc>
        <w:tc>
          <w:tcPr>
            <w:tcW w:w="685" w:type="dxa"/>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w:t>
            </w:r>
          </w:p>
        </w:tc>
      </w:tr>
      <w:tr w:rsidR="00727FDC" w:rsidRPr="00727FDC" w:rsidTr="00727FDC">
        <w:trPr>
          <w:trHeight w:val="219"/>
        </w:trPr>
        <w:tc>
          <w:tcPr>
            <w:tcW w:w="3559" w:type="dxa"/>
            <w:tcBorders>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 xml:space="preserve">     on other</w:t>
            </w:r>
          </w:p>
        </w:tc>
        <w:tc>
          <w:tcPr>
            <w:tcW w:w="663" w:type="dxa"/>
            <w:tcBorders>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w:t>
            </w:r>
          </w:p>
        </w:tc>
        <w:tc>
          <w:tcPr>
            <w:tcW w:w="698"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-786</w:t>
            </w:r>
          </w:p>
        </w:tc>
        <w:tc>
          <w:tcPr>
            <w:tcW w:w="593"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-15</w:t>
            </w:r>
          </w:p>
        </w:tc>
        <w:tc>
          <w:tcPr>
            <w:tcW w:w="639" w:type="dxa"/>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-114</w:t>
            </w:r>
          </w:p>
        </w:tc>
        <w:tc>
          <w:tcPr>
            <w:tcW w:w="639"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-37</w:t>
            </w:r>
          </w:p>
        </w:tc>
        <w:tc>
          <w:tcPr>
            <w:tcW w:w="62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-18</w:t>
            </w:r>
          </w:p>
        </w:tc>
        <w:tc>
          <w:tcPr>
            <w:tcW w:w="657" w:type="dxa"/>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-125</w:t>
            </w:r>
          </w:p>
        </w:tc>
        <w:tc>
          <w:tcPr>
            <w:tcW w:w="632" w:type="dxa"/>
            <w:tcBorders>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w:t>
            </w:r>
          </w:p>
        </w:tc>
        <w:tc>
          <w:tcPr>
            <w:tcW w:w="738" w:type="dxa"/>
            <w:tcBorders>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-923</w:t>
            </w:r>
          </w:p>
        </w:tc>
        <w:tc>
          <w:tcPr>
            <w:tcW w:w="685" w:type="dxa"/>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-173</w:t>
            </w:r>
          </w:p>
        </w:tc>
      </w:tr>
      <w:tr w:rsidR="00727FDC" w:rsidRPr="00727FDC" w:rsidTr="00727FDC">
        <w:trPr>
          <w:trHeight w:val="274"/>
        </w:trPr>
        <w:tc>
          <w:tcPr>
            <w:tcW w:w="3559" w:type="dxa"/>
            <w:tcBorders>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Share in results of associated companies</w:t>
            </w:r>
          </w:p>
        </w:tc>
        <w:tc>
          <w:tcPr>
            <w:tcW w:w="663" w:type="dxa"/>
            <w:tcBorders>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w:t>
            </w:r>
          </w:p>
        </w:tc>
        <w:tc>
          <w:tcPr>
            <w:tcW w:w="698"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17</w:t>
            </w:r>
          </w:p>
        </w:tc>
        <w:tc>
          <w:tcPr>
            <w:tcW w:w="593"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w:t>
            </w:r>
          </w:p>
        </w:tc>
        <w:tc>
          <w:tcPr>
            <w:tcW w:w="639"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w:t>
            </w:r>
          </w:p>
        </w:tc>
        <w:tc>
          <w:tcPr>
            <w:tcW w:w="639"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2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5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32" w:type="dxa"/>
            <w:tcBorders>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738" w:type="dxa"/>
            <w:tcBorders>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w:t>
            </w:r>
          </w:p>
        </w:tc>
        <w:tc>
          <w:tcPr>
            <w:tcW w:w="685" w:type="dxa"/>
            <w:tcBorders>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w:t>
            </w:r>
          </w:p>
        </w:tc>
      </w:tr>
      <w:tr w:rsidR="00727FDC" w:rsidRPr="00727FDC" w:rsidTr="00727FDC">
        <w:trPr>
          <w:trHeight w:val="274"/>
        </w:trPr>
        <w:tc>
          <w:tcPr>
            <w:tcW w:w="3559" w:type="dxa"/>
            <w:tcBorders>
              <w:top w:val="single" w:sz="8" w:space="0" w:color="1F497D" w:themeColor="text2"/>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Result before tax</w:t>
            </w:r>
          </w:p>
        </w:tc>
        <w:tc>
          <w:tcPr>
            <w:tcW w:w="663" w:type="dxa"/>
            <w:tcBorders>
              <w:top w:val="single" w:sz="8" w:space="0" w:color="1F497D" w:themeColor="text2"/>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439</w:t>
            </w:r>
          </w:p>
        </w:tc>
        <w:tc>
          <w:tcPr>
            <w:tcW w:w="698"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-417</w:t>
            </w:r>
          </w:p>
        </w:tc>
        <w:tc>
          <w:tcPr>
            <w:tcW w:w="593"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644</w:t>
            </w:r>
          </w:p>
        </w:tc>
        <w:tc>
          <w:tcPr>
            <w:tcW w:w="639"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310</w:t>
            </w:r>
          </w:p>
        </w:tc>
        <w:tc>
          <w:tcPr>
            <w:tcW w:w="639"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684</w:t>
            </w:r>
          </w:p>
        </w:tc>
        <w:tc>
          <w:tcPr>
            <w:tcW w:w="62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731</w:t>
            </w:r>
          </w:p>
        </w:tc>
        <w:tc>
          <w:tcPr>
            <w:tcW w:w="65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485</w:t>
            </w:r>
          </w:p>
        </w:tc>
        <w:tc>
          <w:tcPr>
            <w:tcW w:w="632"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-186</w:t>
            </w:r>
          </w:p>
        </w:tc>
        <w:tc>
          <w:tcPr>
            <w:tcW w:w="738"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976</w:t>
            </w:r>
          </w:p>
        </w:tc>
        <w:tc>
          <w:tcPr>
            <w:tcW w:w="685" w:type="dxa"/>
            <w:tcBorders>
              <w:top w:val="single" w:sz="8" w:space="0" w:color="1F497D" w:themeColor="text2"/>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1 714</w:t>
            </w:r>
          </w:p>
        </w:tc>
      </w:tr>
      <w:tr w:rsidR="00727FDC" w:rsidRPr="00727FDC" w:rsidTr="00727FDC">
        <w:trPr>
          <w:trHeight w:val="274"/>
        </w:trPr>
        <w:tc>
          <w:tcPr>
            <w:tcW w:w="3559" w:type="dxa"/>
            <w:tcBorders>
              <w:top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Income tax expense</w:t>
            </w:r>
          </w:p>
        </w:tc>
        <w:tc>
          <w:tcPr>
            <w:tcW w:w="663" w:type="dxa"/>
            <w:tcBorders>
              <w:top w:val="single" w:sz="8" w:space="0" w:color="1F497D" w:themeColor="text2"/>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-93</w:t>
            </w:r>
          </w:p>
        </w:tc>
        <w:tc>
          <w:tcPr>
            <w:tcW w:w="698"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-110</w:t>
            </w:r>
          </w:p>
        </w:tc>
        <w:tc>
          <w:tcPr>
            <w:tcW w:w="593"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-103</w:t>
            </w:r>
          </w:p>
        </w:tc>
        <w:tc>
          <w:tcPr>
            <w:tcW w:w="639"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-56</w:t>
            </w:r>
          </w:p>
        </w:tc>
        <w:tc>
          <w:tcPr>
            <w:tcW w:w="639"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-160</w:t>
            </w:r>
          </w:p>
        </w:tc>
        <w:tc>
          <w:tcPr>
            <w:tcW w:w="62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-211</w:t>
            </w:r>
          </w:p>
        </w:tc>
        <w:tc>
          <w:tcPr>
            <w:tcW w:w="65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-209</w:t>
            </w:r>
          </w:p>
        </w:tc>
        <w:tc>
          <w:tcPr>
            <w:tcW w:w="632" w:type="dxa"/>
            <w:tcBorders>
              <w:top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-104</w:t>
            </w:r>
          </w:p>
        </w:tc>
        <w:tc>
          <w:tcPr>
            <w:tcW w:w="738" w:type="dxa"/>
            <w:tcBorders>
              <w:top w:val="single" w:sz="8" w:space="0" w:color="1F497D" w:themeColor="text2"/>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-362</w:t>
            </w:r>
          </w:p>
        </w:tc>
        <w:tc>
          <w:tcPr>
            <w:tcW w:w="685" w:type="dxa"/>
            <w:tcBorders>
              <w:top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-685</w:t>
            </w:r>
          </w:p>
        </w:tc>
      </w:tr>
      <w:tr w:rsidR="00727FDC" w:rsidRPr="00727FDC" w:rsidTr="00727FDC">
        <w:trPr>
          <w:trHeight w:val="274"/>
        </w:trPr>
        <w:tc>
          <w:tcPr>
            <w:tcW w:w="3559" w:type="dxa"/>
            <w:tcBorders>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Net post-tax result from discontinued operations</w:t>
            </w:r>
          </w:p>
        </w:tc>
        <w:tc>
          <w:tcPr>
            <w:tcW w:w="663" w:type="dxa"/>
            <w:tcBorders>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40</w:t>
            </w:r>
          </w:p>
        </w:tc>
        <w:tc>
          <w:tcPr>
            <w:tcW w:w="698"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-8</w:t>
            </w:r>
          </w:p>
        </w:tc>
        <w:tc>
          <w:tcPr>
            <w:tcW w:w="593"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39"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w:t>
            </w:r>
          </w:p>
        </w:tc>
        <w:tc>
          <w:tcPr>
            <w:tcW w:w="639"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2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5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632" w:type="dxa"/>
            <w:tcBorders>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c>
          <w:tcPr>
            <w:tcW w:w="738" w:type="dxa"/>
            <w:tcBorders>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w:t>
            </w:r>
          </w:p>
        </w:tc>
        <w:tc>
          <w:tcPr>
            <w:tcW w:w="685" w:type="dxa"/>
            <w:tcBorders>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w:t>
            </w:r>
          </w:p>
        </w:tc>
      </w:tr>
      <w:tr w:rsidR="00727FDC" w:rsidRPr="00727FDC" w:rsidTr="00727FDC">
        <w:trPr>
          <w:trHeight w:val="274"/>
        </w:trPr>
        <w:tc>
          <w:tcPr>
            <w:tcW w:w="3559" w:type="dxa"/>
            <w:tcBorders>
              <w:top w:val="single" w:sz="8" w:space="0" w:color="1F497D" w:themeColor="text2"/>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Result after tax</w:t>
            </w:r>
          </w:p>
        </w:tc>
        <w:tc>
          <w:tcPr>
            <w:tcW w:w="663" w:type="dxa"/>
            <w:tcBorders>
              <w:top w:val="single" w:sz="8" w:space="0" w:color="1F497D" w:themeColor="text2"/>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387</w:t>
            </w:r>
          </w:p>
        </w:tc>
        <w:tc>
          <w:tcPr>
            <w:tcW w:w="698"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-535</w:t>
            </w:r>
          </w:p>
        </w:tc>
        <w:tc>
          <w:tcPr>
            <w:tcW w:w="593"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540</w:t>
            </w:r>
          </w:p>
        </w:tc>
        <w:tc>
          <w:tcPr>
            <w:tcW w:w="639" w:type="dxa"/>
            <w:tcBorders>
              <w:top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249</w:t>
            </w:r>
          </w:p>
        </w:tc>
        <w:tc>
          <w:tcPr>
            <w:tcW w:w="639"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524</w:t>
            </w:r>
          </w:p>
        </w:tc>
        <w:tc>
          <w:tcPr>
            <w:tcW w:w="62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520</w:t>
            </w:r>
          </w:p>
        </w:tc>
        <w:tc>
          <w:tcPr>
            <w:tcW w:w="657" w:type="dxa"/>
            <w:tcBorders>
              <w:top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276</w:t>
            </w:r>
          </w:p>
        </w:tc>
        <w:tc>
          <w:tcPr>
            <w:tcW w:w="632" w:type="dxa"/>
            <w:tcBorders>
              <w:top w:val="single" w:sz="8" w:space="0" w:color="1F497D" w:themeColor="text2"/>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-290</w:t>
            </w:r>
          </w:p>
        </w:tc>
        <w:tc>
          <w:tcPr>
            <w:tcW w:w="738"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641</w:t>
            </w:r>
          </w:p>
        </w:tc>
        <w:tc>
          <w:tcPr>
            <w:tcW w:w="685" w:type="dxa"/>
            <w:tcBorders>
              <w:top w:val="single" w:sz="8" w:space="0" w:color="1F497D" w:themeColor="text2"/>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1 029</w:t>
            </w:r>
          </w:p>
        </w:tc>
      </w:tr>
      <w:tr w:rsidR="00727FDC" w:rsidRPr="00727FDC" w:rsidTr="00727FDC">
        <w:trPr>
          <w:trHeight w:val="274"/>
        </w:trPr>
        <w:tc>
          <w:tcPr>
            <w:tcW w:w="3559" w:type="dxa"/>
            <w:tcBorders>
              <w:top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 xml:space="preserve">      attributable to minority interests</w:t>
            </w:r>
          </w:p>
        </w:tc>
        <w:tc>
          <w:tcPr>
            <w:tcW w:w="663" w:type="dxa"/>
            <w:tcBorders>
              <w:top w:val="single" w:sz="8" w:space="0" w:color="1F497D" w:themeColor="text2"/>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7</w:t>
            </w:r>
          </w:p>
        </w:tc>
        <w:tc>
          <w:tcPr>
            <w:tcW w:w="698"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5</w:t>
            </w:r>
          </w:p>
        </w:tc>
        <w:tc>
          <w:tcPr>
            <w:tcW w:w="593"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w:t>
            </w:r>
          </w:p>
        </w:tc>
        <w:tc>
          <w:tcPr>
            <w:tcW w:w="639"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9</w:t>
            </w:r>
          </w:p>
        </w:tc>
        <w:tc>
          <w:tcPr>
            <w:tcW w:w="639"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w:t>
            </w:r>
          </w:p>
        </w:tc>
        <w:tc>
          <w:tcPr>
            <w:tcW w:w="62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3</w:t>
            </w:r>
          </w:p>
        </w:tc>
        <w:tc>
          <w:tcPr>
            <w:tcW w:w="65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w:t>
            </w:r>
          </w:p>
        </w:tc>
        <w:tc>
          <w:tcPr>
            <w:tcW w:w="632" w:type="dxa"/>
            <w:tcBorders>
              <w:top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4</w:t>
            </w:r>
          </w:p>
        </w:tc>
        <w:tc>
          <w:tcPr>
            <w:tcW w:w="738" w:type="dxa"/>
            <w:tcBorders>
              <w:top w:val="single" w:sz="8" w:space="0" w:color="1F497D" w:themeColor="text2"/>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29</w:t>
            </w:r>
          </w:p>
        </w:tc>
        <w:tc>
          <w:tcPr>
            <w:tcW w:w="685" w:type="dxa"/>
            <w:tcBorders>
              <w:top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14</w:t>
            </w:r>
          </w:p>
        </w:tc>
      </w:tr>
      <w:tr w:rsidR="00727FDC" w:rsidRPr="00727FDC" w:rsidTr="00727FDC">
        <w:trPr>
          <w:trHeight w:val="274"/>
        </w:trPr>
        <w:tc>
          <w:tcPr>
            <w:tcW w:w="3559" w:type="dxa"/>
            <w:tcBorders>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ind w:left="176" w:hanging="176"/>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 xml:space="preserve">     attributable to equity holders of the parent</w:t>
            </w:r>
          </w:p>
        </w:tc>
        <w:tc>
          <w:tcPr>
            <w:tcW w:w="663" w:type="dxa"/>
            <w:tcBorders>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380</w:t>
            </w:r>
          </w:p>
        </w:tc>
        <w:tc>
          <w:tcPr>
            <w:tcW w:w="698"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-539</w:t>
            </w:r>
          </w:p>
        </w:tc>
        <w:tc>
          <w:tcPr>
            <w:tcW w:w="593"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531</w:t>
            </w:r>
          </w:p>
        </w:tc>
        <w:tc>
          <w:tcPr>
            <w:tcW w:w="639"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240</w:t>
            </w:r>
          </w:p>
        </w:tc>
        <w:tc>
          <w:tcPr>
            <w:tcW w:w="639"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520</w:t>
            </w:r>
          </w:p>
        </w:tc>
        <w:tc>
          <w:tcPr>
            <w:tcW w:w="62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517</w:t>
            </w:r>
          </w:p>
        </w:tc>
        <w:tc>
          <w:tcPr>
            <w:tcW w:w="65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272</w:t>
            </w:r>
          </w:p>
        </w:tc>
        <w:tc>
          <w:tcPr>
            <w:tcW w:w="632" w:type="dxa"/>
            <w:tcBorders>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-294</w:t>
            </w:r>
          </w:p>
        </w:tc>
        <w:tc>
          <w:tcPr>
            <w:tcW w:w="738" w:type="dxa"/>
            <w:tcBorders>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612</w:t>
            </w:r>
          </w:p>
        </w:tc>
        <w:tc>
          <w:tcPr>
            <w:tcW w:w="685" w:type="dxa"/>
            <w:tcBorders>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
                <w:bCs/>
                <w:snapToGrid w:val="0"/>
                <w:sz w:val="14"/>
                <w:szCs w:val="14"/>
                <w:lang w:val="en-GB"/>
              </w:rPr>
            </w:pPr>
            <w:r w:rsidRPr="00727FDC">
              <w:rPr>
                <w:rFonts w:ascii="Arial" w:eastAsia="Times New Roman" w:hAnsi="Arial"/>
                <w:b/>
                <w:bCs/>
                <w:snapToGrid w:val="0"/>
                <w:sz w:val="14"/>
                <w:szCs w:val="14"/>
                <w:lang w:val="en-GB"/>
              </w:rPr>
              <w:t>1 015</w:t>
            </w:r>
          </w:p>
        </w:tc>
      </w:tr>
      <w:tr w:rsidR="00727FDC" w:rsidRPr="00727FDC" w:rsidTr="00727FDC">
        <w:trPr>
          <w:trHeight w:val="55"/>
        </w:trPr>
        <w:tc>
          <w:tcPr>
            <w:tcW w:w="3559" w:type="dxa"/>
            <w:tcBorders>
              <w:top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vertAlign w:val="superscript"/>
                <w:lang w:val="en-GB"/>
              </w:rPr>
            </w:pPr>
            <w:r w:rsidRPr="00727FDC">
              <w:rPr>
                <w:rFonts w:ascii="Arial" w:eastAsia="Times New Roman" w:hAnsi="Arial"/>
                <w:bCs/>
                <w:snapToGrid w:val="0"/>
                <w:sz w:val="14"/>
                <w:szCs w:val="14"/>
                <w:lang w:val="en-GB"/>
              </w:rPr>
              <w:t>Basic earnings per share (EUR)</w:t>
            </w:r>
          </w:p>
        </w:tc>
        <w:tc>
          <w:tcPr>
            <w:tcW w:w="663" w:type="dxa"/>
            <w:tcBorders>
              <w:top w:val="single" w:sz="8" w:space="0" w:color="1F497D" w:themeColor="text2"/>
              <w:left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0.71</w:t>
            </w:r>
          </w:p>
        </w:tc>
        <w:tc>
          <w:tcPr>
            <w:tcW w:w="698"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-1.99</w:t>
            </w:r>
          </w:p>
        </w:tc>
        <w:tc>
          <w:tcPr>
            <w:tcW w:w="593"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1.16</w:t>
            </w:r>
          </w:p>
        </w:tc>
        <w:tc>
          <w:tcPr>
            <w:tcW w:w="639" w:type="dxa"/>
            <w:tcBorders>
              <w:top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-0.97</w:t>
            </w:r>
          </w:p>
        </w:tc>
        <w:tc>
          <w:tcPr>
            <w:tcW w:w="639"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1.25</w:t>
            </w:r>
          </w:p>
        </w:tc>
        <w:tc>
          <w:tcPr>
            <w:tcW w:w="62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1.24</w:t>
            </w:r>
          </w:p>
        </w:tc>
        <w:tc>
          <w:tcPr>
            <w:tcW w:w="657" w:type="dxa"/>
            <w:tcBorders>
              <w:top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-0.75</w:t>
            </w:r>
          </w:p>
        </w:tc>
        <w:tc>
          <w:tcPr>
            <w:tcW w:w="632" w:type="dxa"/>
            <w:tcBorders>
              <w:top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-0.71</w:t>
            </w:r>
          </w:p>
        </w:tc>
        <w:tc>
          <w:tcPr>
            <w:tcW w:w="738" w:type="dxa"/>
            <w:tcBorders>
              <w:top w:val="single" w:sz="8" w:space="0" w:color="1F497D" w:themeColor="text2"/>
              <w:left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-1.09</w:t>
            </w:r>
          </w:p>
        </w:tc>
        <w:tc>
          <w:tcPr>
            <w:tcW w:w="685" w:type="dxa"/>
            <w:tcBorders>
              <w:top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1.03</w:t>
            </w:r>
          </w:p>
        </w:tc>
      </w:tr>
      <w:tr w:rsidR="00727FDC" w:rsidRPr="00727FDC" w:rsidTr="00727FDC">
        <w:trPr>
          <w:trHeight w:val="55"/>
        </w:trPr>
        <w:tc>
          <w:tcPr>
            <w:tcW w:w="3559" w:type="dxa"/>
            <w:tcBorders>
              <w:bottom w:val="single" w:sz="8" w:space="0" w:color="1F497D" w:themeColor="text2"/>
              <w:right w:val="single" w:sz="8" w:space="0" w:color="1F497D" w:themeColor="text2"/>
            </w:tcBorders>
            <w:vAlign w:val="center"/>
          </w:tcPr>
          <w:p w:rsidR="00727FDC" w:rsidRPr="00727FDC" w:rsidRDefault="00727FDC" w:rsidP="00727FDC">
            <w:pPr>
              <w:spacing w:before="120" w:after="0" w:line="240" w:lineRule="auto"/>
              <w:rPr>
                <w:rFonts w:ascii="Arial" w:eastAsia="Times New Roman" w:hAnsi="Arial"/>
                <w:bCs/>
                <w:snapToGrid w:val="0"/>
                <w:sz w:val="14"/>
                <w:szCs w:val="14"/>
                <w:vertAlign w:val="superscript"/>
                <w:lang w:val="en-GB"/>
              </w:rPr>
            </w:pPr>
            <w:r w:rsidRPr="00727FDC">
              <w:rPr>
                <w:rFonts w:ascii="Arial" w:eastAsia="Times New Roman" w:hAnsi="Arial"/>
                <w:bCs/>
                <w:snapToGrid w:val="0"/>
                <w:sz w:val="14"/>
                <w:szCs w:val="14"/>
                <w:lang w:val="en-GB"/>
              </w:rPr>
              <w:t>Diluted earnings per share (EUR)</w:t>
            </w:r>
          </w:p>
        </w:tc>
        <w:tc>
          <w:tcPr>
            <w:tcW w:w="663" w:type="dxa"/>
            <w:tcBorders>
              <w:left w:val="single" w:sz="8" w:space="0" w:color="1F497D" w:themeColor="text2"/>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0.71</w:t>
            </w:r>
          </w:p>
        </w:tc>
        <w:tc>
          <w:tcPr>
            <w:tcW w:w="698"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-1.99</w:t>
            </w:r>
          </w:p>
        </w:tc>
        <w:tc>
          <w:tcPr>
            <w:tcW w:w="593"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1.16</w:t>
            </w:r>
          </w:p>
        </w:tc>
        <w:tc>
          <w:tcPr>
            <w:tcW w:w="639" w:type="dxa"/>
            <w:tcBorders>
              <w:bottom w:val="single" w:sz="8" w:space="0" w:color="1F497D" w:themeColor="text2"/>
            </w:tcBorders>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-0.97</w:t>
            </w:r>
          </w:p>
        </w:tc>
        <w:tc>
          <w:tcPr>
            <w:tcW w:w="639"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1.25</w:t>
            </w:r>
          </w:p>
        </w:tc>
        <w:tc>
          <w:tcPr>
            <w:tcW w:w="62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1.24</w:t>
            </w:r>
          </w:p>
        </w:tc>
        <w:tc>
          <w:tcPr>
            <w:tcW w:w="657" w:type="dxa"/>
            <w:tcBorders>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-0.75</w:t>
            </w:r>
          </w:p>
        </w:tc>
        <w:tc>
          <w:tcPr>
            <w:tcW w:w="632" w:type="dxa"/>
            <w:tcBorders>
              <w:bottom w:val="single" w:sz="8" w:space="0" w:color="1F497D" w:themeColor="text2"/>
              <w:right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-0.71</w:t>
            </w:r>
          </w:p>
        </w:tc>
        <w:tc>
          <w:tcPr>
            <w:tcW w:w="738" w:type="dxa"/>
            <w:tcBorders>
              <w:left w:val="single" w:sz="8" w:space="0" w:color="1F497D" w:themeColor="text2"/>
              <w:bottom w:val="single" w:sz="8" w:space="0" w:color="1F497D" w:themeColor="text2"/>
            </w:tcBorders>
            <w:shd w:val="clear" w:color="auto" w:fill="auto"/>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-1.09</w:t>
            </w:r>
          </w:p>
        </w:tc>
        <w:tc>
          <w:tcPr>
            <w:tcW w:w="685" w:type="dxa"/>
            <w:tcBorders>
              <w:bottom w:val="single" w:sz="8" w:space="0" w:color="1F497D" w:themeColor="text2"/>
            </w:tcBorders>
            <w:shd w:val="clear" w:color="auto" w:fill="DBE5F1" w:themeFill="accent1" w:themeFillTint="33"/>
            <w:vAlign w:val="center"/>
          </w:tcPr>
          <w:p w:rsidR="00727FDC" w:rsidRPr="00727FDC" w:rsidRDefault="00727FDC" w:rsidP="00727FDC">
            <w:pPr>
              <w:spacing w:before="120" w:after="0" w:line="240" w:lineRule="auto"/>
              <w:jc w:val="right"/>
              <w:rPr>
                <w:rFonts w:ascii="Arial" w:eastAsia="Times New Roman" w:hAnsi="Arial"/>
                <w:bCs/>
                <w:snapToGrid w:val="0"/>
                <w:sz w:val="14"/>
                <w:szCs w:val="14"/>
                <w:lang w:val="en-GB"/>
              </w:rPr>
            </w:pPr>
            <w:r w:rsidRPr="00727FDC">
              <w:rPr>
                <w:rFonts w:ascii="Arial" w:eastAsia="Times New Roman" w:hAnsi="Arial"/>
                <w:bCs/>
                <w:snapToGrid w:val="0"/>
                <w:sz w:val="14"/>
                <w:szCs w:val="14"/>
                <w:lang w:val="en-GB"/>
              </w:rPr>
              <w:t>1.03</w:t>
            </w:r>
          </w:p>
        </w:tc>
      </w:tr>
    </w:tbl>
    <w:p w:rsidR="00485E48" w:rsidRDefault="00485E48" w:rsidP="002A5D6D">
      <w:pPr>
        <w:autoSpaceDE w:val="0"/>
        <w:autoSpaceDN w:val="0"/>
        <w:adjustRightInd w:val="0"/>
        <w:spacing w:after="120" w:line="240" w:lineRule="auto"/>
        <w:ind w:left="992" w:right="6"/>
        <w:jc w:val="both"/>
        <w:rPr>
          <w:rFonts w:cs="Arial"/>
          <w:color w:val="003768"/>
        </w:rPr>
      </w:pPr>
    </w:p>
    <w:p w:rsidR="00485E48" w:rsidRDefault="00485E48" w:rsidP="002A5D6D">
      <w:pPr>
        <w:spacing w:after="0" w:line="240" w:lineRule="auto"/>
        <w:jc w:val="both"/>
        <w:rPr>
          <w:rFonts w:cs="Arial"/>
          <w:color w:val="003768"/>
        </w:rPr>
      </w:pPr>
      <w:r>
        <w:rPr>
          <w:rFonts w:cs="Arial"/>
          <w:color w:val="003768"/>
        </w:rPr>
        <w:br w:type="page"/>
      </w:r>
    </w:p>
    <w:p w:rsidR="00485E48" w:rsidRDefault="00485E48" w:rsidP="002A5D6D">
      <w:pPr>
        <w:autoSpaceDE w:val="0"/>
        <w:autoSpaceDN w:val="0"/>
        <w:adjustRightInd w:val="0"/>
        <w:spacing w:after="120" w:line="240" w:lineRule="auto"/>
        <w:ind w:left="992" w:right="6"/>
        <w:jc w:val="both"/>
        <w:rPr>
          <w:rFonts w:cs="Arial"/>
          <w:color w:val="003768"/>
        </w:rPr>
      </w:pPr>
      <w:r>
        <w:rPr>
          <w:rFonts w:cs="Arial"/>
          <w:noProof/>
          <w:color w:val="003768"/>
          <w:lang w:val="nl-BE" w:eastAsia="nl-BE"/>
        </w:rPr>
        <w:lastRenderedPageBreak/>
        <w:drawing>
          <wp:inline distT="0" distB="0" distL="0" distR="0" wp14:anchorId="1BBF1C5F" wp14:editId="0DB01C11">
            <wp:extent cx="6456045" cy="414655"/>
            <wp:effectExtent l="0" t="0" r="190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6045" cy="414655"/>
                    </a:xfrm>
                    <a:prstGeom prst="rect">
                      <a:avLst/>
                    </a:prstGeom>
                    <a:noFill/>
                  </pic:spPr>
                </pic:pic>
              </a:graphicData>
            </a:graphic>
          </wp:inline>
        </w:drawing>
      </w:r>
    </w:p>
    <w:p w:rsidR="00485E48" w:rsidRDefault="00485E48" w:rsidP="002A5D6D">
      <w:pPr>
        <w:autoSpaceDE w:val="0"/>
        <w:autoSpaceDN w:val="0"/>
        <w:adjustRightInd w:val="0"/>
        <w:spacing w:after="120" w:line="240" w:lineRule="auto"/>
        <w:ind w:left="992" w:right="6"/>
        <w:jc w:val="both"/>
        <w:rPr>
          <w:rFonts w:cs="Arial"/>
          <w:color w:val="003768"/>
          <w:sz w:val="20"/>
          <w:szCs w:val="20"/>
          <w:lang w:val="en-GB"/>
        </w:rPr>
      </w:pPr>
      <w:r w:rsidRPr="00485E48">
        <w:rPr>
          <w:rFonts w:cs="Arial"/>
          <w:color w:val="003768"/>
          <w:sz w:val="20"/>
          <w:szCs w:val="20"/>
          <w:lang w:val="en-GB"/>
        </w:rPr>
        <w:t>In addition to the figures according to IFRS (previous section), KBC provides figures aimed at giving more insight into the ongoing business performance. Hence, in the overview below, the impact of legacy activities (remaining divestments, CDOs) and of the valuation of own credit risk is excluded from P/L and summarised in three lines at the bottom of the presentation (in segment reporting, these items are all included in the Group Centre). Moreover, a different accounting treatment for capital-market income was applied to the Belgium Business Unit (with all trading results shifting to ‘Net result from financial instruments at fair value’). A full explanation of the differences between the IFRS and adjusted figures is provided under ‘Notes on segment reporting’ in the ‘Consolidated financial statements’ section of the quarterly report.</w:t>
      </w:r>
    </w:p>
    <w:tbl>
      <w:tblPr>
        <w:tblW w:w="10039" w:type="dxa"/>
        <w:tblInd w:w="1193" w:type="dxa"/>
        <w:tblLook w:val="01E0" w:firstRow="1" w:lastRow="1" w:firstColumn="1" w:lastColumn="1" w:noHBand="0" w:noVBand="0"/>
      </w:tblPr>
      <w:tblGrid>
        <w:gridCol w:w="3392"/>
        <w:gridCol w:w="626"/>
        <w:gridCol w:w="731"/>
        <w:gridCol w:w="595"/>
        <w:gridCol w:w="612"/>
        <w:gridCol w:w="666"/>
        <w:gridCol w:w="667"/>
        <w:gridCol w:w="595"/>
        <w:gridCol w:w="15"/>
        <w:gridCol w:w="540"/>
        <w:gridCol w:w="29"/>
        <w:gridCol w:w="758"/>
        <w:gridCol w:w="813"/>
      </w:tblGrid>
      <w:tr w:rsidR="00943673" w:rsidRPr="00943673" w:rsidTr="00943673">
        <w:trPr>
          <w:trHeight w:val="305"/>
        </w:trPr>
        <w:tc>
          <w:tcPr>
            <w:tcW w:w="3392" w:type="dxa"/>
            <w:tcBorders>
              <w:bottom w:val="single" w:sz="24" w:space="0" w:color="FFFFFF" w:themeColor="background1"/>
              <w:right w:val="single" w:sz="8" w:space="0" w:color="FFFFFF" w:themeColor="background1"/>
            </w:tcBorders>
            <w:shd w:val="clear" w:color="auto" w:fill="365F91" w:themeFill="accent1" w:themeFillShade="BF"/>
            <w:vAlign w:val="center"/>
          </w:tcPr>
          <w:p w:rsidR="00943673" w:rsidRPr="00943673" w:rsidRDefault="00943673" w:rsidP="00943673">
            <w:pPr>
              <w:spacing w:after="0" w:line="240" w:lineRule="auto"/>
              <w:rPr>
                <w:rFonts w:ascii="Arial" w:eastAsia="Times New Roman" w:hAnsi="Arial"/>
                <w:bCs/>
                <w:snapToGrid w:val="0"/>
                <w:color w:val="FFFFFF" w:themeColor="background1"/>
                <w:sz w:val="14"/>
                <w:szCs w:val="14"/>
                <w:lang w:val="en-GB"/>
              </w:rPr>
            </w:pPr>
            <w:r>
              <w:rPr>
                <w:rFonts w:cs="Arial"/>
                <w:color w:val="003768"/>
                <w:sz w:val="20"/>
                <w:szCs w:val="20"/>
                <w:lang w:val="en-GB"/>
              </w:rPr>
              <w:br w:type="page"/>
            </w:r>
            <w:r w:rsidRPr="00943673">
              <w:rPr>
                <w:rFonts w:ascii="Arial" w:eastAsia="Times New Roman" w:hAnsi="Arial"/>
                <w:bCs/>
                <w:snapToGrid w:val="0"/>
                <w:color w:val="FFFFFF" w:themeColor="background1"/>
                <w:sz w:val="14"/>
                <w:szCs w:val="14"/>
                <w:lang w:val="en-GB"/>
              </w:rPr>
              <w:t>Consolidated income statement, KBC Group (in millions of EUR)</w:t>
            </w:r>
          </w:p>
        </w:tc>
        <w:tc>
          <w:tcPr>
            <w:tcW w:w="626" w:type="dxa"/>
            <w:tcBorders>
              <w:left w:val="single" w:sz="8" w:space="0" w:color="FFFFFF" w:themeColor="background1"/>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1Q 2012</w:t>
            </w:r>
          </w:p>
        </w:tc>
        <w:tc>
          <w:tcPr>
            <w:tcW w:w="731"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 xml:space="preserve">2Q </w:t>
            </w:r>
            <w:r w:rsidRPr="00943673">
              <w:rPr>
                <w:rFonts w:ascii="Arial" w:eastAsia="Times New Roman" w:hAnsi="Arial"/>
                <w:bCs/>
                <w:snapToGrid w:val="0"/>
                <w:color w:val="FFFFFF" w:themeColor="background1"/>
                <w:sz w:val="14"/>
                <w:szCs w:val="14"/>
                <w:lang w:val="en-GB"/>
              </w:rPr>
              <w:br/>
              <w:t>2012</w:t>
            </w:r>
          </w:p>
        </w:tc>
        <w:tc>
          <w:tcPr>
            <w:tcW w:w="595"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3Q 2012</w:t>
            </w:r>
          </w:p>
        </w:tc>
        <w:tc>
          <w:tcPr>
            <w:tcW w:w="612"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4Q</w:t>
            </w:r>
          </w:p>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2012</w:t>
            </w:r>
          </w:p>
        </w:tc>
        <w:tc>
          <w:tcPr>
            <w:tcW w:w="666"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1Q 2013</w:t>
            </w:r>
          </w:p>
        </w:tc>
        <w:tc>
          <w:tcPr>
            <w:tcW w:w="667"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2Q 2013</w:t>
            </w:r>
          </w:p>
        </w:tc>
        <w:tc>
          <w:tcPr>
            <w:tcW w:w="595" w:type="dxa"/>
            <w:tcBorders>
              <w:bottom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3Q 2013</w:t>
            </w:r>
          </w:p>
        </w:tc>
        <w:tc>
          <w:tcPr>
            <w:tcW w:w="584" w:type="dxa"/>
            <w:gridSpan w:val="3"/>
            <w:tcBorders>
              <w:bottom w:val="single" w:sz="24" w:space="0" w:color="FFFFFF" w:themeColor="background1"/>
              <w:righ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4Q</w:t>
            </w:r>
          </w:p>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2013</w:t>
            </w:r>
          </w:p>
        </w:tc>
        <w:tc>
          <w:tcPr>
            <w:tcW w:w="758" w:type="dxa"/>
            <w:tcBorders>
              <w:left w:val="single" w:sz="8" w:space="0" w:color="FFFFFF" w:themeColor="background1"/>
              <w:bottom w:val="single" w:sz="24" w:space="0" w:color="FFFFFF" w:themeColor="background1"/>
            </w:tcBorders>
            <w:shd w:val="clear" w:color="auto" w:fill="365F91" w:themeFill="accent1" w:themeFillShade="BF"/>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FY</w:t>
            </w:r>
            <w:r w:rsidRPr="00943673">
              <w:rPr>
                <w:rFonts w:ascii="Arial" w:eastAsia="Times New Roman" w:hAnsi="Arial"/>
                <w:bCs/>
                <w:snapToGrid w:val="0"/>
                <w:color w:val="FFFFFF" w:themeColor="background1"/>
                <w:sz w:val="14"/>
                <w:szCs w:val="14"/>
                <w:lang w:val="en-GB"/>
              </w:rPr>
              <w:br/>
              <w:t>2012</w:t>
            </w:r>
          </w:p>
        </w:tc>
        <w:tc>
          <w:tcPr>
            <w:tcW w:w="813" w:type="dxa"/>
            <w:tcBorders>
              <w:bottom w:val="single" w:sz="24" w:space="0" w:color="FFFFFF" w:themeColor="background1"/>
            </w:tcBorders>
            <w:shd w:val="clear" w:color="auto" w:fill="365F91" w:themeFill="accent1" w:themeFillShade="BF"/>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FY</w:t>
            </w:r>
          </w:p>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2013</w:t>
            </w:r>
          </w:p>
        </w:tc>
      </w:tr>
      <w:tr w:rsidR="00943673" w:rsidRPr="00943673" w:rsidTr="00943673">
        <w:trPr>
          <w:trHeight w:val="275"/>
        </w:trPr>
        <w:tc>
          <w:tcPr>
            <w:tcW w:w="3392" w:type="dxa"/>
            <w:tcBorders>
              <w:top w:val="single" w:sz="24" w:space="0" w:color="FFFFFF" w:themeColor="background1"/>
              <w:right w:val="single" w:sz="8" w:space="0" w:color="FFFFFF" w:themeColor="background1"/>
            </w:tcBorders>
            <w:shd w:val="clear" w:color="auto" w:fill="365F91" w:themeFill="accent1" w:themeFillShade="BF"/>
            <w:vAlign w:val="center"/>
          </w:tcPr>
          <w:p w:rsidR="00943673" w:rsidRPr="00943673" w:rsidRDefault="00943673" w:rsidP="00943673">
            <w:pPr>
              <w:spacing w:after="0" w:line="240" w:lineRule="auto"/>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 xml:space="preserve">Adjusted net result </w:t>
            </w:r>
            <w:r w:rsidRPr="00943673">
              <w:rPr>
                <w:rFonts w:ascii="Arial" w:eastAsia="Times New Roman" w:hAnsi="Arial"/>
                <w:bCs/>
                <w:snapToGrid w:val="0"/>
                <w:color w:val="FFFFFF" w:themeColor="background1"/>
                <w:sz w:val="14"/>
                <w:szCs w:val="14"/>
                <w:lang w:val="en-GB"/>
              </w:rPr>
              <w:br/>
              <w:t xml:space="preserve">(i.e. excluding legacy business and own credit risk) </w:t>
            </w:r>
          </w:p>
        </w:tc>
        <w:tc>
          <w:tcPr>
            <w:tcW w:w="626" w:type="dxa"/>
            <w:tcBorders>
              <w:top w:val="single" w:sz="24" w:space="0" w:color="FFFFFF" w:themeColor="background1"/>
              <w:lef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731"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595"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12"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66"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67"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595" w:type="dxa"/>
            <w:tcBorders>
              <w:top w:val="single" w:sz="24"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584" w:type="dxa"/>
            <w:gridSpan w:val="3"/>
            <w:tcBorders>
              <w:top w:val="single" w:sz="24" w:space="0" w:color="FFFFFF" w:themeColor="background1"/>
              <w:righ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758" w:type="dxa"/>
            <w:tcBorders>
              <w:top w:val="single" w:sz="24" w:space="0" w:color="FFFFFF" w:themeColor="background1"/>
              <w:left w:val="single" w:sz="8" w:space="0" w:color="FFFFFF" w:themeColor="background1"/>
            </w:tcBorders>
            <w:shd w:val="clear" w:color="auto" w:fill="365F91" w:themeFill="accent1" w:themeFillShade="BF"/>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813" w:type="dxa"/>
            <w:tcBorders>
              <w:top w:val="single" w:sz="24" w:space="0" w:color="FFFFFF" w:themeColor="background1"/>
            </w:tcBorders>
            <w:shd w:val="clear" w:color="auto" w:fill="365F91" w:themeFill="accent1" w:themeFillShade="BF"/>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Net interest income</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1 217</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1 153</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1 078</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1 084</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1 032</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990</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1 013</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1 009</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4 532</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4 044</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cs="Arial"/>
                <w:sz w:val="14"/>
                <w:szCs w:val="14"/>
                <w:lang w:val="en-GB"/>
              </w:rPr>
            </w:pPr>
            <w:r w:rsidRPr="00943673">
              <w:rPr>
                <w:rFonts w:ascii="Arial" w:eastAsia="Times New Roman" w:hAnsi="Arial" w:cs="Arial"/>
                <w:sz w:val="14"/>
                <w:szCs w:val="14"/>
                <w:lang w:val="en-GB"/>
              </w:rPr>
              <w:t>Non-life insurance (before reinsurance)</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204</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200</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157</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61</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149</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115</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145</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127</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622</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536</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ind w:firstLineChars="400" w:firstLine="560"/>
              <w:rPr>
                <w:rFonts w:ascii="Arial" w:eastAsia="Times New Roman" w:hAnsi="Arial" w:cs="Arial"/>
                <w:i/>
                <w:iCs/>
                <w:color w:val="404040" w:themeColor="text1" w:themeTint="BF"/>
                <w:sz w:val="14"/>
                <w:szCs w:val="14"/>
                <w:lang w:val="en-GB"/>
              </w:rPr>
            </w:pPr>
            <w:r w:rsidRPr="00943673">
              <w:rPr>
                <w:rFonts w:ascii="Arial" w:eastAsia="Times New Roman" w:hAnsi="Arial" w:cs="Arial"/>
                <w:i/>
                <w:iCs/>
                <w:sz w:val="14"/>
                <w:szCs w:val="14"/>
                <w:lang w:val="en-GB"/>
              </w:rPr>
              <w:t>Earned premiums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438</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442</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307</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313</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305</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316</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321</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317</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1 500</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1 259</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ind w:firstLineChars="400" w:firstLine="560"/>
              <w:rPr>
                <w:rFonts w:ascii="Arial" w:eastAsia="Times New Roman" w:hAnsi="Arial" w:cs="Arial"/>
                <w:i/>
                <w:iCs/>
                <w:color w:val="404040" w:themeColor="text1" w:themeTint="BF"/>
                <w:sz w:val="14"/>
                <w:szCs w:val="14"/>
                <w:lang w:val="en-GB"/>
              </w:rPr>
            </w:pPr>
            <w:r w:rsidRPr="00943673">
              <w:rPr>
                <w:rFonts w:ascii="Arial" w:eastAsia="Times New Roman" w:hAnsi="Arial" w:cs="Arial"/>
                <w:i/>
                <w:iCs/>
                <w:sz w:val="14"/>
                <w:szCs w:val="14"/>
                <w:lang w:val="en-GB"/>
              </w:rPr>
              <w:t>Technical charges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-234</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-243</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-150</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-252</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-156</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-201</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-176</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-190</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-878</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-723</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cs="Arial"/>
                <w:sz w:val="14"/>
                <w:szCs w:val="14"/>
                <w:lang w:val="en-GB"/>
              </w:rPr>
            </w:pPr>
            <w:r w:rsidRPr="00943673">
              <w:rPr>
                <w:rFonts w:ascii="Arial" w:eastAsia="Times New Roman" w:hAnsi="Arial" w:cs="Arial"/>
                <w:sz w:val="14"/>
                <w:szCs w:val="14"/>
                <w:lang w:val="en-GB"/>
              </w:rPr>
              <w:t>Life insurance (before reinsurance)</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-72</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-67</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-79</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-59</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-62</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-63</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-57</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-240</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-242</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ind w:firstLineChars="400" w:firstLine="560"/>
              <w:rPr>
                <w:rFonts w:ascii="Arial" w:eastAsia="Times New Roman" w:hAnsi="Arial" w:cs="Arial"/>
                <w:i/>
                <w:iCs/>
                <w:color w:val="404040" w:themeColor="text1" w:themeTint="BF"/>
                <w:sz w:val="14"/>
                <w:szCs w:val="14"/>
                <w:lang w:val="en-GB"/>
              </w:rPr>
            </w:pPr>
            <w:r w:rsidRPr="00943673">
              <w:rPr>
                <w:rFonts w:ascii="Arial" w:eastAsia="Times New Roman" w:hAnsi="Arial" w:cs="Arial"/>
                <w:i/>
                <w:iCs/>
                <w:sz w:val="14"/>
                <w:szCs w:val="14"/>
                <w:lang w:val="en-GB"/>
              </w:rPr>
              <w:t>Earned premiums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446</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448</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271</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310</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271</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241</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238</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381</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1 475</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1 132</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ind w:firstLineChars="400" w:firstLine="560"/>
              <w:rPr>
                <w:rFonts w:ascii="Arial" w:eastAsia="Times New Roman" w:hAnsi="Arial" w:cs="Arial"/>
                <w:i/>
                <w:iCs/>
                <w:color w:val="404040" w:themeColor="text1" w:themeTint="BF"/>
                <w:sz w:val="14"/>
                <w:szCs w:val="14"/>
                <w:lang w:val="en-GB"/>
              </w:rPr>
            </w:pPr>
            <w:r w:rsidRPr="00943673">
              <w:rPr>
                <w:rFonts w:ascii="Arial" w:eastAsia="Times New Roman" w:hAnsi="Arial" w:cs="Arial"/>
                <w:i/>
                <w:iCs/>
                <w:sz w:val="14"/>
                <w:szCs w:val="14"/>
                <w:lang w:val="en-GB"/>
              </w:rPr>
              <w:t>Technical charges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-518</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-514</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-350</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-332</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-331</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-303</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-302</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-438</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-1 714</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-1 373</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Ceded reinsurance result</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Dividend income</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10</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19</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43</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41</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Net result from financial instruments at fair value through profit or loss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353</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58</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223</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156</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218</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256</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146</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159</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789</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779</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Net realised result from available-for-sale assets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55</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85</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96</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46</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42</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29</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180</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213</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Net fee and commission income</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312</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309</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345</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359</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385</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388</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345</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369</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1 324</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1 487</w:t>
            </w:r>
          </w:p>
        </w:tc>
      </w:tr>
      <w:tr w:rsidR="00943673" w:rsidRPr="00943673" w:rsidTr="00943673">
        <w:trPr>
          <w:trHeight w:val="275"/>
        </w:trPr>
        <w:tc>
          <w:tcPr>
            <w:tcW w:w="3392" w:type="dxa"/>
            <w:tcBorders>
              <w:bottom w:val="single" w:sz="4" w:space="0" w:color="1F497D" w:themeColor="text2"/>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Other net income</w:t>
            </w:r>
          </w:p>
        </w:tc>
        <w:tc>
          <w:tcPr>
            <w:tcW w:w="626" w:type="dxa"/>
            <w:tcBorders>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w:t>
            </w:r>
          </w:p>
        </w:tc>
        <w:tc>
          <w:tcPr>
            <w:tcW w:w="731"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60</w:t>
            </w:r>
          </w:p>
        </w:tc>
        <w:tc>
          <w:tcPr>
            <w:tcW w:w="595"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80</w:t>
            </w:r>
          </w:p>
        </w:tc>
        <w:tc>
          <w:tcPr>
            <w:tcW w:w="612"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89</w:t>
            </w:r>
          </w:p>
        </w:tc>
        <w:tc>
          <w:tcPr>
            <w:tcW w:w="666"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76</w:t>
            </w:r>
          </w:p>
        </w:tc>
        <w:tc>
          <w:tcPr>
            <w:tcW w:w="667"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69</w:t>
            </w:r>
          </w:p>
        </w:tc>
        <w:tc>
          <w:tcPr>
            <w:tcW w:w="595"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151</w:t>
            </w:r>
          </w:p>
        </w:tc>
        <w:tc>
          <w:tcPr>
            <w:tcW w:w="584"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47</w:t>
            </w:r>
          </w:p>
        </w:tc>
        <w:tc>
          <w:tcPr>
            <w:tcW w:w="758" w:type="dxa"/>
            <w:tcBorders>
              <w:left w:val="single" w:sz="4" w:space="0" w:color="1F497D" w:themeColor="text2"/>
              <w:bottom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252</w:t>
            </w:r>
          </w:p>
        </w:tc>
        <w:tc>
          <w:tcPr>
            <w:tcW w:w="813" w:type="dxa"/>
            <w:tcBorders>
              <w:bottom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343</w:t>
            </w:r>
          </w:p>
        </w:tc>
      </w:tr>
      <w:tr w:rsidR="00943673" w:rsidRPr="00943673" w:rsidTr="00943673">
        <w:trPr>
          <w:trHeight w:val="275"/>
        </w:trPr>
        <w:tc>
          <w:tcPr>
            <w:tcW w:w="3392" w:type="dxa"/>
            <w:tcBorders>
              <w:top w:val="single" w:sz="4" w:space="0" w:color="1F497D" w:themeColor="text2"/>
              <w:bottom w:val="single" w:sz="4" w:space="0" w:color="1F497D" w:themeColor="text2"/>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Total income</w:t>
            </w:r>
          </w:p>
        </w:tc>
        <w:tc>
          <w:tcPr>
            <w:tcW w:w="626" w:type="dxa"/>
            <w:tcBorders>
              <w:top w:val="single" w:sz="4" w:space="0" w:color="1F497D" w:themeColor="text2"/>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2 057</w:t>
            </w:r>
          </w:p>
        </w:tc>
        <w:tc>
          <w:tcPr>
            <w:tcW w:w="731"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1 743</w:t>
            </w:r>
          </w:p>
        </w:tc>
        <w:tc>
          <w:tcPr>
            <w:tcW w:w="595"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1 857</w:t>
            </w:r>
          </w:p>
        </w:tc>
        <w:tc>
          <w:tcPr>
            <w:tcW w:w="612"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1 831</w:t>
            </w:r>
          </w:p>
        </w:tc>
        <w:tc>
          <w:tcPr>
            <w:tcW w:w="666"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1 890</w:t>
            </w:r>
          </w:p>
        </w:tc>
        <w:tc>
          <w:tcPr>
            <w:tcW w:w="667"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1 832</w:t>
            </w:r>
          </w:p>
        </w:tc>
        <w:tc>
          <w:tcPr>
            <w:tcW w:w="595"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1 791</w:t>
            </w:r>
          </w:p>
        </w:tc>
        <w:tc>
          <w:tcPr>
            <w:tcW w:w="584"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1 684</w:t>
            </w:r>
          </w:p>
        </w:tc>
        <w:tc>
          <w:tcPr>
            <w:tcW w:w="758" w:type="dxa"/>
            <w:tcBorders>
              <w:top w:val="single" w:sz="4" w:space="0" w:color="1F497D" w:themeColor="text2"/>
              <w:left w:val="single" w:sz="4" w:space="0" w:color="1F497D" w:themeColor="text2"/>
              <w:bottom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7 488</w:t>
            </w:r>
          </w:p>
        </w:tc>
        <w:tc>
          <w:tcPr>
            <w:tcW w:w="813" w:type="dxa"/>
            <w:tcBorders>
              <w:top w:val="single" w:sz="4" w:space="0" w:color="1F497D" w:themeColor="text2"/>
              <w:bottom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7 197</w:t>
            </w:r>
          </w:p>
        </w:tc>
      </w:tr>
      <w:tr w:rsidR="00943673" w:rsidRPr="00943673" w:rsidTr="00943673">
        <w:trPr>
          <w:trHeight w:val="275"/>
        </w:trPr>
        <w:tc>
          <w:tcPr>
            <w:tcW w:w="3392" w:type="dxa"/>
            <w:tcBorders>
              <w:top w:val="single" w:sz="4" w:space="0" w:color="1F497D" w:themeColor="text2"/>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Operating expenses</w:t>
            </w:r>
          </w:p>
        </w:tc>
        <w:tc>
          <w:tcPr>
            <w:tcW w:w="626" w:type="dxa"/>
            <w:tcBorders>
              <w:top w:val="single" w:sz="4" w:space="0" w:color="1F497D" w:themeColor="text2"/>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-1 110</w:t>
            </w:r>
          </w:p>
        </w:tc>
        <w:tc>
          <w:tcPr>
            <w:tcW w:w="731"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-1 016</w:t>
            </w:r>
          </w:p>
        </w:tc>
        <w:tc>
          <w:tcPr>
            <w:tcW w:w="595"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-990</w:t>
            </w:r>
          </w:p>
        </w:tc>
        <w:tc>
          <w:tcPr>
            <w:tcW w:w="612"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-1 068</w:t>
            </w:r>
          </w:p>
        </w:tc>
        <w:tc>
          <w:tcPr>
            <w:tcW w:w="666"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-1 029</w:t>
            </w:r>
          </w:p>
        </w:tc>
        <w:tc>
          <w:tcPr>
            <w:tcW w:w="667"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-921</w:t>
            </w:r>
          </w:p>
        </w:tc>
        <w:tc>
          <w:tcPr>
            <w:tcW w:w="595"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-913</w:t>
            </w:r>
          </w:p>
        </w:tc>
        <w:tc>
          <w:tcPr>
            <w:tcW w:w="584" w:type="dxa"/>
            <w:gridSpan w:val="3"/>
            <w:tcBorders>
              <w:top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-963</w:t>
            </w:r>
          </w:p>
        </w:tc>
        <w:tc>
          <w:tcPr>
            <w:tcW w:w="758" w:type="dxa"/>
            <w:tcBorders>
              <w:top w:val="single" w:sz="4" w:space="0" w:color="1F497D" w:themeColor="text2"/>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-4 184</w:t>
            </w:r>
          </w:p>
        </w:tc>
        <w:tc>
          <w:tcPr>
            <w:tcW w:w="813" w:type="dxa"/>
            <w:tcBorders>
              <w:top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-3 826</w:t>
            </w:r>
          </w:p>
        </w:tc>
      </w:tr>
      <w:tr w:rsidR="00943673" w:rsidRPr="00943673" w:rsidTr="00943673">
        <w:trPr>
          <w:trHeight w:val="275"/>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Impairment</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-271</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-241</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-305</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-378</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-335</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-235</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-209</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-950</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-1 195</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-1 729</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on loans and receivables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-261</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-198</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-283</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-329</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-295</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-217</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-186</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-940</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-1 072</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-1 638</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on available-for-sale assets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-37</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on goodwill</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on other</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-45</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-86</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-64</w:t>
            </w:r>
          </w:p>
        </w:tc>
      </w:tr>
      <w:tr w:rsidR="00943673" w:rsidRPr="00943673" w:rsidTr="00943673">
        <w:trPr>
          <w:trHeight w:val="275"/>
        </w:trPr>
        <w:tc>
          <w:tcPr>
            <w:tcW w:w="3392" w:type="dxa"/>
            <w:tcBorders>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Share in results of associated companies</w:t>
            </w:r>
          </w:p>
        </w:tc>
        <w:tc>
          <w:tcPr>
            <w:tcW w:w="626" w:type="dxa"/>
            <w:tcBorders>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731"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595"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w:t>
            </w:r>
          </w:p>
        </w:tc>
        <w:tc>
          <w:tcPr>
            <w:tcW w:w="612"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w:t>
            </w:r>
          </w:p>
        </w:tc>
        <w:tc>
          <w:tcPr>
            <w:tcW w:w="666"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667"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595"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584"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w:t>
            </w:r>
          </w:p>
        </w:tc>
        <w:tc>
          <w:tcPr>
            <w:tcW w:w="758" w:type="dxa"/>
            <w:tcBorders>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w:t>
            </w:r>
          </w:p>
        </w:tc>
        <w:tc>
          <w:tcPr>
            <w:tcW w:w="813" w:type="dxa"/>
            <w:tcBorders>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w:t>
            </w:r>
          </w:p>
        </w:tc>
      </w:tr>
      <w:tr w:rsidR="00943673" w:rsidRPr="00943673" w:rsidTr="00943673">
        <w:trPr>
          <w:trHeight w:val="275"/>
        </w:trPr>
        <w:tc>
          <w:tcPr>
            <w:tcW w:w="3392"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Result before tax</w:t>
            </w:r>
          </w:p>
        </w:tc>
        <w:tc>
          <w:tcPr>
            <w:tcW w:w="626" w:type="dxa"/>
            <w:tcBorders>
              <w:top w:val="single" w:sz="4" w:space="0" w:color="1F497D" w:themeColor="text2"/>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667</w:t>
            </w:r>
          </w:p>
        </w:tc>
        <w:tc>
          <w:tcPr>
            <w:tcW w:w="731"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477</w:t>
            </w:r>
          </w:p>
        </w:tc>
        <w:tc>
          <w:tcPr>
            <w:tcW w:w="595"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549</w:t>
            </w:r>
          </w:p>
        </w:tc>
        <w:tc>
          <w:tcPr>
            <w:tcW w:w="612"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385</w:t>
            </w:r>
          </w:p>
        </w:tc>
        <w:tc>
          <w:tcPr>
            <w:tcW w:w="666"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526</w:t>
            </w:r>
          </w:p>
        </w:tc>
        <w:tc>
          <w:tcPr>
            <w:tcW w:w="667"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677</w:t>
            </w:r>
          </w:p>
        </w:tc>
        <w:tc>
          <w:tcPr>
            <w:tcW w:w="595"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669</w:t>
            </w:r>
          </w:p>
        </w:tc>
        <w:tc>
          <w:tcPr>
            <w:tcW w:w="584"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-228</w:t>
            </w:r>
          </w:p>
        </w:tc>
        <w:tc>
          <w:tcPr>
            <w:tcW w:w="758"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2 078</w:t>
            </w:r>
          </w:p>
        </w:tc>
        <w:tc>
          <w:tcPr>
            <w:tcW w:w="813"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1 643</w:t>
            </w:r>
          </w:p>
        </w:tc>
      </w:tr>
      <w:tr w:rsidR="00943673" w:rsidRPr="00943673" w:rsidTr="00943673">
        <w:trPr>
          <w:trHeight w:val="275"/>
        </w:trPr>
        <w:tc>
          <w:tcPr>
            <w:tcW w:w="3392"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Income tax expense</w:t>
            </w:r>
          </w:p>
        </w:tc>
        <w:tc>
          <w:tcPr>
            <w:tcW w:w="626" w:type="dxa"/>
            <w:tcBorders>
              <w:top w:val="single" w:sz="4" w:space="0" w:color="1F497D" w:themeColor="text2"/>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-159</w:t>
            </w:r>
          </w:p>
        </w:tc>
        <w:tc>
          <w:tcPr>
            <w:tcW w:w="731"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-129</w:t>
            </w:r>
          </w:p>
        </w:tc>
        <w:tc>
          <w:tcPr>
            <w:tcW w:w="595"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-167</w:t>
            </w:r>
          </w:p>
        </w:tc>
        <w:tc>
          <w:tcPr>
            <w:tcW w:w="612"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-98</w:t>
            </w:r>
          </w:p>
        </w:tc>
        <w:tc>
          <w:tcPr>
            <w:tcW w:w="666"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-163</w:t>
            </w:r>
          </w:p>
        </w:tc>
        <w:tc>
          <w:tcPr>
            <w:tcW w:w="667"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-189</w:t>
            </w:r>
          </w:p>
        </w:tc>
        <w:tc>
          <w:tcPr>
            <w:tcW w:w="595"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-208</w:t>
            </w:r>
          </w:p>
        </w:tc>
        <w:tc>
          <w:tcPr>
            <w:tcW w:w="584"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-108</w:t>
            </w:r>
          </w:p>
        </w:tc>
        <w:tc>
          <w:tcPr>
            <w:tcW w:w="758"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-553</w:t>
            </w:r>
          </w:p>
        </w:tc>
        <w:tc>
          <w:tcPr>
            <w:tcW w:w="813"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-668</w:t>
            </w:r>
          </w:p>
        </w:tc>
      </w:tr>
      <w:tr w:rsidR="00943673" w:rsidRPr="00943673" w:rsidTr="00943673">
        <w:trPr>
          <w:trHeight w:val="275"/>
        </w:trPr>
        <w:tc>
          <w:tcPr>
            <w:tcW w:w="3392" w:type="dxa"/>
            <w:tcBorders>
              <w:top w:val="single" w:sz="8" w:space="0" w:color="365F91" w:themeColor="accent1" w:themeShade="BF"/>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Result after tax</w:t>
            </w:r>
          </w:p>
        </w:tc>
        <w:tc>
          <w:tcPr>
            <w:tcW w:w="626" w:type="dxa"/>
            <w:tcBorders>
              <w:top w:val="single" w:sz="4" w:space="0" w:color="1F497D" w:themeColor="text2"/>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508</w:t>
            </w:r>
          </w:p>
        </w:tc>
        <w:tc>
          <w:tcPr>
            <w:tcW w:w="731"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348</w:t>
            </w:r>
          </w:p>
        </w:tc>
        <w:tc>
          <w:tcPr>
            <w:tcW w:w="595" w:type="dxa"/>
            <w:tcBorders>
              <w:top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382</w:t>
            </w:r>
          </w:p>
        </w:tc>
        <w:tc>
          <w:tcPr>
            <w:tcW w:w="612"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287</w:t>
            </w:r>
          </w:p>
        </w:tc>
        <w:tc>
          <w:tcPr>
            <w:tcW w:w="666"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363</w:t>
            </w:r>
          </w:p>
        </w:tc>
        <w:tc>
          <w:tcPr>
            <w:tcW w:w="667"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487</w:t>
            </w:r>
          </w:p>
        </w:tc>
        <w:tc>
          <w:tcPr>
            <w:tcW w:w="595" w:type="dxa"/>
            <w:tcBorders>
              <w:top w:val="single" w:sz="4" w:space="0" w:color="1F497D" w:themeColor="text2"/>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460</w:t>
            </w:r>
          </w:p>
        </w:tc>
        <w:tc>
          <w:tcPr>
            <w:tcW w:w="584" w:type="dxa"/>
            <w:gridSpan w:val="3"/>
            <w:tcBorders>
              <w:top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-336</w:t>
            </w:r>
          </w:p>
        </w:tc>
        <w:tc>
          <w:tcPr>
            <w:tcW w:w="758" w:type="dxa"/>
            <w:tcBorders>
              <w:top w:val="single" w:sz="4" w:space="0" w:color="365F91" w:themeColor="accent1" w:themeShade="BF"/>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1 525</w:t>
            </w:r>
          </w:p>
        </w:tc>
        <w:tc>
          <w:tcPr>
            <w:tcW w:w="813" w:type="dxa"/>
            <w:tcBorders>
              <w:top w:val="single" w:sz="4" w:space="0" w:color="365F91" w:themeColor="accent1" w:themeShade="BF"/>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974</w:t>
            </w:r>
          </w:p>
        </w:tc>
      </w:tr>
      <w:tr w:rsidR="00943673" w:rsidRPr="00943673" w:rsidTr="00943673">
        <w:trPr>
          <w:trHeight w:val="275"/>
        </w:trPr>
        <w:tc>
          <w:tcPr>
            <w:tcW w:w="3392" w:type="dxa"/>
            <w:tcBorders>
              <w:top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attributable to minority interests</w:t>
            </w:r>
          </w:p>
        </w:tc>
        <w:tc>
          <w:tcPr>
            <w:tcW w:w="626" w:type="dxa"/>
            <w:tcBorders>
              <w:top w:val="single" w:sz="4" w:space="0" w:color="1F497D" w:themeColor="text2"/>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w:t>
            </w:r>
          </w:p>
        </w:tc>
        <w:tc>
          <w:tcPr>
            <w:tcW w:w="731"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w:t>
            </w:r>
          </w:p>
        </w:tc>
        <w:tc>
          <w:tcPr>
            <w:tcW w:w="595"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612"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666"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667"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w:t>
            </w:r>
          </w:p>
        </w:tc>
        <w:tc>
          <w:tcPr>
            <w:tcW w:w="595"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584" w:type="dxa"/>
            <w:gridSpan w:val="3"/>
            <w:tcBorders>
              <w:top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w:t>
            </w:r>
          </w:p>
        </w:tc>
        <w:tc>
          <w:tcPr>
            <w:tcW w:w="758" w:type="dxa"/>
            <w:tcBorders>
              <w:top w:val="single" w:sz="4" w:space="0" w:color="365F91" w:themeColor="accent1" w:themeShade="BF"/>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29</w:t>
            </w:r>
          </w:p>
        </w:tc>
        <w:tc>
          <w:tcPr>
            <w:tcW w:w="813" w:type="dxa"/>
            <w:tcBorders>
              <w:top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w:t>
            </w:r>
          </w:p>
        </w:tc>
      </w:tr>
      <w:tr w:rsidR="00943673" w:rsidRPr="00943673" w:rsidTr="00943673">
        <w:trPr>
          <w:trHeight w:val="275"/>
        </w:trPr>
        <w:tc>
          <w:tcPr>
            <w:tcW w:w="3392" w:type="dxa"/>
            <w:tcBorders>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 xml:space="preserve">     attributable to equity holders of the parent</w:t>
            </w:r>
          </w:p>
        </w:tc>
        <w:tc>
          <w:tcPr>
            <w:tcW w:w="626" w:type="dxa"/>
            <w:tcBorders>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501</w:t>
            </w:r>
          </w:p>
        </w:tc>
        <w:tc>
          <w:tcPr>
            <w:tcW w:w="731"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343</w:t>
            </w:r>
          </w:p>
        </w:tc>
        <w:tc>
          <w:tcPr>
            <w:tcW w:w="595"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373</w:t>
            </w:r>
          </w:p>
        </w:tc>
        <w:tc>
          <w:tcPr>
            <w:tcW w:w="612"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279</w:t>
            </w:r>
          </w:p>
        </w:tc>
        <w:tc>
          <w:tcPr>
            <w:tcW w:w="666"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359</w:t>
            </w:r>
          </w:p>
        </w:tc>
        <w:tc>
          <w:tcPr>
            <w:tcW w:w="667"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485</w:t>
            </w:r>
          </w:p>
        </w:tc>
        <w:tc>
          <w:tcPr>
            <w:tcW w:w="595"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457</w:t>
            </w:r>
          </w:p>
        </w:tc>
        <w:tc>
          <w:tcPr>
            <w:tcW w:w="584"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-340</w:t>
            </w:r>
          </w:p>
        </w:tc>
        <w:tc>
          <w:tcPr>
            <w:tcW w:w="758" w:type="dxa"/>
            <w:tcBorders>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1 496</w:t>
            </w:r>
          </w:p>
        </w:tc>
        <w:tc>
          <w:tcPr>
            <w:tcW w:w="813" w:type="dxa"/>
            <w:tcBorders>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960</w:t>
            </w:r>
          </w:p>
        </w:tc>
      </w:tr>
      <w:tr w:rsidR="00943673" w:rsidRPr="00943673" w:rsidTr="00943673">
        <w:trPr>
          <w:trHeight w:val="220"/>
        </w:trPr>
        <w:tc>
          <w:tcPr>
            <w:tcW w:w="3392" w:type="dxa"/>
            <w:tcBorders>
              <w:top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Belgium</w:t>
            </w:r>
          </w:p>
        </w:tc>
        <w:tc>
          <w:tcPr>
            <w:tcW w:w="626" w:type="dxa"/>
            <w:tcBorders>
              <w:top w:val="single" w:sz="4" w:space="0" w:color="1F497D" w:themeColor="text2"/>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486</w:t>
            </w:r>
          </w:p>
        </w:tc>
        <w:tc>
          <w:tcPr>
            <w:tcW w:w="731"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244</w:t>
            </w:r>
          </w:p>
        </w:tc>
        <w:tc>
          <w:tcPr>
            <w:tcW w:w="595" w:type="dxa"/>
            <w:tcBorders>
              <w:top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335</w:t>
            </w:r>
          </w:p>
        </w:tc>
        <w:tc>
          <w:tcPr>
            <w:tcW w:w="612"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295</w:t>
            </w:r>
          </w:p>
        </w:tc>
        <w:tc>
          <w:tcPr>
            <w:tcW w:w="666"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385</w:t>
            </w:r>
          </w:p>
        </w:tc>
        <w:tc>
          <w:tcPr>
            <w:tcW w:w="667"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418</w:t>
            </w:r>
          </w:p>
        </w:tc>
        <w:tc>
          <w:tcPr>
            <w:tcW w:w="595" w:type="dxa"/>
            <w:tcBorders>
              <w:top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391</w:t>
            </w:r>
          </w:p>
        </w:tc>
        <w:tc>
          <w:tcPr>
            <w:tcW w:w="584" w:type="dxa"/>
            <w:gridSpan w:val="3"/>
            <w:tcBorders>
              <w:top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376</w:t>
            </w:r>
          </w:p>
        </w:tc>
        <w:tc>
          <w:tcPr>
            <w:tcW w:w="758" w:type="dxa"/>
            <w:tcBorders>
              <w:top w:val="single" w:sz="4" w:space="0" w:color="365F91" w:themeColor="accent1" w:themeShade="BF"/>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1 360</w:t>
            </w:r>
          </w:p>
        </w:tc>
        <w:tc>
          <w:tcPr>
            <w:tcW w:w="813" w:type="dxa"/>
            <w:tcBorders>
              <w:top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1 570</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Czech Republic</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158</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159</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149</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114</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132</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146</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157</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119</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581</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554</w:t>
            </w:r>
          </w:p>
        </w:tc>
      </w:tr>
      <w:tr w:rsidR="00943673" w:rsidRPr="00943673" w:rsidTr="00943673">
        <w:trPr>
          <w:trHeight w:val="220"/>
        </w:trPr>
        <w:tc>
          <w:tcPr>
            <w:tcW w:w="3392" w:type="dxa"/>
            <w:tcBorders>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International Markets</w:t>
            </w:r>
          </w:p>
        </w:tc>
        <w:tc>
          <w:tcPr>
            <w:tcW w:w="626" w:type="dxa"/>
            <w:tcBorders>
              <w:left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-163</w:t>
            </w:r>
          </w:p>
        </w:tc>
        <w:tc>
          <w:tcPr>
            <w:tcW w:w="731"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-41</w:t>
            </w:r>
          </w:p>
        </w:tc>
        <w:tc>
          <w:tcPr>
            <w:tcW w:w="595" w:type="dxa"/>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-38</w:t>
            </w:r>
          </w:p>
        </w:tc>
        <w:tc>
          <w:tcPr>
            <w:tcW w:w="612"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-87</w:t>
            </w:r>
          </w:p>
        </w:tc>
        <w:tc>
          <w:tcPr>
            <w:tcW w:w="667"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w:t>
            </w:r>
          </w:p>
        </w:tc>
        <w:tc>
          <w:tcPr>
            <w:tcW w:w="595" w:type="dxa"/>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w:t>
            </w:r>
          </w:p>
        </w:tc>
        <w:tc>
          <w:tcPr>
            <w:tcW w:w="584" w:type="dxa"/>
            <w:gridSpan w:val="3"/>
            <w:tcBorders>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-731</w:t>
            </w:r>
          </w:p>
        </w:tc>
        <w:tc>
          <w:tcPr>
            <w:tcW w:w="758" w:type="dxa"/>
            <w:tcBorders>
              <w:left w:val="single" w:sz="4" w:space="0" w:color="1F497D" w:themeColor="text2"/>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-260</w:t>
            </w:r>
          </w:p>
        </w:tc>
        <w:tc>
          <w:tcPr>
            <w:tcW w:w="813" w:type="dxa"/>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-853</w:t>
            </w:r>
          </w:p>
        </w:tc>
      </w:tr>
      <w:tr w:rsidR="00943673" w:rsidRPr="00943673" w:rsidTr="00943673">
        <w:trPr>
          <w:trHeight w:val="220"/>
        </w:trPr>
        <w:tc>
          <w:tcPr>
            <w:tcW w:w="3392" w:type="dxa"/>
            <w:tcBorders>
              <w:bottom w:val="single" w:sz="8" w:space="0" w:color="365F91" w:themeColor="accent1" w:themeShade="BF"/>
              <w:right w:val="single" w:sz="4"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 xml:space="preserve">          Group Centre</w:t>
            </w:r>
          </w:p>
        </w:tc>
        <w:tc>
          <w:tcPr>
            <w:tcW w:w="626" w:type="dxa"/>
            <w:tcBorders>
              <w:left w:val="single" w:sz="4" w:space="0" w:color="1F497D" w:themeColor="text2"/>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19</w:t>
            </w:r>
          </w:p>
        </w:tc>
        <w:tc>
          <w:tcPr>
            <w:tcW w:w="731"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-19</w:t>
            </w:r>
          </w:p>
        </w:tc>
        <w:tc>
          <w:tcPr>
            <w:tcW w:w="595" w:type="dxa"/>
            <w:tcBorders>
              <w:bottom w:val="single" w:sz="4" w:space="0" w:color="1F497D" w:themeColor="text2"/>
            </w:tcBorders>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-72</w:t>
            </w:r>
          </w:p>
        </w:tc>
        <w:tc>
          <w:tcPr>
            <w:tcW w:w="612"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-113</w:t>
            </w:r>
          </w:p>
        </w:tc>
        <w:tc>
          <w:tcPr>
            <w:tcW w:w="666"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-71</w:t>
            </w:r>
          </w:p>
        </w:tc>
        <w:tc>
          <w:tcPr>
            <w:tcW w:w="667"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-56</w:t>
            </w:r>
          </w:p>
        </w:tc>
        <w:tc>
          <w:tcPr>
            <w:tcW w:w="595" w:type="dxa"/>
            <w:tcBorders>
              <w:bottom w:val="single" w:sz="4"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-79</w:t>
            </w:r>
          </w:p>
        </w:tc>
        <w:tc>
          <w:tcPr>
            <w:tcW w:w="584" w:type="dxa"/>
            <w:gridSpan w:val="3"/>
            <w:tcBorders>
              <w:bottom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-104</w:t>
            </w:r>
          </w:p>
        </w:tc>
        <w:tc>
          <w:tcPr>
            <w:tcW w:w="758" w:type="dxa"/>
            <w:tcBorders>
              <w:left w:val="single" w:sz="4" w:space="0" w:color="1F497D" w:themeColor="text2"/>
              <w:bottom w:val="single" w:sz="4" w:space="0" w:color="365F91" w:themeColor="accent1" w:themeShade="BF"/>
            </w:tcBorders>
            <w:shd w:val="clear" w:color="auto" w:fill="FFFFFF" w:themeFill="background1"/>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-185</w:t>
            </w:r>
          </w:p>
        </w:tc>
        <w:tc>
          <w:tcPr>
            <w:tcW w:w="813" w:type="dxa"/>
            <w:tcBorders>
              <w:bottom w:val="single" w:sz="4" w:space="0" w:color="365F91" w:themeColor="accent1" w:themeShade="BF"/>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-311</w:t>
            </w:r>
          </w:p>
        </w:tc>
      </w:tr>
      <w:tr w:rsidR="00943673" w:rsidRPr="00943673" w:rsidTr="00943673">
        <w:trPr>
          <w:trHeight w:val="275"/>
        </w:trPr>
        <w:tc>
          <w:tcPr>
            <w:tcW w:w="3392" w:type="dxa"/>
            <w:tcBorders>
              <w:top w:val="single" w:sz="8" w:space="0" w:color="365F91" w:themeColor="accent1" w:themeShade="BF"/>
              <w:right w:val="single" w:sz="4" w:space="0" w:color="1F497D" w:themeColor="text2"/>
            </w:tcBorders>
            <w:vAlign w:val="center"/>
          </w:tcPr>
          <w:p w:rsidR="00943673" w:rsidRPr="00943673" w:rsidRDefault="00943673" w:rsidP="00943673">
            <w:pPr>
              <w:spacing w:before="120" w:after="0" w:line="240" w:lineRule="auto"/>
              <w:rPr>
                <w:rFonts w:ascii="Arial" w:eastAsia="Times New Roman" w:hAnsi="Arial"/>
                <w:bCs/>
                <w:snapToGrid w:val="0"/>
                <w:sz w:val="14"/>
                <w:szCs w:val="14"/>
                <w:vertAlign w:val="superscript"/>
                <w:lang w:val="en-GB"/>
              </w:rPr>
            </w:pPr>
            <w:r w:rsidRPr="00943673">
              <w:rPr>
                <w:rFonts w:ascii="Arial" w:eastAsia="Times New Roman" w:hAnsi="Arial"/>
                <w:bCs/>
                <w:snapToGrid w:val="0"/>
                <w:sz w:val="14"/>
                <w:szCs w:val="14"/>
                <w:lang w:val="en-GB"/>
              </w:rPr>
              <w:t>Basic earnings per share (EUR)</w:t>
            </w:r>
          </w:p>
        </w:tc>
        <w:tc>
          <w:tcPr>
            <w:tcW w:w="626" w:type="dxa"/>
            <w:tcBorders>
              <w:top w:val="single" w:sz="4" w:space="0" w:color="1F497D" w:themeColor="text2"/>
              <w:left w:val="single" w:sz="4" w:space="0" w:color="1F497D" w:themeColor="text2"/>
            </w:tcBorders>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1.19</w:t>
            </w:r>
          </w:p>
        </w:tc>
        <w:tc>
          <w:tcPr>
            <w:tcW w:w="731" w:type="dxa"/>
            <w:tcBorders>
              <w:top w:val="single" w:sz="4" w:space="0" w:color="1F497D" w:themeColor="text2"/>
            </w:tcBorders>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0.49</w:t>
            </w:r>
          </w:p>
        </w:tc>
        <w:tc>
          <w:tcPr>
            <w:tcW w:w="595" w:type="dxa"/>
            <w:tcBorders>
              <w:top w:val="single" w:sz="4" w:space="0" w:color="1F497D" w:themeColor="text2"/>
            </w:tcBorders>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0.69</w:t>
            </w:r>
          </w:p>
        </w:tc>
        <w:tc>
          <w:tcPr>
            <w:tcW w:w="612" w:type="dxa"/>
            <w:tcBorders>
              <w:top w:val="single" w:sz="4" w:space="0" w:color="1F497D" w:themeColor="text2"/>
            </w:tcBorders>
            <w:shd w:val="clear" w:color="auto" w:fill="auto"/>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-0.92</w:t>
            </w:r>
          </w:p>
        </w:tc>
        <w:tc>
          <w:tcPr>
            <w:tcW w:w="666" w:type="dxa"/>
            <w:tcBorders>
              <w:top w:val="single" w:sz="4" w:space="0" w:color="1F497D" w:themeColor="text2"/>
            </w:tcBorders>
            <w:shd w:val="clear" w:color="auto" w:fill="auto"/>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0.86</w:t>
            </w:r>
          </w:p>
        </w:tc>
        <w:tc>
          <w:tcPr>
            <w:tcW w:w="667" w:type="dxa"/>
            <w:tcBorders>
              <w:top w:val="single" w:sz="4" w:space="0" w:color="1F497D" w:themeColor="text2"/>
            </w:tcBorders>
            <w:shd w:val="clear" w:color="auto" w:fill="auto"/>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1.16</w:t>
            </w:r>
          </w:p>
        </w:tc>
        <w:tc>
          <w:tcPr>
            <w:tcW w:w="595" w:type="dxa"/>
            <w:tcBorders>
              <w:top w:val="single" w:sz="4" w:space="0" w:color="1F497D" w:themeColor="text2"/>
            </w:tcBorders>
            <w:shd w:val="clear" w:color="auto" w:fill="auto"/>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-0.30</w:t>
            </w:r>
          </w:p>
        </w:tc>
        <w:tc>
          <w:tcPr>
            <w:tcW w:w="584" w:type="dxa"/>
            <w:gridSpan w:val="3"/>
            <w:tcBorders>
              <w:top w:val="single" w:sz="4" w:space="0" w:color="1F497D" w:themeColor="text2"/>
              <w:right w:val="single" w:sz="4" w:space="0" w:color="1F497D" w:themeColor="text2"/>
            </w:tcBorders>
            <w:shd w:val="clear" w:color="auto" w:fill="DBE5F1" w:themeFill="accent1" w:themeFillTint="33"/>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-0.82</w:t>
            </w:r>
          </w:p>
        </w:tc>
        <w:tc>
          <w:tcPr>
            <w:tcW w:w="758" w:type="dxa"/>
            <w:tcBorders>
              <w:top w:val="single" w:sz="4" w:space="0" w:color="365F91" w:themeColor="accent1" w:themeShade="BF"/>
              <w:left w:val="single" w:sz="4" w:space="0" w:color="1F497D" w:themeColor="text2"/>
            </w:tcBorders>
            <w:shd w:val="clear" w:color="auto" w:fill="FFFFFF" w:themeFill="background1"/>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1.44</w:t>
            </w:r>
          </w:p>
        </w:tc>
        <w:tc>
          <w:tcPr>
            <w:tcW w:w="813" w:type="dxa"/>
            <w:tcBorders>
              <w:top w:val="single" w:sz="4" w:space="0" w:color="365F91" w:themeColor="accent1" w:themeShade="BF"/>
            </w:tcBorders>
            <w:shd w:val="clear" w:color="auto" w:fill="DBE5F1" w:themeFill="accent1" w:themeFillTint="33"/>
            <w:vAlign w:val="center"/>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0.90</w:t>
            </w:r>
          </w:p>
        </w:tc>
      </w:tr>
      <w:tr w:rsidR="00943673" w:rsidRPr="00943673" w:rsidTr="00943673">
        <w:trPr>
          <w:trHeight w:val="348"/>
        </w:trPr>
        <w:tc>
          <w:tcPr>
            <w:tcW w:w="3392" w:type="dxa"/>
            <w:tcBorders>
              <w:right w:val="single" w:sz="4" w:space="0" w:color="1F497D" w:themeColor="text2"/>
            </w:tcBorders>
          </w:tcPr>
          <w:p w:rsidR="00943673" w:rsidRPr="00943673" w:rsidRDefault="00943673" w:rsidP="00943673">
            <w:pPr>
              <w:spacing w:before="120" w:after="0" w:line="240" w:lineRule="auto"/>
              <w:rPr>
                <w:rFonts w:ascii="Arial" w:eastAsia="Times New Roman" w:hAnsi="Arial"/>
                <w:bCs/>
                <w:snapToGrid w:val="0"/>
                <w:sz w:val="14"/>
                <w:szCs w:val="14"/>
                <w:vertAlign w:val="superscript"/>
                <w:lang w:val="en-GB"/>
              </w:rPr>
            </w:pPr>
            <w:r w:rsidRPr="00943673">
              <w:rPr>
                <w:rFonts w:ascii="Arial" w:eastAsia="Times New Roman" w:hAnsi="Arial"/>
                <w:bCs/>
                <w:snapToGrid w:val="0"/>
                <w:sz w:val="14"/>
                <w:szCs w:val="14"/>
                <w:lang w:val="en-GB"/>
              </w:rPr>
              <w:t>Diluted earnings per share (EUR)</w:t>
            </w:r>
          </w:p>
        </w:tc>
        <w:tc>
          <w:tcPr>
            <w:tcW w:w="626" w:type="dxa"/>
            <w:tcBorders>
              <w:left w:val="single" w:sz="4" w:space="0" w:color="1F497D" w:themeColor="text2"/>
            </w:tcBorders>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1.19</w:t>
            </w:r>
          </w:p>
        </w:tc>
        <w:tc>
          <w:tcPr>
            <w:tcW w:w="731" w:type="dxa"/>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0.49</w:t>
            </w:r>
          </w:p>
        </w:tc>
        <w:tc>
          <w:tcPr>
            <w:tcW w:w="595" w:type="dxa"/>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0.69</w:t>
            </w:r>
          </w:p>
        </w:tc>
        <w:tc>
          <w:tcPr>
            <w:tcW w:w="612" w:type="dxa"/>
            <w:shd w:val="clear" w:color="auto" w:fill="auto"/>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-0.92</w:t>
            </w:r>
          </w:p>
        </w:tc>
        <w:tc>
          <w:tcPr>
            <w:tcW w:w="666" w:type="dxa"/>
            <w:shd w:val="clear" w:color="auto" w:fill="auto"/>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0.86</w:t>
            </w:r>
          </w:p>
        </w:tc>
        <w:tc>
          <w:tcPr>
            <w:tcW w:w="667" w:type="dxa"/>
            <w:shd w:val="clear" w:color="auto" w:fill="auto"/>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1.16</w:t>
            </w:r>
          </w:p>
        </w:tc>
        <w:tc>
          <w:tcPr>
            <w:tcW w:w="595" w:type="dxa"/>
            <w:shd w:val="clear" w:color="auto" w:fill="auto"/>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-0.30</w:t>
            </w:r>
          </w:p>
        </w:tc>
        <w:tc>
          <w:tcPr>
            <w:tcW w:w="584" w:type="dxa"/>
            <w:gridSpan w:val="3"/>
            <w:tcBorders>
              <w:right w:val="single" w:sz="4" w:space="0" w:color="1F497D" w:themeColor="text2"/>
            </w:tcBorders>
            <w:shd w:val="clear" w:color="auto" w:fill="DBE5F1" w:themeFill="accent1" w:themeFillTint="33"/>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-0.82</w:t>
            </w:r>
          </w:p>
        </w:tc>
        <w:tc>
          <w:tcPr>
            <w:tcW w:w="758" w:type="dxa"/>
            <w:tcBorders>
              <w:left w:val="single" w:sz="4" w:space="0" w:color="1F497D" w:themeColor="text2"/>
            </w:tcBorders>
            <w:shd w:val="clear" w:color="auto" w:fill="FFFFFF" w:themeFill="background1"/>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1.44</w:t>
            </w:r>
          </w:p>
        </w:tc>
        <w:tc>
          <w:tcPr>
            <w:tcW w:w="813" w:type="dxa"/>
            <w:shd w:val="clear" w:color="auto" w:fill="DBE5F1" w:themeFill="accent1" w:themeFillTint="33"/>
          </w:tcPr>
          <w:p w:rsidR="00943673" w:rsidRPr="00943673" w:rsidRDefault="00943673" w:rsidP="00943673">
            <w:pPr>
              <w:spacing w:before="120" w:after="0" w:line="240" w:lineRule="auto"/>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0.90</w:t>
            </w:r>
          </w:p>
        </w:tc>
      </w:tr>
      <w:tr w:rsidR="00943673" w:rsidRPr="00943673" w:rsidTr="00943673">
        <w:trPr>
          <w:trHeight w:val="222"/>
        </w:trPr>
        <w:tc>
          <w:tcPr>
            <w:tcW w:w="3392" w:type="dxa"/>
            <w:tcBorders>
              <w:right w:val="single" w:sz="8" w:space="0" w:color="FFFFFF" w:themeColor="background1"/>
            </w:tcBorders>
            <w:shd w:val="clear" w:color="auto" w:fill="365F91" w:themeFill="accent1" w:themeFillShade="BF"/>
            <w:vAlign w:val="center"/>
          </w:tcPr>
          <w:p w:rsidR="00943673" w:rsidRPr="00943673" w:rsidRDefault="00943673" w:rsidP="00943673">
            <w:pPr>
              <w:spacing w:after="0" w:line="240" w:lineRule="auto"/>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Legacy business and own credit risk impact (after tax)</w:t>
            </w:r>
          </w:p>
        </w:tc>
        <w:tc>
          <w:tcPr>
            <w:tcW w:w="626" w:type="dxa"/>
            <w:tcBorders>
              <w:lef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731" w:type="dxa"/>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595" w:type="dxa"/>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612" w:type="dxa"/>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666" w:type="dxa"/>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667" w:type="dxa"/>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610" w:type="dxa"/>
            <w:gridSpan w:val="2"/>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540" w:type="dxa"/>
            <w:tcBorders>
              <w:righ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787" w:type="dxa"/>
            <w:gridSpan w:val="2"/>
            <w:tcBorders>
              <w:lef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c>
          <w:tcPr>
            <w:tcW w:w="813" w:type="dxa"/>
            <w:shd w:val="clear" w:color="auto" w:fill="365F91" w:themeFill="accent1" w:themeFillShade="BF"/>
            <w:tcMar>
              <w:right w:w="142" w:type="dxa"/>
            </w:tcMar>
            <w:vAlign w:val="bottom"/>
          </w:tcPr>
          <w:p w:rsidR="00943673" w:rsidRPr="00943673" w:rsidRDefault="00943673" w:rsidP="00943673">
            <w:pPr>
              <w:spacing w:after="0" w:line="240" w:lineRule="auto"/>
              <w:ind w:hanging="234"/>
              <w:jc w:val="right"/>
              <w:rPr>
                <w:rFonts w:ascii="Arial" w:eastAsia="Times New Roman" w:hAnsi="Arial"/>
                <w:bCs/>
                <w:snapToGrid w:val="0"/>
                <w:color w:val="FFFFFF" w:themeColor="background1"/>
                <w:sz w:val="14"/>
                <w:szCs w:val="14"/>
                <w:lang w:val="en-GB"/>
              </w:rPr>
            </w:pPr>
          </w:p>
        </w:tc>
      </w:tr>
      <w:tr w:rsidR="00943673" w:rsidRPr="00943673" w:rsidTr="00943673">
        <w:trPr>
          <w:trHeight w:val="220"/>
        </w:trPr>
        <w:tc>
          <w:tcPr>
            <w:tcW w:w="3392" w:type="dxa"/>
            <w:tcBorders>
              <w:right w:val="single" w:sz="8"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Legacy – gains/losses on CDOs</w:t>
            </w:r>
          </w:p>
        </w:tc>
        <w:tc>
          <w:tcPr>
            <w:tcW w:w="626" w:type="dxa"/>
            <w:tcBorders>
              <w:left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138</w:t>
            </w:r>
          </w:p>
        </w:tc>
        <w:tc>
          <w:tcPr>
            <w:tcW w:w="731"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-39</w:t>
            </w:r>
          </w:p>
        </w:tc>
        <w:tc>
          <w:tcPr>
            <w:tcW w:w="595"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280</w:t>
            </w:r>
          </w:p>
        </w:tc>
        <w:tc>
          <w:tcPr>
            <w:tcW w:w="612"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46</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165</w:t>
            </w:r>
          </w:p>
        </w:tc>
        <w:tc>
          <w:tcPr>
            <w:tcW w:w="667"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180</w:t>
            </w:r>
          </w:p>
        </w:tc>
        <w:tc>
          <w:tcPr>
            <w:tcW w:w="610" w:type="dxa"/>
            <w:gridSpan w:val="2"/>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w:t>
            </w:r>
          </w:p>
        </w:tc>
        <w:tc>
          <w:tcPr>
            <w:tcW w:w="540" w:type="dxa"/>
            <w:tcBorders>
              <w:right w:val="single" w:sz="8" w:space="0" w:color="1F497D" w:themeColor="text2"/>
            </w:tcBorders>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65</w:t>
            </w:r>
          </w:p>
        </w:tc>
        <w:tc>
          <w:tcPr>
            <w:tcW w:w="787" w:type="dxa"/>
            <w:gridSpan w:val="2"/>
            <w:tcBorders>
              <w:left w:val="single" w:sz="8" w:space="0" w:color="1F497D" w:themeColor="text2"/>
            </w:tcBorders>
            <w:shd w:val="clear" w:color="auto" w:fill="FFFFFF" w:themeFill="background1"/>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425</w:t>
            </w:r>
          </w:p>
        </w:tc>
        <w:tc>
          <w:tcPr>
            <w:tcW w:w="813" w:type="dxa"/>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446</w:t>
            </w:r>
          </w:p>
        </w:tc>
      </w:tr>
      <w:tr w:rsidR="00943673" w:rsidRPr="00943673" w:rsidTr="00943673">
        <w:trPr>
          <w:trHeight w:val="220"/>
        </w:trPr>
        <w:tc>
          <w:tcPr>
            <w:tcW w:w="3392" w:type="dxa"/>
            <w:tcBorders>
              <w:right w:val="single" w:sz="8"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Legacy – divestments</w:t>
            </w:r>
          </w:p>
        </w:tc>
        <w:tc>
          <w:tcPr>
            <w:tcW w:w="626" w:type="dxa"/>
            <w:tcBorders>
              <w:left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81</w:t>
            </w:r>
          </w:p>
        </w:tc>
        <w:tc>
          <w:tcPr>
            <w:tcW w:w="731"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-884</w:t>
            </w:r>
          </w:p>
        </w:tc>
        <w:tc>
          <w:tcPr>
            <w:tcW w:w="595"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w:t>
            </w:r>
          </w:p>
        </w:tc>
        <w:tc>
          <w:tcPr>
            <w:tcW w:w="612"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22</w:t>
            </w:r>
          </w:p>
        </w:tc>
        <w:tc>
          <w:tcPr>
            <w:tcW w:w="667"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-128</w:t>
            </w:r>
          </w:p>
        </w:tc>
        <w:tc>
          <w:tcPr>
            <w:tcW w:w="610" w:type="dxa"/>
            <w:gridSpan w:val="2"/>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-231</w:t>
            </w:r>
          </w:p>
        </w:tc>
        <w:tc>
          <w:tcPr>
            <w:tcW w:w="540" w:type="dxa"/>
            <w:tcBorders>
              <w:right w:val="single" w:sz="8" w:space="0" w:color="1F497D" w:themeColor="text2"/>
            </w:tcBorders>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-10</w:t>
            </w:r>
          </w:p>
        </w:tc>
        <w:tc>
          <w:tcPr>
            <w:tcW w:w="787" w:type="dxa"/>
            <w:gridSpan w:val="2"/>
            <w:tcBorders>
              <w:left w:val="single" w:sz="8" w:space="0" w:color="1F497D" w:themeColor="text2"/>
            </w:tcBorders>
            <w:shd w:val="clear" w:color="auto" w:fill="FFFFFF" w:themeFill="background1"/>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-778</w:t>
            </w:r>
          </w:p>
        </w:tc>
        <w:tc>
          <w:tcPr>
            <w:tcW w:w="813" w:type="dxa"/>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-348</w:t>
            </w:r>
          </w:p>
        </w:tc>
      </w:tr>
      <w:tr w:rsidR="00943673" w:rsidRPr="00943673" w:rsidTr="00943673">
        <w:trPr>
          <w:trHeight w:val="220"/>
        </w:trPr>
        <w:tc>
          <w:tcPr>
            <w:tcW w:w="3392" w:type="dxa"/>
            <w:tcBorders>
              <w:right w:val="single" w:sz="8" w:space="0" w:color="1F497D" w:themeColor="text2"/>
            </w:tcBorders>
            <w:vAlign w:val="center"/>
          </w:tcPr>
          <w:p w:rsidR="00943673" w:rsidRPr="00943673" w:rsidRDefault="00943673" w:rsidP="00943673">
            <w:pPr>
              <w:spacing w:after="0" w:line="240" w:lineRule="auto"/>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MTM of own credit risk</w:t>
            </w:r>
          </w:p>
        </w:tc>
        <w:tc>
          <w:tcPr>
            <w:tcW w:w="626" w:type="dxa"/>
            <w:tcBorders>
              <w:left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-340</w:t>
            </w:r>
          </w:p>
        </w:tc>
        <w:tc>
          <w:tcPr>
            <w:tcW w:w="731"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41</w:t>
            </w:r>
          </w:p>
        </w:tc>
        <w:tc>
          <w:tcPr>
            <w:tcW w:w="595" w:type="dxa"/>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-144</w:t>
            </w:r>
          </w:p>
        </w:tc>
        <w:tc>
          <w:tcPr>
            <w:tcW w:w="612"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-87</w:t>
            </w:r>
          </w:p>
        </w:tc>
        <w:tc>
          <w:tcPr>
            <w:tcW w:w="666" w:type="dxa"/>
            <w:shd w:val="clear" w:color="auto" w:fill="auto"/>
            <w:vAlign w:val="center"/>
          </w:tcPr>
          <w:p w:rsidR="00943673" w:rsidRPr="00943673" w:rsidRDefault="00943673" w:rsidP="00943673">
            <w:pPr>
              <w:spacing w:after="0" w:line="240" w:lineRule="auto"/>
              <w:jc w:val="right"/>
              <w:rPr>
                <w:rFonts w:ascii="Arial" w:eastAsia="Times New Roman" w:hAnsi="Arial" w:cs="Arial"/>
                <w:sz w:val="14"/>
                <w:szCs w:val="14"/>
                <w:lang w:val="en-GB"/>
              </w:rPr>
            </w:pPr>
            <w:r w:rsidRPr="00943673">
              <w:rPr>
                <w:rFonts w:ascii="Arial" w:eastAsia="Times New Roman" w:hAnsi="Arial" w:cs="Arial"/>
                <w:sz w:val="14"/>
                <w:szCs w:val="14"/>
                <w:lang w:val="en-GB"/>
              </w:rPr>
              <w:t>-26</w:t>
            </w:r>
          </w:p>
        </w:tc>
        <w:tc>
          <w:tcPr>
            <w:tcW w:w="667" w:type="dxa"/>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-20</w:t>
            </w:r>
          </w:p>
        </w:tc>
        <w:tc>
          <w:tcPr>
            <w:tcW w:w="610" w:type="dxa"/>
            <w:gridSpan w:val="2"/>
            <w:shd w:val="clear" w:color="auto" w:fill="auto"/>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12</w:t>
            </w:r>
          </w:p>
        </w:tc>
        <w:tc>
          <w:tcPr>
            <w:tcW w:w="540" w:type="dxa"/>
            <w:tcBorders>
              <w:right w:val="single" w:sz="8" w:space="0" w:color="1F497D" w:themeColor="text2"/>
            </w:tcBorders>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-9</w:t>
            </w:r>
          </w:p>
        </w:tc>
        <w:tc>
          <w:tcPr>
            <w:tcW w:w="787" w:type="dxa"/>
            <w:gridSpan w:val="2"/>
            <w:tcBorders>
              <w:left w:val="single" w:sz="8" w:space="0" w:color="1F497D" w:themeColor="text2"/>
            </w:tcBorders>
            <w:shd w:val="clear" w:color="auto" w:fill="FFFFFF" w:themeFill="background1"/>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-531</w:t>
            </w:r>
          </w:p>
        </w:tc>
        <w:tc>
          <w:tcPr>
            <w:tcW w:w="813" w:type="dxa"/>
            <w:shd w:val="clear" w:color="auto" w:fill="DBE5F1" w:themeFill="accent1" w:themeFillTint="33"/>
            <w:vAlign w:val="center"/>
          </w:tcPr>
          <w:p w:rsidR="00943673" w:rsidRPr="00943673" w:rsidRDefault="00943673" w:rsidP="00943673">
            <w:pPr>
              <w:spacing w:after="0" w:line="240" w:lineRule="auto"/>
              <w:ind w:hanging="234"/>
              <w:jc w:val="right"/>
              <w:rPr>
                <w:rFonts w:ascii="Arial" w:eastAsia="Times New Roman" w:hAnsi="Arial"/>
                <w:bCs/>
                <w:snapToGrid w:val="0"/>
                <w:sz w:val="14"/>
                <w:szCs w:val="14"/>
                <w:lang w:val="en-GB"/>
              </w:rPr>
            </w:pPr>
            <w:r w:rsidRPr="00943673">
              <w:rPr>
                <w:rFonts w:ascii="Arial" w:eastAsia="Times New Roman" w:hAnsi="Arial"/>
                <w:bCs/>
                <w:snapToGrid w:val="0"/>
                <w:sz w:val="14"/>
                <w:szCs w:val="14"/>
                <w:lang w:val="en-GB"/>
              </w:rPr>
              <w:t>-43</w:t>
            </w:r>
          </w:p>
        </w:tc>
      </w:tr>
      <w:tr w:rsidR="00943673" w:rsidRPr="00943673" w:rsidTr="00943673">
        <w:trPr>
          <w:trHeight w:val="220"/>
        </w:trPr>
        <w:tc>
          <w:tcPr>
            <w:tcW w:w="3392" w:type="dxa"/>
            <w:tcBorders>
              <w:right w:val="single" w:sz="8" w:space="0" w:color="FFFFFF" w:themeColor="background1"/>
            </w:tcBorders>
            <w:shd w:val="clear" w:color="auto" w:fill="365F91" w:themeFill="accent1" w:themeFillShade="BF"/>
            <w:vAlign w:val="center"/>
          </w:tcPr>
          <w:p w:rsidR="00943673" w:rsidRPr="00943673" w:rsidRDefault="00943673" w:rsidP="00943673">
            <w:pPr>
              <w:spacing w:after="0" w:line="240" w:lineRule="auto"/>
              <w:rPr>
                <w:rFonts w:ascii="Arial" w:eastAsia="Times New Roman" w:hAnsi="Arial"/>
                <w:bCs/>
                <w:snapToGrid w:val="0"/>
                <w:color w:val="FFFFFF" w:themeColor="background1"/>
                <w:sz w:val="14"/>
                <w:szCs w:val="14"/>
                <w:lang w:val="en-GB"/>
              </w:rPr>
            </w:pPr>
            <w:r w:rsidRPr="00943673">
              <w:rPr>
                <w:rFonts w:ascii="Arial" w:eastAsia="Times New Roman" w:hAnsi="Arial"/>
                <w:bCs/>
                <w:snapToGrid w:val="0"/>
                <w:color w:val="FFFFFF" w:themeColor="background1"/>
                <w:sz w:val="14"/>
                <w:szCs w:val="14"/>
                <w:lang w:val="en-GB"/>
              </w:rPr>
              <w:t>Net result (IFRS)</w:t>
            </w:r>
          </w:p>
        </w:tc>
        <w:tc>
          <w:tcPr>
            <w:tcW w:w="626" w:type="dxa"/>
            <w:tcBorders>
              <w:lef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731"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595"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12"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66"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67"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610" w:type="dxa"/>
            <w:gridSpan w:val="2"/>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540" w:type="dxa"/>
            <w:tcBorders>
              <w:righ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787" w:type="dxa"/>
            <w:gridSpan w:val="2"/>
            <w:tcBorders>
              <w:left w:val="single" w:sz="8" w:space="0" w:color="FFFFFF" w:themeColor="background1"/>
            </w:tcBorders>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c>
          <w:tcPr>
            <w:tcW w:w="813" w:type="dxa"/>
            <w:shd w:val="clear" w:color="auto" w:fill="365F91" w:themeFill="accent1" w:themeFillShade="BF"/>
            <w:vAlign w:val="bottom"/>
          </w:tcPr>
          <w:p w:rsidR="00943673" w:rsidRPr="00943673" w:rsidRDefault="00943673" w:rsidP="00943673">
            <w:pPr>
              <w:spacing w:after="0" w:line="240" w:lineRule="auto"/>
              <w:jc w:val="right"/>
              <w:rPr>
                <w:rFonts w:ascii="Arial" w:eastAsia="Times New Roman" w:hAnsi="Arial"/>
                <w:bCs/>
                <w:snapToGrid w:val="0"/>
                <w:color w:val="FFFFFF" w:themeColor="background1"/>
                <w:sz w:val="14"/>
                <w:szCs w:val="14"/>
                <w:lang w:val="en-GB"/>
              </w:rPr>
            </w:pPr>
          </w:p>
        </w:tc>
      </w:tr>
      <w:tr w:rsidR="00943673" w:rsidRPr="00943673" w:rsidTr="00943673">
        <w:trPr>
          <w:trHeight w:val="220"/>
        </w:trPr>
        <w:tc>
          <w:tcPr>
            <w:tcW w:w="3392" w:type="dxa"/>
            <w:tcBorders>
              <w:bottom w:val="single" w:sz="8" w:space="0" w:color="1F497D" w:themeColor="text2"/>
              <w:right w:val="single" w:sz="8" w:space="0" w:color="1F497D" w:themeColor="text2"/>
            </w:tcBorders>
            <w:vAlign w:val="center"/>
          </w:tcPr>
          <w:p w:rsidR="00943673" w:rsidRPr="00943673" w:rsidRDefault="00943673" w:rsidP="00943673">
            <w:pPr>
              <w:spacing w:after="0" w:line="240" w:lineRule="auto"/>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Result after tax, attributable to equity holders of the parent (IFRS)</w:t>
            </w:r>
          </w:p>
        </w:tc>
        <w:tc>
          <w:tcPr>
            <w:tcW w:w="626" w:type="dxa"/>
            <w:tcBorders>
              <w:left w:val="single" w:sz="8" w:space="0" w:color="1F497D" w:themeColor="text2"/>
              <w:bottom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380</w:t>
            </w:r>
          </w:p>
        </w:tc>
        <w:tc>
          <w:tcPr>
            <w:tcW w:w="731" w:type="dxa"/>
            <w:tcBorders>
              <w:bottom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-539</w:t>
            </w:r>
          </w:p>
        </w:tc>
        <w:tc>
          <w:tcPr>
            <w:tcW w:w="595" w:type="dxa"/>
            <w:tcBorders>
              <w:bottom w:val="single" w:sz="8" w:space="0" w:color="1F497D" w:themeColor="text2"/>
            </w:tcBorders>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531</w:t>
            </w:r>
          </w:p>
        </w:tc>
        <w:tc>
          <w:tcPr>
            <w:tcW w:w="612" w:type="dxa"/>
            <w:tcBorders>
              <w:bottom w:val="single" w:sz="8"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240</w:t>
            </w:r>
          </w:p>
        </w:tc>
        <w:tc>
          <w:tcPr>
            <w:tcW w:w="666" w:type="dxa"/>
            <w:tcBorders>
              <w:bottom w:val="single" w:sz="8"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520</w:t>
            </w:r>
          </w:p>
        </w:tc>
        <w:tc>
          <w:tcPr>
            <w:tcW w:w="667" w:type="dxa"/>
            <w:tcBorders>
              <w:bottom w:val="single" w:sz="8"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517</w:t>
            </w:r>
          </w:p>
        </w:tc>
        <w:tc>
          <w:tcPr>
            <w:tcW w:w="610" w:type="dxa"/>
            <w:gridSpan w:val="2"/>
            <w:tcBorders>
              <w:bottom w:val="single" w:sz="8"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272</w:t>
            </w:r>
          </w:p>
        </w:tc>
        <w:tc>
          <w:tcPr>
            <w:tcW w:w="540" w:type="dxa"/>
            <w:tcBorders>
              <w:bottom w:val="single" w:sz="8" w:space="0" w:color="1F497D" w:themeColor="text2"/>
              <w:right w:val="single" w:sz="8"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-294</w:t>
            </w:r>
          </w:p>
        </w:tc>
        <w:tc>
          <w:tcPr>
            <w:tcW w:w="787" w:type="dxa"/>
            <w:gridSpan w:val="2"/>
            <w:tcBorders>
              <w:left w:val="single" w:sz="8" w:space="0" w:color="1F497D" w:themeColor="text2"/>
              <w:bottom w:val="single" w:sz="8" w:space="0" w:color="1F497D" w:themeColor="text2"/>
            </w:tcBorders>
            <w:shd w:val="clear" w:color="auto" w:fill="auto"/>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612</w:t>
            </w:r>
          </w:p>
        </w:tc>
        <w:tc>
          <w:tcPr>
            <w:tcW w:w="813" w:type="dxa"/>
            <w:tcBorders>
              <w:bottom w:val="single" w:sz="8" w:space="0" w:color="1F497D" w:themeColor="text2"/>
            </w:tcBorders>
            <w:shd w:val="clear" w:color="auto" w:fill="DBE5F1" w:themeFill="accent1" w:themeFillTint="33"/>
            <w:vAlign w:val="center"/>
          </w:tcPr>
          <w:p w:rsidR="00943673" w:rsidRPr="00943673" w:rsidRDefault="00943673" w:rsidP="00943673">
            <w:pPr>
              <w:spacing w:after="0" w:line="240" w:lineRule="auto"/>
              <w:jc w:val="right"/>
              <w:rPr>
                <w:rFonts w:ascii="Arial" w:eastAsia="Times New Roman" w:hAnsi="Arial"/>
                <w:b/>
                <w:bCs/>
                <w:snapToGrid w:val="0"/>
                <w:sz w:val="14"/>
                <w:szCs w:val="14"/>
                <w:lang w:val="en-GB"/>
              </w:rPr>
            </w:pPr>
            <w:r w:rsidRPr="00943673">
              <w:rPr>
                <w:rFonts w:ascii="Arial" w:eastAsia="Times New Roman" w:hAnsi="Arial"/>
                <w:b/>
                <w:bCs/>
                <w:snapToGrid w:val="0"/>
                <w:sz w:val="14"/>
                <w:szCs w:val="14"/>
                <w:lang w:val="en-GB"/>
              </w:rPr>
              <w:t>1 015</w:t>
            </w:r>
          </w:p>
        </w:tc>
      </w:tr>
    </w:tbl>
    <w:p w:rsidR="00943673" w:rsidRPr="00485E48" w:rsidRDefault="00943673" w:rsidP="002A5D6D">
      <w:pPr>
        <w:autoSpaceDE w:val="0"/>
        <w:autoSpaceDN w:val="0"/>
        <w:adjustRightInd w:val="0"/>
        <w:spacing w:after="120" w:line="240" w:lineRule="auto"/>
        <w:ind w:left="992" w:right="6"/>
        <w:jc w:val="both"/>
        <w:rPr>
          <w:rFonts w:cs="Arial"/>
          <w:color w:val="003768"/>
          <w:sz w:val="20"/>
          <w:szCs w:val="20"/>
          <w:lang w:val="en-GB"/>
        </w:rPr>
      </w:pPr>
    </w:p>
    <w:p w:rsidR="00943673" w:rsidRDefault="00943673">
      <w:pPr>
        <w:spacing w:after="0" w:line="240" w:lineRule="auto"/>
        <w:rPr>
          <w:rFonts w:ascii="Rockwell" w:hAnsi="Rockwell" w:cs="Arial"/>
          <w:b/>
          <w:bCs/>
          <w:color w:val="003366"/>
          <w:sz w:val="28"/>
          <w:szCs w:val="28"/>
        </w:rPr>
      </w:pPr>
      <w:r>
        <w:rPr>
          <w:rFonts w:ascii="Rockwell" w:hAnsi="Rockwell" w:cs="Arial"/>
          <w:b/>
          <w:bCs/>
          <w:color w:val="003366"/>
          <w:sz w:val="28"/>
          <w:szCs w:val="28"/>
        </w:rPr>
        <w:br w:type="page"/>
      </w:r>
    </w:p>
    <w:p w:rsidR="00485E48" w:rsidRPr="00485E48" w:rsidRDefault="00485E48" w:rsidP="00703B68">
      <w:pPr>
        <w:autoSpaceDE w:val="0"/>
        <w:autoSpaceDN w:val="0"/>
        <w:adjustRightInd w:val="0"/>
        <w:spacing w:after="120" w:line="240" w:lineRule="auto"/>
        <w:ind w:left="992" w:right="6"/>
        <w:jc w:val="both"/>
        <w:rPr>
          <w:rFonts w:ascii="Rockwell" w:hAnsi="Rockwell" w:cs="Arial"/>
          <w:b/>
          <w:bCs/>
          <w:color w:val="003366"/>
          <w:sz w:val="28"/>
          <w:szCs w:val="28"/>
        </w:rPr>
      </w:pPr>
      <w:r w:rsidRPr="00485E48">
        <w:rPr>
          <w:rFonts w:ascii="Rockwell" w:hAnsi="Rockwell" w:cs="Arial"/>
          <w:b/>
          <w:bCs/>
          <w:color w:val="003366"/>
          <w:sz w:val="28"/>
          <w:szCs w:val="28"/>
        </w:rPr>
        <w:lastRenderedPageBreak/>
        <w:t>Analysis of the quarter under review (4Q2013)</w:t>
      </w:r>
    </w:p>
    <w:p w:rsidR="00A8667B" w:rsidRDefault="00A8667B" w:rsidP="002A5D6D">
      <w:pPr>
        <w:autoSpaceDE w:val="0"/>
        <w:autoSpaceDN w:val="0"/>
        <w:adjustRightInd w:val="0"/>
        <w:spacing w:after="120" w:line="240" w:lineRule="auto"/>
        <w:ind w:left="992" w:right="6"/>
        <w:jc w:val="both"/>
        <w:rPr>
          <w:rFonts w:cs="Arial"/>
          <w:color w:val="003768"/>
          <w:sz w:val="16"/>
          <w:szCs w:val="16"/>
        </w:rPr>
      </w:pPr>
      <w:r w:rsidRPr="00A8667B">
        <w:rPr>
          <w:rFonts w:cs="Arial"/>
          <w:color w:val="003768"/>
          <w:sz w:val="16"/>
          <w:szCs w:val="16"/>
        </w:rPr>
        <w:t>Adjusted net result (in millions of EUR)                                                         Adjusted net result by business unit, 4Q 2013 (in millions of EUR)</w:t>
      </w:r>
    </w:p>
    <w:p w:rsidR="00A8667B" w:rsidRPr="00A8667B" w:rsidRDefault="00A8667B" w:rsidP="002A5D6D">
      <w:pPr>
        <w:autoSpaceDE w:val="0"/>
        <w:autoSpaceDN w:val="0"/>
        <w:adjustRightInd w:val="0"/>
        <w:spacing w:after="120" w:line="240" w:lineRule="auto"/>
        <w:ind w:left="992" w:right="6"/>
        <w:jc w:val="both"/>
        <w:rPr>
          <w:rFonts w:cs="Arial"/>
          <w:color w:val="003768"/>
        </w:rPr>
      </w:pPr>
      <w:r w:rsidRPr="00E903B5">
        <w:rPr>
          <w:noProof/>
          <w:lang w:val="nl-BE" w:eastAsia="nl-BE"/>
        </w:rPr>
        <w:drawing>
          <wp:inline distT="0" distB="0" distL="0" distR="0" wp14:anchorId="214EBFBF" wp14:editId="651ECA9E">
            <wp:extent cx="2905760" cy="2281555"/>
            <wp:effectExtent l="0" t="0" r="8890" b="444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5760" cy="2281555"/>
                    </a:xfrm>
                    <a:prstGeom prst="rect">
                      <a:avLst/>
                    </a:prstGeom>
                    <a:noFill/>
                    <a:ln>
                      <a:noFill/>
                    </a:ln>
                  </pic:spPr>
                </pic:pic>
              </a:graphicData>
            </a:graphic>
          </wp:inline>
        </w:drawing>
      </w:r>
      <w:r w:rsidR="0076763D" w:rsidRPr="00E903B5">
        <w:rPr>
          <w:noProof/>
          <w:lang w:val="nl-BE" w:eastAsia="nl-BE"/>
        </w:rPr>
        <w:drawing>
          <wp:inline distT="0" distB="0" distL="0" distR="0" wp14:anchorId="3655695C" wp14:editId="05B7C7D1">
            <wp:extent cx="3219450" cy="22256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9450" cy="2225675"/>
                    </a:xfrm>
                    <a:prstGeom prst="rect">
                      <a:avLst/>
                    </a:prstGeom>
                    <a:noFill/>
                    <a:ln>
                      <a:noFill/>
                    </a:ln>
                  </pic:spPr>
                </pic:pic>
              </a:graphicData>
            </a:graphic>
          </wp:inline>
        </w:drawing>
      </w:r>
    </w:p>
    <w:p w:rsidR="00A8667B" w:rsidRDefault="00A8667B" w:rsidP="00531676">
      <w:pPr>
        <w:autoSpaceDE w:val="0"/>
        <w:autoSpaceDN w:val="0"/>
        <w:adjustRightInd w:val="0"/>
        <w:spacing w:after="120" w:line="240" w:lineRule="auto"/>
        <w:ind w:left="992" w:right="6"/>
        <w:jc w:val="both"/>
        <w:rPr>
          <w:rFonts w:cs="Arial"/>
          <w:b/>
          <w:bCs/>
          <w:color w:val="003768"/>
          <w:sz w:val="20"/>
          <w:szCs w:val="20"/>
        </w:rPr>
      </w:pPr>
      <w:r w:rsidRPr="00A8667B">
        <w:rPr>
          <w:rFonts w:cs="Arial"/>
          <w:b/>
          <w:bCs/>
          <w:color w:val="003768"/>
          <w:sz w:val="20"/>
          <w:szCs w:val="20"/>
        </w:rPr>
        <w:t>The net result for the quarter under review amounted to -294 million euros. Excluding the legacy business and the impact of own credit risk, the adjusted net result came to -340 million euros, as opposed to 457 million euros in 3Q2013 and 279 million euros in 4Q2012.</w:t>
      </w:r>
    </w:p>
    <w:p w:rsidR="00A8667B" w:rsidRPr="00A8667B" w:rsidRDefault="00A8667B" w:rsidP="002A5D6D">
      <w:pPr>
        <w:autoSpaceDE w:val="0"/>
        <w:autoSpaceDN w:val="0"/>
        <w:adjustRightInd w:val="0"/>
        <w:spacing w:after="120" w:line="240" w:lineRule="auto"/>
        <w:ind w:left="992" w:right="6"/>
        <w:jc w:val="both"/>
        <w:rPr>
          <w:rFonts w:cs="Arial"/>
          <w:b/>
          <w:color w:val="003768"/>
          <w:sz w:val="20"/>
          <w:szCs w:val="20"/>
        </w:rPr>
      </w:pPr>
      <w:r w:rsidRPr="00A8667B">
        <w:rPr>
          <w:rFonts w:cs="Arial"/>
          <w:b/>
          <w:color w:val="003768"/>
          <w:sz w:val="20"/>
          <w:szCs w:val="20"/>
        </w:rPr>
        <w:t>Total income (adjusted net result)</w:t>
      </w:r>
    </w:p>
    <w:p w:rsidR="00A8667B" w:rsidRPr="00A8667B" w:rsidRDefault="00A8667B" w:rsidP="003B367B">
      <w:pPr>
        <w:pStyle w:val="Lijstalinea"/>
        <w:numPr>
          <w:ilvl w:val="0"/>
          <w:numId w:val="4"/>
        </w:numPr>
        <w:autoSpaceDE w:val="0"/>
        <w:autoSpaceDN w:val="0"/>
        <w:adjustRightInd w:val="0"/>
        <w:spacing w:after="60" w:line="240" w:lineRule="auto"/>
        <w:ind w:right="6"/>
        <w:contextualSpacing w:val="0"/>
        <w:jc w:val="both"/>
        <w:rPr>
          <w:rFonts w:cs="Arial"/>
          <w:color w:val="003768"/>
          <w:sz w:val="20"/>
          <w:szCs w:val="20"/>
        </w:rPr>
      </w:pPr>
      <w:r w:rsidRPr="00A8667B">
        <w:rPr>
          <w:rFonts w:cs="Arial"/>
          <w:color w:val="003768"/>
          <w:sz w:val="20"/>
          <w:szCs w:val="20"/>
        </w:rPr>
        <w:t xml:space="preserve">The year-on-year performance was affected in part by the deconsolidation of </w:t>
      </w:r>
      <w:proofErr w:type="spellStart"/>
      <w:r w:rsidRPr="00A8667B">
        <w:rPr>
          <w:rFonts w:cs="Arial"/>
          <w:color w:val="003768"/>
          <w:sz w:val="20"/>
          <w:szCs w:val="20"/>
        </w:rPr>
        <w:t>Kredyt</w:t>
      </w:r>
      <w:proofErr w:type="spellEnd"/>
      <w:r w:rsidRPr="00A8667B">
        <w:rPr>
          <w:rFonts w:cs="Arial"/>
          <w:color w:val="003768"/>
          <w:sz w:val="20"/>
          <w:szCs w:val="20"/>
        </w:rPr>
        <w:t xml:space="preserve"> Bank, WARTA, </w:t>
      </w:r>
      <w:proofErr w:type="spellStart"/>
      <w:r w:rsidRPr="00A8667B">
        <w:rPr>
          <w:rFonts w:cs="Arial"/>
          <w:color w:val="003768"/>
          <w:sz w:val="20"/>
          <w:szCs w:val="20"/>
        </w:rPr>
        <w:t>Żagiel</w:t>
      </w:r>
      <w:proofErr w:type="spellEnd"/>
      <w:r w:rsidRPr="00A8667B">
        <w:rPr>
          <w:rFonts w:cs="Arial"/>
          <w:color w:val="003768"/>
          <w:sz w:val="20"/>
          <w:szCs w:val="20"/>
        </w:rPr>
        <w:t xml:space="preserve">, Nova </w:t>
      </w:r>
      <w:proofErr w:type="spellStart"/>
      <w:r w:rsidRPr="00A8667B">
        <w:rPr>
          <w:rFonts w:cs="Arial"/>
          <w:color w:val="003768"/>
          <w:sz w:val="20"/>
          <w:szCs w:val="20"/>
        </w:rPr>
        <w:t>Ljubljanska</w:t>
      </w:r>
      <w:proofErr w:type="spellEnd"/>
      <w:r w:rsidRPr="00A8667B">
        <w:rPr>
          <w:rFonts w:cs="Arial"/>
          <w:color w:val="003768"/>
          <w:sz w:val="20"/>
          <w:szCs w:val="20"/>
        </w:rPr>
        <w:t xml:space="preserve"> </w:t>
      </w:r>
      <w:proofErr w:type="spellStart"/>
      <w:r w:rsidRPr="00A8667B">
        <w:rPr>
          <w:rFonts w:cs="Arial"/>
          <w:color w:val="003768"/>
          <w:sz w:val="20"/>
          <w:szCs w:val="20"/>
        </w:rPr>
        <w:t>banka</w:t>
      </w:r>
      <w:proofErr w:type="spellEnd"/>
      <w:r w:rsidRPr="00A8667B">
        <w:rPr>
          <w:rFonts w:cs="Arial"/>
          <w:color w:val="003768"/>
          <w:sz w:val="20"/>
          <w:szCs w:val="20"/>
        </w:rPr>
        <w:t>, Absolut Bank and by certain other sales. These items will be disregarded to enable a meaningful comparison to be made (see ‘on a comparable basis’)</w:t>
      </w:r>
    </w:p>
    <w:p w:rsidR="00A8667B" w:rsidRPr="00A8667B" w:rsidRDefault="00A8667B" w:rsidP="003B367B">
      <w:pPr>
        <w:pStyle w:val="Lijstalinea"/>
        <w:numPr>
          <w:ilvl w:val="0"/>
          <w:numId w:val="4"/>
        </w:numPr>
        <w:autoSpaceDE w:val="0"/>
        <w:autoSpaceDN w:val="0"/>
        <w:adjustRightInd w:val="0"/>
        <w:spacing w:after="60" w:line="240" w:lineRule="auto"/>
        <w:ind w:left="1706" w:right="6" w:hanging="357"/>
        <w:contextualSpacing w:val="0"/>
        <w:jc w:val="both"/>
        <w:rPr>
          <w:rFonts w:cs="Arial"/>
          <w:color w:val="003768"/>
          <w:sz w:val="20"/>
          <w:szCs w:val="20"/>
        </w:rPr>
      </w:pPr>
      <w:r w:rsidRPr="00A8667B">
        <w:rPr>
          <w:rFonts w:cs="Arial"/>
          <w:color w:val="003768"/>
          <w:sz w:val="20"/>
          <w:szCs w:val="20"/>
        </w:rPr>
        <w:t>Net interest income stood at 1 009 million euros, flat quarter-on-quarter but down 7% year-on-year (on a comparable basis, however, it was flat year-on-year). The net interest margin came to 1.80% for the quarter under review, 3 basis points higher than the level of the previous quarter, and 9 basis points higher than the level of the year-earlier quarter. Deposit volumes contracted by 3% quarter-on-quarter (driven mainly by lower issues of debt certificates and the depreciation of the Czech koruna) and were flat year-on-year. Loan volumes were down 1% quarter-on-quarter, while the loan book declined by 2% year-on-year. The loan book in the Belgium Business Unit contracted by 1% quarter-on-quarter and 2% year-on-year. This contraction was accounted for by the corporate loan book (due to the deliberate reduction at the foreign branches and the repayment of shareholder loans), while mortgages grew at a modest rate quarter-on-quarter and by 1% year-on-year. Deposits in the Belgium Business Unit contracted by 3% quarter-on-quarter (primarily in the branches) but went up 2% year-on-year. The loan book in the Czech Republic increased by 6% year-on-year and by 4% quarter-on-quarter, while deposits rose by 4% both year-on-year and quarter-on-quarter. The loan portfolio in the International Markets Business Unit declined by 7% year-on-year and by 5% quarter-on-quarter, owing to the Irish and Hungarian loan portfolios. The deposit base grew by 9% year-on-year (driven by Ireland, Hungary and Slovakia), but declined by 2% quarter-on-quarter.</w:t>
      </w:r>
    </w:p>
    <w:p w:rsidR="00A8667B" w:rsidRPr="00A8667B" w:rsidRDefault="00A8667B" w:rsidP="003B367B">
      <w:pPr>
        <w:pStyle w:val="Lijstalinea"/>
        <w:numPr>
          <w:ilvl w:val="0"/>
          <w:numId w:val="4"/>
        </w:numPr>
        <w:autoSpaceDE w:val="0"/>
        <w:autoSpaceDN w:val="0"/>
        <w:adjustRightInd w:val="0"/>
        <w:spacing w:after="60" w:line="240" w:lineRule="auto"/>
        <w:ind w:right="6"/>
        <w:contextualSpacing w:val="0"/>
        <w:jc w:val="both"/>
        <w:rPr>
          <w:rFonts w:cs="Arial"/>
          <w:color w:val="003768"/>
          <w:sz w:val="20"/>
          <w:szCs w:val="20"/>
        </w:rPr>
      </w:pPr>
      <w:r w:rsidRPr="00A8667B">
        <w:rPr>
          <w:rFonts w:cs="Arial"/>
          <w:color w:val="003768"/>
          <w:sz w:val="20"/>
          <w:szCs w:val="20"/>
        </w:rPr>
        <w:t xml:space="preserve">The life and non-life insurance businesses turned in the following performance during the quarter under review. Gross earned premiums less gross technical charges and the ceded reinsurance result </w:t>
      </w:r>
      <w:proofErr w:type="spellStart"/>
      <w:r w:rsidRPr="00A8667B">
        <w:rPr>
          <w:rFonts w:cs="Arial"/>
          <w:color w:val="003768"/>
          <w:sz w:val="20"/>
          <w:szCs w:val="20"/>
        </w:rPr>
        <w:t>totalled</w:t>
      </w:r>
      <w:proofErr w:type="spellEnd"/>
      <w:r w:rsidRPr="00A8667B">
        <w:rPr>
          <w:rFonts w:cs="Arial"/>
          <w:color w:val="003768"/>
          <w:sz w:val="20"/>
          <w:szCs w:val="20"/>
        </w:rPr>
        <w:t xml:space="preserve"> 64 million euros, down 23% quarter-on-quarter but up 23% year-on-year. </w:t>
      </w:r>
    </w:p>
    <w:p w:rsidR="00A8667B" w:rsidRPr="00A8667B" w:rsidRDefault="00A8667B" w:rsidP="003B367B">
      <w:pPr>
        <w:pStyle w:val="Lijstalinea"/>
        <w:autoSpaceDE w:val="0"/>
        <w:autoSpaceDN w:val="0"/>
        <w:adjustRightInd w:val="0"/>
        <w:spacing w:after="60" w:line="240" w:lineRule="auto"/>
        <w:ind w:left="1712" w:right="6"/>
        <w:contextualSpacing w:val="0"/>
        <w:jc w:val="both"/>
        <w:rPr>
          <w:rFonts w:cs="Arial"/>
          <w:color w:val="003768"/>
          <w:sz w:val="20"/>
          <w:szCs w:val="20"/>
        </w:rPr>
      </w:pPr>
      <w:r w:rsidRPr="00A8667B">
        <w:rPr>
          <w:rFonts w:cs="Arial"/>
          <w:color w:val="003768"/>
          <w:sz w:val="20"/>
          <w:szCs w:val="20"/>
        </w:rPr>
        <w:t xml:space="preserve">In the non-life segment, earned premiums were down 1% quarter-on-quarter but up 1% year-on-year. Claims during the fourth quarter were a bit higher than their quarter-earlier level (due to storms in Belgium) and pushed up technical charges. The combined ratio came to a good 94% for the full year (101% for the quarter itself). </w:t>
      </w:r>
    </w:p>
    <w:p w:rsidR="00A8667B" w:rsidRPr="00A8667B" w:rsidRDefault="00A8667B" w:rsidP="003B367B">
      <w:pPr>
        <w:pStyle w:val="Lijstalinea"/>
        <w:autoSpaceDE w:val="0"/>
        <w:autoSpaceDN w:val="0"/>
        <w:adjustRightInd w:val="0"/>
        <w:spacing w:after="60" w:line="240" w:lineRule="auto"/>
        <w:ind w:left="1712" w:right="6"/>
        <w:contextualSpacing w:val="0"/>
        <w:jc w:val="both"/>
        <w:rPr>
          <w:rFonts w:cs="Arial"/>
          <w:color w:val="003768"/>
          <w:sz w:val="20"/>
          <w:szCs w:val="20"/>
        </w:rPr>
      </w:pPr>
      <w:r w:rsidRPr="00A8667B">
        <w:rPr>
          <w:rFonts w:cs="Arial"/>
          <w:color w:val="003768"/>
          <w:sz w:val="20"/>
          <w:szCs w:val="20"/>
        </w:rPr>
        <w:t>In the life segment, sales of life insurance products (including unit-linked products not included in premium income figures) were up 47% on their level in 3Q2013, thanks to a savings campaign and a seasonal effect. Year-on-year, these sales have fallen by as much as 60%, triggered by a number of factors, including a change in the tax treatment of unit-linked life insurance contracts in Belgium since the beginning of 2013, a climate of low interest rates and a shift to other wealth management products.</w:t>
      </w:r>
    </w:p>
    <w:p w:rsidR="00A8667B" w:rsidRPr="00A8667B" w:rsidRDefault="00A8667B" w:rsidP="003B367B">
      <w:pPr>
        <w:pStyle w:val="Lijstalinea"/>
        <w:autoSpaceDE w:val="0"/>
        <w:autoSpaceDN w:val="0"/>
        <w:adjustRightInd w:val="0"/>
        <w:spacing w:after="60" w:line="240" w:lineRule="auto"/>
        <w:ind w:left="1712" w:right="6"/>
        <w:contextualSpacing w:val="0"/>
        <w:jc w:val="both"/>
        <w:rPr>
          <w:rFonts w:cs="Arial"/>
          <w:color w:val="003768"/>
          <w:sz w:val="20"/>
          <w:szCs w:val="20"/>
        </w:rPr>
      </w:pPr>
      <w:r w:rsidRPr="00A8667B">
        <w:rPr>
          <w:rFonts w:cs="Arial"/>
          <w:color w:val="003768"/>
          <w:sz w:val="20"/>
          <w:szCs w:val="20"/>
        </w:rPr>
        <w:t xml:space="preserve">It should be noted that the fourth quarter was a decent one for investment income from insurance activities, with the quarter-on-quarter results being somewhat offset by lower dividend income in the investment portfolio and by the deliberately limited gains on the </w:t>
      </w:r>
      <w:proofErr w:type="spellStart"/>
      <w:r w:rsidRPr="00A8667B">
        <w:rPr>
          <w:rFonts w:cs="Arial"/>
          <w:color w:val="003768"/>
          <w:sz w:val="20"/>
          <w:szCs w:val="20"/>
        </w:rPr>
        <w:t>realisation</w:t>
      </w:r>
      <w:proofErr w:type="spellEnd"/>
      <w:r w:rsidRPr="00A8667B">
        <w:rPr>
          <w:rFonts w:cs="Arial"/>
          <w:color w:val="003768"/>
          <w:sz w:val="20"/>
          <w:szCs w:val="20"/>
        </w:rPr>
        <w:t xml:space="preserve"> of investments. Lastly, the technical-financial result also benefited from general administrative expenses being kept strictly under control, despite some end-of-year effects. </w:t>
      </w:r>
    </w:p>
    <w:p w:rsidR="00A8667B" w:rsidRPr="00A8667B" w:rsidRDefault="00A8667B" w:rsidP="003B367B">
      <w:pPr>
        <w:pStyle w:val="Lijstalinea"/>
        <w:numPr>
          <w:ilvl w:val="0"/>
          <w:numId w:val="4"/>
        </w:numPr>
        <w:autoSpaceDE w:val="0"/>
        <w:autoSpaceDN w:val="0"/>
        <w:adjustRightInd w:val="0"/>
        <w:spacing w:after="60" w:line="240" w:lineRule="auto"/>
        <w:ind w:left="1706" w:right="6" w:hanging="357"/>
        <w:contextualSpacing w:val="0"/>
        <w:jc w:val="both"/>
        <w:rPr>
          <w:rFonts w:cs="Arial"/>
          <w:color w:val="003768"/>
          <w:sz w:val="20"/>
          <w:szCs w:val="20"/>
        </w:rPr>
      </w:pPr>
      <w:r w:rsidRPr="00A8667B">
        <w:rPr>
          <w:rFonts w:cs="Arial"/>
          <w:color w:val="003768"/>
          <w:sz w:val="20"/>
          <w:szCs w:val="20"/>
        </w:rPr>
        <w:lastRenderedPageBreak/>
        <w:t>The net result from financial instruments at fair value amounted to 159 million euros in the quarter under review, lower than the 194-million-euro average for the four preceding quarters. This figure is usually driven by dealing-room income, which was stable, but the first and second quarters of 2013 were influenced primarily by positive results on the marked-to-market valuations in respect of derivative instruments used for asset/liability management purposes.</w:t>
      </w:r>
    </w:p>
    <w:p w:rsidR="00A8667B" w:rsidRPr="00A8667B" w:rsidRDefault="00A8667B" w:rsidP="003B367B">
      <w:pPr>
        <w:pStyle w:val="Lijstalinea"/>
        <w:numPr>
          <w:ilvl w:val="0"/>
          <w:numId w:val="4"/>
        </w:numPr>
        <w:autoSpaceDE w:val="0"/>
        <w:autoSpaceDN w:val="0"/>
        <w:adjustRightInd w:val="0"/>
        <w:spacing w:after="60" w:line="240" w:lineRule="auto"/>
        <w:ind w:right="6"/>
        <w:contextualSpacing w:val="0"/>
        <w:jc w:val="both"/>
        <w:rPr>
          <w:rFonts w:cs="Arial"/>
          <w:color w:val="003768"/>
          <w:sz w:val="20"/>
          <w:szCs w:val="20"/>
        </w:rPr>
      </w:pPr>
      <w:r w:rsidRPr="00A8667B">
        <w:rPr>
          <w:rFonts w:cs="Arial"/>
          <w:color w:val="003768"/>
          <w:sz w:val="20"/>
          <w:szCs w:val="20"/>
        </w:rPr>
        <w:t xml:space="preserve">Net </w:t>
      </w:r>
      <w:proofErr w:type="spellStart"/>
      <w:r w:rsidRPr="00A8667B">
        <w:rPr>
          <w:rFonts w:cs="Arial"/>
          <w:color w:val="003768"/>
          <w:sz w:val="20"/>
          <w:szCs w:val="20"/>
        </w:rPr>
        <w:t>realised</w:t>
      </w:r>
      <w:proofErr w:type="spellEnd"/>
      <w:r w:rsidRPr="00A8667B">
        <w:rPr>
          <w:rFonts w:cs="Arial"/>
          <w:color w:val="003768"/>
          <w:sz w:val="20"/>
          <w:szCs w:val="20"/>
        </w:rPr>
        <w:t xml:space="preserve"> gains from available-for-sale assets stood at 29 million euros for the quarter under review, below the 67-million-euro average for the four preceding quarters. These gains were </w:t>
      </w:r>
      <w:proofErr w:type="spellStart"/>
      <w:r w:rsidRPr="00A8667B">
        <w:rPr>
          <w:rFonts w:cs="Arial"/>
          <w:color w:val="003768"/>
          <w:sz w:val="20"/>
          <w:szCs w:val="20"/>
        </w:rPr>
        <w:t>realised</w:t>
      </w:r>
      <w:proofErr w:type="spellEnd"/>
      <w:r w:rsidRPr="00A8667B">
        <w:rPr>
          <w:rFonts w:cs="Arial"/>
          <w:color w:val="003768"/>
          <w:sz w:val="20"/>
          <w:szCs w:val="20"/>
        </w:rPr>
        <w:t xml:space="preserve"> on the sale of both bonds and shares.</w:t>
      </w:r>
    </w:p>
    <w:p w:rsidR="00A8667B" w:rsidRPr="00A8667B" w:rsidRDefault="00A8667B" w:rsidP="003B367B">
      <w:pPr>
        <w:pStyle w:val="Lijstalinea"/>
        <w:numPr>
          <w:ilvl w:val="0"/>
          <w:numId w:val="4"/>
        </w:numPr>
        <w:autoSpaceDE w:val="0"/>
        <w:autoSpaceDN w:val="0"/>
        <w:adjustRightInd w:val="0"/>
        <w:spacing w:after="60" w:line="240" w:lineRule="auto"/>
        <w:ind w:right="6"/>
        <w:contextualSpacing w:val="0"/>
        <w:jc w:val="both"/>
        <w:rPr>
          <w:rFonts w:cs="Arial"/>
          <w:color w:val="003768"/>
          <w:sz w:val="20"/>
          <w:szCs w:val="20"/>
        </w:rPr>
      </w:pPr>
      <w:r w:rsidRPr="00A8667B">
        <w:rPr>
          <w:rFonts w:cs="Arial"/>
          <w:color w:val="003768"/>
          <w:sz w:val="20"/>
          <w:szCs w:val="20"/>
        </w:rPr>
        <w:t>Net fee and commission income amounted to 369 million euros, up 7% quarter-on-quarter and 3% year-on-year. On a comparable basis, it was up by as much as 11% year-on-year. The main drivers for the quarter-on-quarter trend were the higher level of transaction fees in Hungary, entry fees on the sale of mutual funds in Belgium, and the higher level of management fees generated by these mutual funds. Assets under management stood at 163 billion euros, up 2% on their level of the previous quarter (accounted for by the investment performance) and up 5% year-on-year, driven by the investment performance (+4%) and by net inflows (+1%).</w:t>
      </w:r>
    </w:p>
    <w:p w:rsidR="00A8667B" w:rsidRPr="00A8667B" w:rsidRDefault="00A8667B" w:rsidP="003B367B">
      <w:pPr>
        <w:pStyle w:val="Lijstalinea"/>
        <w:numPr>
          <w:ilvl w:val="0"/>
          <w:numId w:val="4"/>
        </w:numPr>
        <w:autoSpaceDE w:val="0"/>
        <w:autoSpaceDN w:val="0"/>
        <w:adjustRightInd w:val="0"/>
        <w:spacing w:after="60" w:line="240" w:lineRule="auto"/>
        <w:ind w:right="6"/>
        <w:contextualSpacing w:val="0"/>
        <w:jc w:val="both"/>
        <w:rPr>
          <w:rFonts w:cs="Arial"/>
          <w:color w:val="003768"/>
          <w:sz w:val="20"/>
          <w:szCs w:val="20"/>
        </w:rPr>
      </w:pPr>
      <w:r w:rsidRPr="00A8667B">
        <w:rPr>
          <w:rFonts w:cs="Arial"/>
          <w:color w:val="003768"/>
          <w:sz w:val="20"/>
          <w:szCs w:val="20"/>
        </w:rPr>
        <w:t>Other net income came to 47 million euros, lower than the 96-million-euro average of the four preceding quarters. In the third quarter, this item benefited from a number of significant positive one-off items.</w:t>
      </w:r>
    </w:p>
    <w:p w:rsidR="00A8667B" w:rsidRPr="0028236F" w:rsidRDefault="0028236F" w:rsidP="002A5D6D">
      <w:pPr>
        <w:autoSpaceDE w:val="0"/>
        <w:autoSpaceDN w:val="0"/>
        <w:adjustRightInd w:val="0"/>
        <w:spacing w:after="120" w:line="240" w:lineRule="auto"/>
        <w:ind w:left="992" w:right="6"/>
        <w:jc w:val="both"/>
        <w:rPr>
          <w:rFonts w:cs="Arial"/>
          <w:b/>
          <w:color w:val="003768"/>
          <w:sz w:val="20"/>
          <w:szCs w:val="20"/>
        </w:rPr>
      </w:pPr>
      <w:r w:rsidRPr="0028236F">
        <w:rPr>
          <w:rFonts w:cs="Arial"/>
          <w:b/>
          <w:color w:val="003768"/>
          <w:sz w:val="20"/>
          <w:szCs w:val="20"/>
        </w:rPr>
        <w:t>Operating expenses (adjusted net result)</w:t>
      </w:r>
    </w:p>
    <w:p w:rsidR="00A8667B" w:rsidRPr="0028236F" w:rsidRDefault="0028236F" w:rsidP="003B367B">
      <w:pPr>
        <w:pStyle w:val="Lijstalinea"/>
        <w:numPr>
          <w:ilvl w:val="0"/>
          <w:numId w:val="5"/>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Operating expenses came to 963 million euros in 4Q2013, up 5% on their level in the previous quarter but down 10% on their year-earlier level. The quarter-on-quarter increase was attributable to end-of-year effects, like marketing costs and ICT expenses. On a comparable basis, costs were down 1% year-on-year, due primarily to lower staff expenses, a weaker Czech Koruna, partly offset by higher bank taxes in Hungary. The full year cost/income ratio came to 52%, a clear indication that costs remain well under control. However, this ratio was positively impacted by the high level of marked-to-market valuations in respect of the derivative instruments used for asset/liability management purposes and the substantially higher level of other non-recurring income. Excluding these specific items, the cost/income ratio came to 54%.</w:t>
      </w:r>
    </w:p>
    <w:p w:rsidR="00A8667B" w:rsidRPr="0028236F" w:rsidRDefault="0028236F" w:rsidP="002A5D6D">
      <w:pPr>
        <w:autoSpaceDE w:val="0"/>
        <w:autoSpaceDN w:val="0"/>
        <w:adjustRightInd w:val="0"/>
        <w:spacing w:after="120" w:line="240" w:lineRule="auto"/>
        <w:ind w:left="992" w:right="6"/>
        <w:jc w:val="both"/>
        <w:rPr>
          <w:rFonts w:cs="Arial"/>
          <w:b/>
          <w:color w:val="003768"/>
          <w:sz w:val="20"/>
          <w:szCs w:val="20"/>
        </w:rPr>
      </w:pPr>
      <w:r w:rsidRPr="0028236F">
        <w:rPr>
          <w:rFonts w:cs="Arial"/>
          <w:b/>
          <w:color w:val="003768"/>
          <w:sz w:val="20"/>
          <w:szCs w:val="20"/>
        </w:rPr>
        <w:t>Impairment charges (adjusted net result)</w:t>
      </w:r>
    </w:p>
    <w:p w:rsidR="0028236F" w:rsidRPr="0028236F" w:rsidRDefault="0028236F" w:rsidP="003B367B">
      <w:pPr>
        <w:pStyle w:val="Lijstalinea"/>
        <w:numPr>
          <w:ilvl w:val="0"/>
          <w:numId w:val="5"/>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Loan loss impairment stood at 940 million euros in 4Q2013, up on the 186 million euros recorded in the previous quarter, and on the 329 million euros recorded a year earlier. The figure for 4Q2013 included loan loss impairment of 773 million euros recorded at KBC Bank Ireland (as opposed to 98 million euros in the previous quarter and 87 million euros in the year-earlier quarter), as well as impairment of 65 million euros in the Belgium Business Unit (compared with 43 million euros in the third quarter of 2013 and 139 million euros in the year-earlier quarter) and 43 million euros in Hungary (compared with 12 million euros in the third quarter of 2013 and 8 million euros in the year-earlier quarter – due in part to a one-off additional impairment as a result of reassessing the loan book). The </w:t>
      </w:r>
      <w:proofErr w:type="spellStart"/>
      <w:r w:rsidRPr="0028236F">
        <w:rPr>
          <w:rFonts w:cs="Arial"/>
          <w:color w:val="003768"/>
          <w:sz w:val="20"/>
          <w:szCs w:val="20"/>
        </w:rPr>
        <w:t>annualised</w:t>
      </w:r>
      <w:proofErr w:type="spellEnd"/>
      <w:r w:rsidRPr="0028236F">
        <w:rPr>
          <w:rFonts w:cs="Arial"/>
          <w:color w:val="003768"/>
          <w:sz w:val="20"/>
          <w:szCs w:val="20"/>
        </w:rPr>
        <w:t xml:space="preserve"> credit cost ratio stood at 1.19%. This breaks down into 0.37% for the Belgium Business Unit (up from 0.28% for FY2012 mainly as a result of increased impairment recorded in the SME and corporate segments), 0.25% in the Czech Republic Business Unit (an improvement on the 0.31% for FY2012, but driven partially by a change in methodology) and 4.48% for the International Markets Business Unit (up from 2.26% for FY2012). </w:t>
      </w:r>
    </w:p>
    <w:p w:rsidR="0028236F" w:rsidRPr="0028236F" w:rsidRDefault="0028236F" w:rsidP="003B367B">
      <w:pPr>
        <w:pStyle w:val="Lijstalinea"/>
        <w:numPr>
          <w:ilvl w:val="0"/>
          <w:numId w:val="5"/>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Impairment charges on available-for-sale assets came to 3 million euros and other impairment charges amounted to 7 million euros in the quarter under review.</w:t>
      </w:r>
    </w:p>
    <w:p w:rsidR="0028236F" w:rsidRPr="0028236F" w:rsidRDefault="0028236F" w:rsidP="002A5D6D">
      <w:pPr>
        <w:autoSpaceDE w:val="0"/>
        <w:autoSpaceDN w:val="0"/>
        <w:adjustRightInd w:val="0"/>
        <w:spacing w:after="120" w:line="240" w:lineRule="auto"/>
        <w:ind w:left="992" w:right="6"/>
        <w:jc w:val="both"/>
        <w:rPr>
          <w:rFonts w:cs="Arial"/>
          <w:b/>
          <w:color w:val="003768"/>
          <w:sz w:val="20"/>
          <w:szCs w:val="20"/>
        </w:rPr>
      </w:pPr>
      <w:r w:rsidRPr="0028236F">
        <w:rPr>
          <w:rFonts w:cs="Arial"/>
          <w:b/>
          <w:color w:val="003768"/>
          <w:sz w:val="20"/>
          <w:szCs w:val="20"/>
        </w:rPr>
        <w:t>Impact of the legacy business and own credit risk on the result:</w:t>
      </w:r>
    </w:p>
    <w:p w:rsidR="0028236F" w:rsidRPr="0028236F" w:rsidRDefault="0028236F" w:rsidP="003B367B">
      <w:pPr>
        <w:pStyle w:val="Lijstalinea"/>
        <w:numPr>
          <w:ilvl w:val="0"/>
          <w:numId w:val="6"/>
        </w:numPr>
        <w:autoSpaceDE w:val="0"/>
        <w:autoSpaceDN w:val="0"/>
        <w:adjustRightInd w:val="0"/>
        <w:spacing w:after="60" w:line="240" w:lineRule="auto"/>
        <w:ind w:right="6"/>
        <w:contextualSpacing w:val="0"/>
        <w:jc w:val="both"/>
        <w:rPr>
          <w:rFonts w:cs="Arial"/>
          <w:color w:val="003768"/>
          <w:sz w:val="20"/>
          <w:szCs w:val="20"/>
        </w:rPr>
      </w:pPr>
      <w:r w:rsidRPr="0028236F">
        <w:rPr>
          <w:rFonts w:cs="Arial"/>
          <w:color w:val="003768"/>
          <w:sz w:val="20"/>
          <w:szCs w:val="20"/>
        </w:rPr>
        <w:t>CDOs: During the fourth quarter, corporate and ABS credit spreads tightened further, as had been the case during previous quarters. When account is taken of the impact of the fee for the CDO guarantee scheme with the Belgian Federal Government, along with the termination costs, there was a positive post-tax impact of 65 million euros.</w:t>
      </w:r>
    </w:p>
    <w:p w:rsidR="0028236F" w:rsidRPr="0028236F" w:rsidRDefault="0028236F" w:rsidP="003B367B">
      <w:pPr>
        <w:pStyle w:val="Lijstalinea"/>
        <w:numPr>
          <w:ilvl w:val="0"/>
          <w:numId w:val="6"/>
        </w:numPr>
        <w:autoSpaceDE w:val="0"/>
        <w:autoSpaceDN w:val="0"/>
        <w:adjustRightInd w:val="0"/>
        <w:spacing w:after="60" w:line="240" w:lineRule="auto"/>
        <w:ind w:right="6"/>
        <w:contextualSpacing w:val="0"/>
        <w:jc w:val="both"/>
        <w:rPr>
          <w:rFonts w:cs="Arial"/>
          <w:color w:val="003768"/>
          <w:sz w:val="20"/>
          <w:szCs w:val="20"/>
        </w:rPr>
      </w:pPr>
      <w:r w:rsidRPr="0028236F">
        <w:rPr>
          <w:rFonts w:cs="Arial"/>
          <w:color w:val="003768"/>
          <w:sz w:val="20"/>
          <w:szCs w:val="20"/>
        </w:rPr>
        <w:t>Remaining divestments: A total post-tax negative impact of 10 million euros was recorded for this quarter. This was attributable primarily to the completion of the sale of KBC Banka, as well as to the costs linked to the reduction in shareholders’ loans.</w:t>
      </w:r>
    </w:p>
    <w:p w:rsidR="0028236F" w:rsidRPr="0028236F" w:rsidRDefault="0028236F" w:rsidP="003B367B">
      <w:pPr>
        <w:pStyle w:val="Lijstalinea"/>
        <w:numPr>
          <w:ilvl w:val="0"/>
          <w:numId w:val="6"/>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Impact of own credit risk valuation: The slight tightening of the credit spread on KBC debt between the end of September 2013 and year-end 2013 resulted in a negative marked-to-market adjustment of 9 million euros (post tax), but had no impact on regulatory capital.</w:t>
      </w:r>
    </w:p>
    <w:p w:rsidR="00531676" w:rsidRDefault="00531676">
      <w:pPr>
        <w:spacing w:after="0" w:line="240" w:lineRule="auto"/>
        <w:rPr>
          <w:rFonts w:cs="Arial"/>
          <w:b/>
          <w:color w:val="003768"/>
          <w:sz w:val="20"/>
          <w:szCs w:val="20"/>
        </w:rPr>
      </w:pPr>
      <w:r>
        <w:rPr>
          <w:rFonts w:cs="Arial"/>
          <w:b/>
          <w:color w:val="003768"/>
          <w:sz w:val="20"/>
          <w:szCs w:val="20"/>
        </w:rPr>
        <w:br w:type="page"/>
      </w:r>
    </w:p>
    <w:p w:rsidR="0028236F" w:rsidRPr="0028236F" w:rsidRDefault="0028236F" w:rsidP="002A5D6D">
      <w:pPr>
        <w:autoSpaceDE w:val="0"/>
        <w:autoSpaceDN w:val="0"/>
        <w:adjustRightInd w:val="0"/>
        <w:spacing w:after="120" w:line="240" w:lineRule="auto"/>
        <w:ind w:left="992" w:right="6"/>
        <w:jc w:val="both"/>
        <w:rPr>
          <w:rFonts w:cs="Arial"/>
          <w:b/>
          <w:color w:val="003768"/>
          <w:sz w:val="20"/>
          <w:szCs w:val="20"/>
        </w:rPr>
      </w:pPr>
      <w:r w:rsidRPr="0028236F">
        <w:rPr>
          <w:rFonts w:cs="Arial"/>
          <w:b/>
          <w:color w:val="003768"/>
          <w:sz w:val="20"/>
          <w:szCs w:val="20"/>
        </w:rPr>
        <w:lastRenderedPageBreak/>
        <w:t>Breakdown by business unit</w:t>
      </w:r>
    </w:p>
    <w:p w:rsidR="0028236F" w:rsidRPr="0028236F" w:rsidRDefault="0028236F" w:rsidP="003B367B">
      <w:pPr>
        <w:pStyle w:val="Lijstalinea"/>
        <w:numPr>
          <w:ilvl w:val="0"/>
          <w:numId w:val="7"/>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In the quarter under review, the Belgium Business Unit generated a net result of 376 million euros, substantially above the figure of 295 million euros for the last quarter of 2012. Compared with the third quarter, the fourth quarter was </w:t>
      </w:r>
      <w:proofErr w:type="spellStart"/>
      <w:r w:rsidRPr="0028236F">
        <w:rPr>
          <w:rFonts w:cs="Arial"/>
          <w:color w:val="003768"/>
          <w:sz w:val="20"/>
          <w:szCs w:val="20"/>
        </w:rPr>
        <w:t>characterised</w:t>
      </w:r>
      <w:proofErr w:type="spellEnd"/>
      <w:r w:rsidRPr="0028236F">
        <w:rPr>
          <w:rFonts w:cs="Arial"/>
          <w:color w:val="003768"/>
          <w:sz w:val="20"/>
          <w:szCs w:val="20"/>
        </w:rPr>
        <w:t xml:space="preserve"> by higher net interest income, stable net fee and commission income, good guaranteed-rate life insurance sales but weaker non-life combined ratio (due to higher claims), lower operating expenses and a higher level of loan loss impairment charges. The banking activities accounted for 85% of the net result in the quarter under review, and the insurance activities for 15%.</w:t>
      </w:r>
    </w:p>
    <w:p w:rsidR="0028236F" w:rsidRPr="0028236F" w:rsidRDefault="0028236F" w:rsidP="003B367B">
      <w:pPr>
        <w:pStyle w:val="Lijstalinea"/>
        <w:numPr>
          <w:ilvl w:val="0"/>
          <w:numId w:val="7"/>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The Czech Republic Business Unit posted a net result of 119 million euros, slightly above the figure for the last quarter of 2012 and strongly influenced by the depreciation of the Czech koruna. Compared with the third quarter, this quarter included a slight decline in net interest income, an improved combined ratio in non-life insurance, increased unit-linked life insurance sales, higher net fee and commission income, an excellent cost/income ratio and higher loan loss impairment charges. The banking activities accounted for 92% of the net result in the quarter under review, and the insurance activities for 8%.</w:t>
      </w:r>
    </w:p>
    <w:p w:rsidR="0028236F" w:rsidRPr="0028236F" w:rsidRDefault="0028236F" w:rsidP="003B367B">
      <w:pPr>
        <w:pStyle w:val="Lijstalinea"/>
        <w:numPr>
          <w:ilvl w:val="0"/>
          <w:numId w:val="7"/>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The International Markets Business Unit recorded a net result of -731 million euros, a one-off low. Compared with the previous quarter, the fourth quarter was influenced predominantly by the impairment of 773 million euros on the Irish loan portfolio. Besides this, net interest income was lower (due to Ireland) but net fee and commission income substantially higher (thanks to Hungary). Seasonal effects and increased expenses mean that costs were also higher. Overall, the banking activities accounted for a negative net result of -735 million euros (the positive results in Slovakia, Hungary and Bulgaria were wiped out by the negative result in Ireland), while the insurance activities accounted for a positive net result of 4 million euros.</w:t>
      </w:r>
    </w:p>
    <w:p w:rsidR="0028236F" w:rsidRPr="0028236F" w:rsidRDefault="0028236F" w:rsidP="003B367B">
      <w:pPr>
        <w:pStyle w:val="Lijstalinea"/>
        <w:numPr>
          <w:ilvl w:val="0"/>
          <w:numId w:val="7"/>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The Group Centre’s net result amounted to -58 million in 4Q2013. As mentioned above, this figure includes a number of group items and the results of companies earmarked for divestment, but also the full impact of the legacy business (CDOs, divestments) and the valuation of own credit risk (see above). Excluding the legacy business and the valuation of own credit risk, the adjusted net result of the Group Centre came to -104 million euros.</w:t>
      </w:r>
    </w:p>
    <w:p w:rsidR="0028236F" w:rsidRDefault="0028236F" w:rsidP="002A5D6D">
      <w:pPr>
        <w:spacing w:after="0" w:line="240" w:lineRule="auto"/>
        <w:jc w:val="both"/>
        <w:rPr>
          <w:rFonts w:cs="Arial"/>
          <w:color w:val="003768"/>
          <w:sz w:val="20"/>
          <w:szCs w:val="20"/>
        </w:rPr>
      </w:pPr>
      <w:r>
        <w:rPr>
          <w:rFonts w:cs="Arial"/>
          <w:color w:val="003768"/>
          <w:sz w:val="20"/>
          <w:szCs w:val="20"/>
        </w:rPr>
        <w:br w:type="page"/>
      </w:r>
    </w:p>
    <w:p w:rsidR="0028236F" w:rsidRPr="0028236F" w:rsidRDefault="0028236F" w:rsidP="00531676">
      <w:pPr>
        <w:autoSpaceDE w:val="0"/>
        <w:autoSpaceDN w:val="0"/>
        <w:adjustRightInd w:val="0"/>
        <w:spacing w:after="120" w:line="240" w:lineRule="auto"/>
        <w:ind w:left="992" w:right="6"/>
        <w:jc w:val="both"/>
        <w:rPr>
          <w:rFonts w:ascii="Rockwell" w:hAnsi="Rockwell" w:cs="Arial"/>
          <w:b/>
          <w:bCs/>
          <w:color w:val="003366"/>
          <w:sz w:val="28"/>
          <w:szCs w:val="28"/>
        </w:rPr>
      </w:pPr>
      <w:r w:rsidRPr="0028236F">
        <w:rPr>
          <w:rFonts w:ascii="Rockwell" w:hAnsi="Rockwell" w:cs="Arial"/>
          <w:b/>
          <w:bCs/>
          <w:color w:val="003366"/>
          <w:sz w:val="28"/>
          <w:szCs w:val="28"/>
        </w:rPr>
        <w:lastRenderedPageBreak/>
        <w:t>Analysis of the year-to-date period under review (FY2013)</w:t>
      </w:r>
    </w:p>
    <w:p w:rsidR="0028236F" w:rsidRPr="0028236F" w:rsidRDefault="0028236F" w:rsidP="003B367B">
      <w:pPr>
        <w:autoSpaceDE w:val="0"/>
        <w:autoSpaceDN w:val="0"/>
        <w:adjustRightInd w:val="0"/>
        <w:spacing w:after="60" w:line="240" w:lineRule="auto"/>
        <w:ind w:left="992" w:right="6"/>
        <w:jc w:val="both"/>
        <w:rPr>
          <w:rFonts w:cs="Arial"/>
          <w:b/>
          <w:color w:val="003768"/>
          <w:sz w:val="20"/>
          <w:szCs w:val="20"/>
        </w:rPr>
      </w:pPr>
      <w:r w:rsidRPr="0028236F">
        <w:rPr>
          <w:rFonts w:cs="Arial"/>
          <w:b/>
          <w:color w:val="003768"/>
          <w:sz w:val="20"/>
          <w:szCs w:val="20"/>
        </w:rPr>
        <w:t>The net result for 2013 amounted to 1 015 million euros, compared with 612 million euros a year earlier. Excluding the legacy business and impact of own credit risk, the adjusted net result came to 960 million euros, compared with 1 496 million euros for 2012.</w:t>
      </w:r>
    </w:p>
    <w:p w:rsidR="0028236F" w:rsidRPr="0028236F" w:rsidRDefault="0028236F" w:rsidP="003B367B">
      <w:pPr>
        <w:autoSpaceDE w:val="0"/>
        <w:autoSpaceDN w:val="0"/>
        <w:adjustRightInd w:val="0"/>
        <w:spacing w:after="60" w:line="240" w:lineRule="auto"/>
        <w:ind w:left="992" w:right="6"/>
        <w:jc w:val="both"/>
        <w:rPr>
          <w:rFonts w:cs="Arial"/>
          <w:b/>
          <w:color w:val="003768"/>
          <w:sz w:val="20"/>
          <w:szCs w:val="20"/>
        </w:rPr>
      </w:pPr>
      <w:r w:rsidRPr="0028236F">
        <w:rPr>
          <w:rFonts w:cs="Arial"/>
          <w:b/>
          <w:color w:val="003768"/>
          <w:sz w:val="20"/>
          <w:szCs w:val="20"/>
        </w:rPr>
        <w:t>Total income (adjusted net result)</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The year-on-year performance was affected in part by the deconsolidation of </w:t>
      </w:r>
      <w:proofErr w:type="spellStart"/>
      <w:r w:rsidRPr="0028236F">
        <w:rPr>
          <w:rFonts w:cs="Arial"/>
          <w:color w:val="003768"/>
          <w:sz w:val="20"/>
          <w:szCs w:val="20"/>
        </w:rPr>
        <w:t>Kredyt</w:t>
      </w:r>
      <w:proofErr w:type="spellEnd"/>
      <w:r w:rsidRPr="0028236F">
        <w:rPr>
          <w:rFonts w:cs="Arial"/>
          <w:color w:val="003768"/>
          <w:sz w:val="20"/>
          <w:szCs w:val="20"/>
        </w:rPr>
        <w:t xml:space="preserve"> Bank, WARTA, </w:t>
      </w:r>
      <w:proofErr w:type="spellStart"/>
      <w:r w:rsidRPr="0028236F">
        <w:rPr>
          <w:rFonts w:cs="Arial"/>
          <w:color w:val="003768"/>
          <w:sz w:val="20"/>
          <w:szCs w:val="20"/>
        </w:rPr>
        <w:t>Żagiel</w:t>
      </w:r>
      <w:proofErr w:type="spellEnd"/>
      <w:r w:rsidRPr="0028236F">
        <w:rPr>
          <w:rFonts w:cs="Arial"/>
          <w:color w:val="003768"/>
          <w:sz w:val="20"/>
          <w:szCs w:val="20"/>
        </w:rPr>
        <w:t xml:space="preserve">, Nova </w:t>
      </w:r>
      <w:proofErr w:type="spellStart"/>
      <w:r w:rsidRPr="0028236F">
        <w:rPr>
          <w:rFonts w:cs="Arial"/>
          <w:color w:val="003768"/>
          <w:sz w:val="20"/>
          <w:szCs w:val="20"/>
        </w:rPr>
        <w:t>Ljubljanska</w:t>
      </w:r>
      <w:proofErr w:type="spellEnd"/>
      <w:r w:rsidRPr="0028236F">
        <w:rPr>
          <w:rFonts w:cs="Arial"/>
          <w:color w:val="003768"/>
          <w:sz w:val="20"/>
          <w:szCs w:val="20"/>
        </w:rPr>
        <w:t xml:space="preserve"> </w:t>
      </w:r>
      <w:proofErr w:type="spellStart"/>
      <w:r w:rsidRPr="0028236F">
        <w:rPr>
          <w:rFonts w:cs="Arial"/>
          <w:color w:val="003768"/>
          <w:sz w:val="20"/>
          <w:szCs w:val="20"/>
        </w:rPr>
        <w:t>banka</w:t>
      </w:r>
      <w:proofErr w:type="spellEnd"/>
      <w:r w:rsidRPr="0028236F">
        <w:rPr>
          <w:rFonts w:cs="Arial"/>
          <w:color w:val="003768"/>
          <w:sz w:val="20"/>
          <w:szCs w:val="20"/>
        </w:rPr>
        <w:t>, Absolut Bank and by certain other sales. These items will be disregarded to enable a meaningful comparison to be made (see ‘on a comparable basis’).</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Net interest income stood at 4 044 million euros, down 11% year-on-year. On a comparable basis, it fell by 4% year-on-year, due primarily to the lower level of interest income generated at KBC insurance (lower reinvestment yields), while commercial margins at the bank remained healthy. The net interest margin came to 1.75% for the full year, on a par with its level of a year earlier. In the Belgium Business Unit, deposit volumes were up 2% and loan volumes down 2% year-on-year, due to the deliberate scaling down of the loan book at the foreign branches and the repayment of shareholder loans. The loan book in the Czech Republic expanded by 6% year-on-year, while deposits rose by 4% year-on-year. The loan portfolio in the International Markets Business Unit declined by 7% year-on-year (due to Ireland and Hungary), while the deposit base grew by 9% year-on-year (driven by Ireland, Hungary and Slovakia).</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The life and non-life insurance businesses turned in the following performance during 2013. Gross earned premiums less gross technical charges and the ceded reinsurance result </w:t>
      </w:r>
      <w:proofErr w:type="spellStart"/>
      <w:r w:rsidRPr="0028236F">
        <w:rPr>
          <w:rFonts w:cs="Arial"/>
          <w:color w:val="003768"/>
          <w:sz w:val="20"/>
          <w:szCs w:val="20"/>
        </w:rPr>
        <w:t>totalled</w:t>
      </w:r>
      <w:proofErr w:type="spellEnd"/>
      <w:r w:rsidRPr="0028236F">
        <w:rPr>
          <w:rFonts w:cs="Arial"/>
          <w:color w:val="003768"/>
          <w:sz w:val="20"/>
          <w:szCs w:val="20"/>
        </w:rPr>
        <w:t xml:space="preserve"> 289 million euros, down 22% year-on-year. However, on a comparable basis (excluding the effect of the deconsolidation of WARTA), this result was 26% higher than the year-earlier figure.</w:t>
      </w:r>
    </w:p>
    <w:p w:rsidR="0028236F" w:rsidRPr="0028236F" w:rsidRDefault="0028236F" w:rsidP="003B367B">
      <w:pPr>
        <w:pStyle w:val="Lijstalinea"/>
        <w:autoSpaceDE w:val="0"/>
        <w:autoSpaceDN w:val="0"/>
        <w:adjustRightInd w:val="0"/>
        <w:spacing w:after="60" w:line="240" w:lineRule="auto"/>
        <w:ind w:left="1706" w:right="6"/>
        <w:contextualSpacing w:val="0"/>
        <w:jc w:val="both"/>
        <w:rPr>
          <w:rFonts w:cs="Arial"/>
          <w:color w:val="003768"/>
          <w:sz w:val="20"/>
          <w:szCs w:val="20"/>
        </w:rPr>
      </w:pPr>
      <w:r w:rsidRPr="0028236F">
        <w:rPr>
          <w:rFonts w:cs="Arial"/>
          <w:color w:val="003768"/>
          <w:sz w:val="20"/>
          <w:szCs w:val="20"/>
        </w:rPr>
        <w:t xml:space="preserve">In the non-life segment, earned premiums were 3% higher year-on-year (on a comparable basis). The claims arising from inter alia the floods in the Czech Republic and storms in Belgium pushed technical charges 2% higher than their level in 2012. Nevertheless, the combined ratio still came to a good 94% for the full year. </w:t>
      </w:r>
    </w:p>
    <w:p w:rsidR="0028236F" w:rsidRPr="0028236F" w:rsidRDefault="0028236F" w:rsidP="003B367B">
      <w:pPr>
        <w:pStyle w:val="Lijstalinea"/>
        <w:autoSpaceDE w:val="0"/>
        <w:autoSpaceDN w:val="0"/>
        <w:adjustRightInd w:val="0"/>
        <w:spacing w:after="60" w:line="240" w:lineRule="auto"/>
        <w:ind w:left="1706" w:right="6"/>
        <w:contextualSpacing w:val="0"/>
        <w:jc w:val="both"/>
        <w:rPr>
          <w:rFonts w:cs="Arial"/>
          <w:color w:val="003768"/>
          <w:sz w:val="20"/>
          <w:szCs w:val="20"/>
        </w:rPr>
      </w:pPr>
      <w:r w:rsidRPr="0028236F">
        <w:rPr>
          <w:rFonts w:cs="Arial"/>
          <w:color w:val="003768"/>
          <w:sz w:val="20"/>
          <w:szCs w:val="20"/>
        </w:rPr>
        <w:t>In the life segment, sales of life insurance products (including unit-linked products not included in premium income figures) were down 58% on their level in 2012, triggered by a change in the tax treatment of unit-linked life insurance contracts in Belgium since the beginning of 2013, a climate of low interest rates and a shift to mutual funds, among other factors.</w:t>
      </w:r>
    </w:p>
    <w:p w:rsidR="0028236F" w:rsidRPr="0028236F" w:rsidRDefault="0028236F" w:rsidP="003B367B">
      <w:pPr>
        <w:pStyle w:val="Lijstalinea"/>
        <w:autoSpaceDE w:val="0"/>
        <w:autoSpaceDN w:val="0"/>
        <w:adjustRightInd w:val="0"/>
        <w:spacing w:after="60" w:line="240" w:lineRule="auto"/>
        <w:ind w:left="1706" w:right="6"/>
        <w:contextualSpacing w:val="0"/>
        <w:jc w:val="both"/>
        <w:rPr>
          <w:rFonts w:cs="Arial"/>
          <w:color w:val="003768"/>
          <w:sz w:val="20"/>
          <w:szCs w:val="20"/>
        </w:rPr>
      </w:pPr>
      <w:r w:rsidRPr="0028236F">
        <w:rPr>
          <w:rFonts w:cs="Arial"/>
          <w:color w:val="003768"/>
          <w:sz w:val="20"/>
          <w:szCs w:val="20"/>
        </w:rPr>
        <w:t xml:space="preserve">It should be noted that the insurance results were also impacted by lower investment income, particularly net interest income, but benefited from general administrative expenses being kept strictly under control. </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The net result from financial instruments at fair value amounted to 779 million euros in 2013, compared with 789 million euros for 2012, or 706 million euros on a comparable basis. This figure is usually driven by dealing-room income, but was influenced in 2013 primarily by the positive result of 280 million euros on the marked-to-market valuations in respect of certain derivative instruments used for asset/liability management purposes more than offsetting a decline in dealing room income and lower CVAs.</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Net </w:t>
      </w:r>
      <w:proofErr w:type="spellStart"/>
      <w:r w:rsidRPr="0028236F">
        <w:rPr>
          <w:rFonts w:cs="Arial"/>
          <w:color w:val="003768"/>
          <w:sz w:val="20"/>
          <w:szCs w:val="20"/>
        </w:rPr>
        <w:t>realised</w:t>
      </w:r>
      <w:proofErr w:type="spellEnd"/>
      <w:r w:rsidRPr="0028236F">
        <w:rPr>
          <w:rFonts w:cs="Arial"/>
          <w:color w:val="003768"/>
          <w:sz w:val="20"/>
          <w:szCs w:val="20"/>
        </w:rPr>
        <w:t xml:space="preserve"> gains from available-for-sale assets stood at 213 million euros for the year under review, compared with 180 million euros for 2012, or 158 million euros on a comparable basis. The gains were </w:t>
      </w:r>
      <w:proofErr w:type="spellStart"/>
      <w:r w:rsidRPr="0028236F">
        <w:rPr>
          <w:rFonts w:cs="Arial"/>
          <w:color w:val="003768"/>
          <w:sz w:val="20"/>
          <w:szCs w:val="20"/>
        </w:rPr>
        <w:t>realised</w:t>
      </w:r>
      <w:proofErr w:type="spellEnd"/>
      <w:r w:rsidRPr="0028236F">
        <w:rPr>
          <w:rFonts w:cs="Arial"/>
          <w:color w:val="003768"/>
          <w:sz w:val="20"/>
          <w:szCs w:val="20"/>
        </w:rPr>
        <w:t xml:space="preserve"> on the sale of both bonds and shares, with the first quarter benefiting from particularly large gains on the sale of Belgian government bonds.</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Net fee and commission income amounted to 1 487 million euros, up 12% year-on-year. On a comparable basis, fee income was 15% higher year-on-year. The main drivers for this year-on-year increase were entry and management fees on mutual funds and an improvement in fee income in Hungary. Assets under management stood at 163 billion euros, up 5% on their level at year-end 2012 (1% accounted for by net sales and 4% by price effects).</w:t>
      </w:r>
    </w:p>
    <w:p w:rsidR="0028236F" w:rsidRPr="0028236F" w:rsidRDefault="0028236F" w:rsidP="003B367B">
      <w:pPr>
        <w:pStyle w:val="Lijstalinea"/>
        <w:numPr>
          <w:ilvl w:val="0"/>
          <w:numId w:val="8"/>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Driven by a number of exceptional items, other net income came to 343 million euros, compared with 252 million euros in 2012 (or 193 million euros on a comparable basis).</w:t>
      </w:r>
    </w:p>
    <w:p w:rsidR="0028236F" w:rsidRPr="0028236F" w:rsidRDefault="0028236F" w:rsidP="003B367B">
      <w:pPr>
        <w:autoSpaceDE w:val="0"/>
        <w:autoSpaceDN w:val="0"/>
        <w:adjustRightInd w:val="0"/>
        <w:spacing w:after="60" w:line="240" w:lineRule="auto"/>
        <w:ind w:left="992" w:right="6"/>
        <w:jc w:val="both"/>
        <w:rPr>
          <w:rFonts w:cs="Arial"/>
          <w:b/>
          <w:color w:val="003768"/>
          <w:sz w:val="20"/>
          <w:szCs w:val="20"/>
        </w:rPr>
      </w:pPr>
      <w:r w:rsidRPr="0028236F">
        <w:rPr>
          <w:rFonts w:cs="Arial"/>
          <w:b/>
          <w:color w:val="003768"/>
          <w:sz w:val="20"/>
          <w:szCs w:val="20"/>
        </w:rPr>
        <w:t>Operating expenses (adjusted net result)</w:t>
      </w:r>
    </w:p>
    <w:p w:rsidR="0028236F" w:rsidRPr="0028236F" w:rsidRDefault="0028236F" w:rsidP="003B367B">
      <w:pPr>
        <w:pStyle w:val="Lijstalinea"/>
        <w:numPr>
          <w:ilvl w:val="0"/>
          <w:numId w:val="9"/>
        </w:numPr>
        <w:autoSpaceDE w:val="0"/>
        <w:autoSpaceDN w:val="0"/>
        <w:adjustRightInd w:val="0"/>
        <w:spacing w:after="60" w:line="240" w:lineRule="auto"/>
        <w:ind w:right="6"/>
        <w:jc w:val="both"/>
        <w:rPr>
          <w:rFonts w:cs="Arial"/>
          <w:color w:val="003768"/>
          <w:sz w:val="20"/>
          <w:szCs w:val="20"/>
        </w:rPr>
      </w:pPr>
      <w:r w:rsidRPr="0028236F">
        <w:rPr>
          <w:rFonts w:cs="Arial"/>
          <w:color w:val="003768"/>
          <w:sz w:val="20"/>
          <w:szCs w:val="20"/>
        </w:rPr>
        <w:t xml:space="preserve">Operating expenses came to 3 826 million euros in 2013, down 9% on their year-earlier level. On a comparable basis, costs increased by 2%, owing in part to the introduction of the financial transaction levy in Hungary, costs associated with early retirement schemes, higher pension expenses, increased ICT costs and higher costs at KBC Ireland. The year-to-date cost/income ratio came to 52%, a clear indication that costs remain well under control. However, it was positively impacted by the high level of marked-to-market valuations in respect of the derivative instruments used for asset/liability management purposes, by net </w:t>
      </w:r>
      <w:proofErr w:type="spellStart"/>
      <w:r w:rsidRPr="0028236F">
        <w:rPr>
          <w:rFonts w:cs="Arial"/>
          <w:color w:val="003768"/>
          <w:sz w:val="20"/>
          <w:szCs w:val="20"/>
        </w:rPr>
        <w:t>realised</w:t>
      </w:r>
      <w:proofErr w:type="spellEnd"/>
      <w:r w:rsidRPr="0028236F">
        <w:rPr>
          <w:rFonts w:cs="Arial"/>
          <w:color w:val="003768"/>
          <w:sz w:val="20"/>
          <w:szCs w:val="20"/>
        </w:rPr>
        <w:t xml:space="preserve"> gains from available-for-sale assets and by a high level of other income. When these specific income items are disregarded, the cost/income ratio amounted to 54%.</w:t>
      </w:r>
    </w:p>
    <w:p w:rsidR="003B367B" w:rsidRDefault="003B367B">
      <w:pPr>
        <w:spacing w:after="0" w:line="240" w:lineRule="auto"/>
        <w:rPr>
          <w:rFonts w:cs="Arial"/>
          <w:b/>
          <w:color w:val="003768"/>
          <w:sz w:val="20"/>
          <w:szCs w:val="20"/>
        </w:rPr>
      </w:pPr>
      <w:r>
        <w:rPr>
          <w:rFonts w:cs="Arial"/>
          <w:b/>
          <w:color w:val="003768"/>
          <w:sz w:val="20"/>
          <w:szCs w:val="20"/>
        </w:rPr>
        <w:br w:type="page"/>
      </w:r>
    </w:p>
    <w:p w:rsidR="0028236F" w:rsidRPr="0028236F" w:rsidRDefault="0028236F" w:rsidP="003B367B">
      <w:pPr>
        <w:autoSpaceDE w:val="0"/>
        <w:autoSpaceDN w:val="0"/>
        <w:adjustRightInd w:val="0"/>
        <w:spacing w:after="60" w:line="240" w:lineRule="auto"/>
        <w:ind w:left="992" w:right="6"/>
        <w:jc w:val="both"/>
        <w:rPr>
          <w:rFonts w:cs="Arial"/>
          <w:b/>
          <w:color w:val="003768"/>
          <w:sz w:val="20"/>
          <w:szCs w:val="20"/>
        </w:rPr>
      </w:pPr>
      <w:r w:rsidRPr="0028236F">
        <w:rPr>
          <w:rFonts w:cs="Arial"/>
          <w:b/>
          <w:color w:val="003768"/>
          <w:sz w:val="20"/>
          <w:szCs w:val="20"/>
        </w:rPr>
        <w:lastRenderedPageBreak/>
        <w:t>Impairment charges (adjusted net result)</w:t>
      </w:r>
    </w:p>
    <w:p w:rsidR="0028236F" w:rsidRPr="0028236F" w:rsidRDefault="0028236F" w:rsidP="003B367B">
      <w:pPr>
        <w:pStyle w:val="Lijstalinea"/>
        <w:numPr>
          <w:ilvl w:val="0"/>
          <w:numId w:val="9"/>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 xml:space="preserve">Loan loss impairment stood at 1 638 million euros in 2013, up on the 1 072 million euros recorded a year earlier. The figure for 2013 included loan loss impairment of 1 059 million euros recorded at KBC Bank Ireland (as opposed to 547 million euros in 2012), as well as a relatively high 328 million euros in the Belgium Business Unit (as opposed to 246 million euros in 2012). The </w:t>
      </w:r>
      <w:proofErr w:type="spellStart"/>
      <w:r w:rsidRPr="0028236F">
        <w:rPr>
          <w:rFonts w:cs="Arial"/>
          <w:color w:val="003768"/>
          <w:sz w:val="20"/>
          <w:szCs w:val="20"/>
        </w:rPr>
        <w:t>annualised</w:t>
      </w:r>
      <w:proofErr w:type="spellEnd"/>
      <w:r w:rsidRPr="0028236F">
        <w:rPr>
          <w:rFonts w:cs="Arial"/>
          <w:color w:val="003768"/>
          <w:sz w:val="20"/>
          <w:szCs w:val="20"/>
        </w:rPr>
        <w:t xml:space="preserve"> credit cost ratio stood at 1.19% year-to-date. This breaks down into 0.37% for the Belgium Business Unit (up from 0.28% for FY2012), 0.25% for the Czech Republic Business Unit (compared with 0.31% for FY2012) and 4.48% for the International Markets Business Unit (up from 2.26% for FY2012). </w:t>
      </w:r>
    </w:p>
    <w:p w:rsidR="0028236F" w:rsidRPr="0028236F" w:rsidRDefault="0028236F" w:rsidP="003B367B">
      <w:pPr>
        <w:pStyle w:val="Lijstalinea"/>
        <w:numPr>
          <w:ilvl w:val="0"/>
          <w:numId w:val="9"/>
        </w:numPr>
        <w:autoSpaceDE w:val="0"/>
        <w:autoSpaceDN w:val="0"/>
        <w:adjustRightInd w:val="0"/>
        <w:spacing w:after="60" w:line="240" w:lineRule="auto"/>
        <w:ind w:left="1706" w:right="6" w:hanging="357"/>
        <w:contextualSpacing w:val="0"/>
        <w:jc w:val="both"/>
        <w:rPr>
          <w:rFonts w:cs="Arial"/>
          <w:color w:val="003768"/>
          <w:sz w:val="20"/>
          <w:szCs w:val="20"/>
        </w:rPr>
      </w:pPr>
      <w:r w:rsidRPr="0028236F">
        <w:rPr>
          <w:rFonts w:cs="Arial"/>
          <w:color w:val="003768"/>
          <w:sz w:val="20"/>
          <w:szCs w:val="20"/>
        </w:rPr>
        <w:t>In the year under review, impairment charges came to 20 million euros for available-for-sale assets, 7 million euros for goodwill and 64 million euros for other items.</w:t>
      </w:r>
    </w:p>
    <w:p w:rsidR="0028236F" w:rsidRPr="0028236F" w:rsidRDefault="0028236F" w:rsidP="003B367B">
      <w:pPr>
        <w:autoSpaceDE w:val="0"/>
        <w:autoSpaceDN w:val="0"/>
        <w:adjustRightInd w:val="0"/>
        <w:spacing w:after="60" w:line="240" w:lineRule="auto"/>
        <w:ind w:left="992" w:right="6"/>
        <w:jc w:val="both"/>
        <w:rPr>
          <w:rFonts w:cs="Arial"/>
          <w:b/>
          <w:color w:val="003768"/>
          <w:sz w:val="20"/>
          <w:szCs w:val="20"/>
        </w:rPr>
      </w:pPr>
      <w:r w:rsidRPr="0028236F">
        <w:rPr>
          <w:rFonts w:cs="Arial"/>
          <w:b/>
          <w:color w:val="003768"/>
          <w:sz w:val="20"/>
          <w:szCs w:val="20"/>
        </w:rPr>
        <w:t>Income tax</w:t>
      </w:r>
    </w:p>
    <w:p w:rsidR="0028236F" w:rsidRPr="0028236F" w:rsidRDefault="0028236F" w:rsidP="00F33B64">
      <w:pPr>
        <w:pStyle w:val="Lijstalinea"/>
        <w:numPr>
          <w:ilvl w:val="0"/>
          <w:numId w:val="10"/>
        </w:numPr>
        <w:autoSpaceDE w:val="0"/>
        <w:autoSpaceDN w:val="0"/>
        <w:adjustRightInd w:val="0"/>
        <w:spacing w:after="120" w:line="240" w:lineRule="auto"/>
        <w:ind w:right="6"/>
        <w:contextualSpacing w:val="0"/>
        <w:jc w:val="both"/>
        <w:rPr>
          <w:rFonts w:cs="Arial"/>
          <w:color w:val="003768"/>
          <w:sz w:val="20"/>
          <w:szCs w:val="20"/>
        </w:rPr>
      </w:pPr>
      <w:r w:rsidRPr="0028236F">
        <w:rPr>
          <w:rFonts w:cs="Arial"/>
          <w:color w:val="003768"/>
          <w:sz w:val="20"/>
          <w:szCs w:val="20"/>
        </w:rPr>
        <w:t>Income tax amounted to 668 million euros for 2013, as opposed to 553 million euros for 2012.</w:t>
      </w:r>
    </w:p>
    <w:p w:rsidR="0028236F" w:rsidRPr="002A5D6D" w:rsidRDefault="002A5D6D" w:rsidP="00F33B64">
      <w:pPr>
        <w:autoSpaceDE w:val="0"/>
        <w:autoSpaceDN w:val="0"/>
        <w:adjustRightInd w:val="0"/>
        <w:spacing w:after="120" w:line="240" w:lineRule="auto"/>
        <w:ind w:left="992" w:right="6"/>
        <w:jc w:val="both"/>
        <w:rPr>
          <w:rFonts w:cs="Arial"/>
          <w:b/>
          <w:color w:val="003768"/>
          <w:sz w:val="20"/>
          <w:szCs w:val="20"/>
        </w:rPr>
      </w:pPr>
      <w:r w:rsidRPr="002A5D6D">
        <w:rPr>
          <w:rFonts w:cs="Arial"/>
          <w:b/>
          <w:color w:val="003768"/>
          <w:sz w:val="20"/>
          <w:szCs w:val="20"/>
        </w:rPr>
        <w:t>Impact of the legacy business and own credit risk on the result:</w:t>
      </w:r>
    </w:p>
    <w:p w:rsidR="002A5D6D" w:rsidRPr="002A5D6D" w:rsidRDefault="002A5D6D" w:rsidP="003B367B">
      <w:pPr>
        <w:autoSpaceDE w:val="0"/>
        <w:autoSpaceDN w:val="0"/>
        <w:adjustRightInd w:val="0"/>
        <w:spacing w:after="60" w:line="240" w:lineRule="auto"/>
        <w:ind w:left="992" w:right="6"/>
        <w:jc w:val="both"/>
        <w:rPr>
          <w:rFonts w:cs="Arial"/>
          <w:color w:val="003768"/>
          <w:sz w:val="20"/>
          <w:szCs w:val="20"/>
        </w:rPr>
      </w:pPr>
      <w:r w:rsidRPr="002A5D6D">
        <w:rPr>
          <w:rFonts w:cs="Arial"/>
          <w:color w:val="003768"/>
          <w:sz w:val="20"/>
          <w:szCs w:val="20"/>
        </w:rPr>
        <w:t>In order to give a good insight into the ongoing business performance, KBC also provides adjusted figures that exclude a) the impact of the legacy business, i.e. the valuation of the remaining CDOs in portfolio (including fees for the related guarantee agreement with the Belgian State) and the impact of divestments and b) the impact of the valuation of own credit risk. For the quarter under review, these items had the following impact:</w:t>
      </w:r>
    </w:p>
    <w:p w:rsidR="002A5D6D" w:rsidRPr="002A5D6D" w:rsidRDefault="002A5D6D" w:rsidP="003B367B">
      <w:pPr>
        <w:pStyle w:val="Lijstalinea"/>
        <w:numPr>
          <w:ilvl w:val="0"/>
          <w:numId w:val="10"/>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CDOs: In 2013, corporate and ABS credit spreads tightened further. When account is taken of the impact of the fee for the CDO guarantee scheme with the Belgian Federal Government, along with the costs for early termination or collapse, there was a positive post-tax impact of 446 million euros.</w:t>
      </w:r>
    </w:p>
    <w:p w:rsidR="002A5D6D" w:rsidRPr="002A5D6D" w:rsidRDefault="002A5D6D" w:rsidP="003B367B">
      <w:pPr>
        <w:pStyle w:val="Lijstalinea"/>
        <w:numPr>
          <w:ilvl w:val="0"/>
          <w:numId w:val="10"/>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 xml:space="preserve">Remaining divestments: A total post-tax negative impact of 348 million euros was recorded for 2013. This was attributable primarily to the divestments of KBC Banka, Absolut Bank, Antwerp Diamond Bank, Nova </w:t>
      </w:r>
      <w:proofErr w:type="spellStart"/>
      <w:r w:rsidRPr="002A5D6D">
        <w:rPr>
          <w:rFonts w:cs="Arial"/>
          <w:color w:val="003768"/>
          <w:sz w:val="20"/>
          <w:szCs w:val="20"/>
        </w:rPr>
        <w:t>Ljubljanska</w:t>
      </w:r>
      <w:proofErr w:type="spellEnd"/>
      <w:r w:rsidRPr="002A5D6D">
        <w:rPr>
          <w:rFonts w:cs="Arial"/>
          <w:color w:val="003768"/>
          <w:sz w:val="20"/>
          <w:szCs w:val="20"/>
        </w:rPr>
        <w:t xml:space="preserve"> </w:t>
      </w:r>
      <w:proofErr w:type="spellStart"/>
      <w:r w:rsidRPr="002A5D6D">
        <w:rPr>
          <w:rFonts w:cs="Arial"/>
          <w:color w:val="003768"/>
          <w:sz w:val="20"/>
          <w:szCs w:val="20"/>
        </w:rPr>
        <w:t>banka</w:t>
      </w:r>
      <w:proofErr w:type="spellEnd"/>
      <w:r w:rsidRPr="002A5D6D">
        <w:rPr>
          <w:rFonts w:cs="Arial"/>
          <w:color w:val="003768"/>
          <w:sz w:val="20"/>
          <w:szCs w:val="20"/>
        </w:rPr>
        <w:t xml:space="preserve">, Bank </w:t>
      </w:r>
      <w:proofErr w:type="spellStart"/>
      <w:r w:rsidRPr="002A5D6D">
        <w:rPr>
          <w:rFonts w:cs="Arial"/>
          <w:color w:val="003768"/>
          <w:sz w:val="20"/>
          <w:szCs w:val="20"/>
        </w:rPr>
        <w:t>Zachodni</w:t>
      </w:r>
      <w:proofErr w:type="spellEnd"/>
      <w:r w:rsidRPr="002A5D6D">
        <w:rPr>
          <w:rFonts w:cs="Arial"/>
          <w:color w:val="003768"/>
          <w:sz w:val="20"/>
          <w:szCs w:val="20"/>
        </w:rPr>
        <w:t>, as well as to the costs linked to the reduction in shareholders’ loans.</w:t>
      </w:r>
    </w:p>
    <w:p w:rsidR="0028236F" w:rsidRPr="002A5D6D" w:rsidRDefault="002A5D6D" w:rsidP="003B367B">
      <w:pPr>
        <w:pStyle w:val="Lijstalinea"/>
        <w:numPr>
          <w:ilvl w:val="0"/>
          <w:numId w:val="10"/>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Impact of own credit risk valuation: The tightening of the credit spread on KBC debt in 2013 resulted in a negative marked-to-market adjustment of 43 million euros (post tax), but had no impact on regulatory capital.</w:t>
      </w:r>
    </w:p>
    <w:p w:rsidR="0028236F" w:rsidRPr="002A5D6D" w:rsidRDefault="002A5D6D" w:rsidP="003B367B">
      <w:pPr>
        <w:autoSpaceDE w:val="0"/>
        <w:autoSpaceDN w:val="0"/>
        <w:adjustRightInd w:val="0"/>
        <w:spacing w:after="60" w:line="240" w:lineRule="auto"/>
        <w:ind w:left="992" w:right="6"/>
        <w:jc w:val="both"/>
        <w:rPr>
          <w:rFonts w:cs="Arial"/>
          <w:b/>
          <w:color w:val="003768"/>
          <w:sz w:val="20"/>
          <w:szCs w:val="20"/>
        </w:rPr>
      </w:pPr>
      <w:r w:rsidRPr="002A5D6D">
        <w:rPr>
          <w:rFonts w:cs="Arial"/>
          <w:b/>
          <w:color w:val="003768"/>
          <w:sz w:val="20"/>
          <w:szCs w:val="20"/>
        </w:rPr>
        <w:t>Equity and solvency</w:t>
      </w:r>
    </w:p>
    <w:p w:rsidR="002A5D6D" w:rsidRPr="002A5D6D" w:rsidRDefault="002A5D6D" w:rsidP="003B367B">
      <w:pPr>
        <w:pStyle w:val="Lijstalinea"/>
        <w:numPr>
          <w:ilvl w:val="0"/>
          <w:numId w:val="11"/>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 xml:space="preserve">At the end of 2013, total equity came to 14.5 billion euros – down 1.4 billion euros on its level at the start of the year – due mainly to the payment of a dividend (-0.4 billion euros), the payment of the coupon on non-voting core-capital securities subscribed to by the Belgian Federal and Flemish Regional governments (-0.5 billion euros), the repayment of 1.17 billion euros (plus 50% penalty) in Flemish state aid (-1.8 billion euros), but partially offset by the inclusion of the 2013 results (1.0 billion euros) and the changes in the AFS reserve and </w:t>
      </w:r>
      <w:proofErr w:type="spellStart"/>
      <w:r w:rsidRPr="002A5D6D">
        <w:rPr>
          <w:rFonts w:cs="Arial"/>
          <w:color w:val="003768"/>
          <w:sz w:val="20"/>
          <w:szCs w:val="20"/>
        </w:rPr>
        <w:t>cashflow</w:t>
      </w:r>
      <w:proofErr w:type="spellEnd"/>
      <w:r w:rsidRPr="002A5D6D">
        <w:rPr>
          <w:rFonts w:cs="Arial"/>
          <w:color w:val="003768"/>
          <w:sz w:val="20"/>
          <w:szCs w:val="20"/>
        </w:rPr>
        <w:t xml:space="preserve"> reserve (a combined 0.2 billion euros).</w:t>
      </w:r>
    </w:p>
    <w:p w:rsidR="002A5D6D" w:rsidRPr="002A5D6D" w:rsidRDefault="002A5D6D" w:rsidP="003B367B">
      <w:pPr>
        <w:pStyle w:val="Lijstalinea"/>
        <w:numPr>
          <w:ilvl w:val="0"/>
          <w:numId w:val="11"/>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 xml:space="preserve">The group’s tier-1 ratio (under Basel II) stood at a strong 15.8% at 31 December 2013 (core tier-1 ratio of 13.5%). Including the impact of the divestment agreements signed for KBC Bank Deutschland and Antwerp Diamond Bank, as well as the repayment of the second instalment of aid received from the Flemish Regional Government, the group’s tier-1 ratio (under Basel II) stood at a robust 15.6% (core tier-1 ratio of 13.2%). The solvency ratio for KBC Insurance was an excellent 281% at 31 December 2013, down somewhat from the very high 322% at the end of 2012. </w:t>
      </w:r>
    </w:p>
    <w:p w:rsidR="002A5D6D" w:rsidRPr="002A5D6D" w:rsidRDefault="002A5D6D" w:rsidP="003B367B">
      <w:pPr>
        <w:pStyle w:val="Lijstalinea"/>
        <w:numPr>
          <w:ilvl w:val="0"/>
          <w:numId w:val="11"/>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The common equity ratio (pro forma) under the current Basel III framework came to 12.5% at the end of the fourth quarter of 2013 (fully loaded, but including the remaining aid from the Flemish Region, the impact of the divestment agreements signed for KBC Bank Deutschland and Antwerp Diamond Bank, as well as the repayment of 500 million euros to the Flemish Regional Government), well above the targeted common equity ratio of 10% under Basel III (fully loaded).</w:t>
      </w:r>
    </w:p>
    <w:p w:rsidR="002A5D6D" w:rsidRPr="002A5D6D" w:rsidRDefault="002A5D6D" w:rsidP="003B367B">
      <w:pPr>
        <w:autoSpaceDE w:val="0"/>
        <w:autoSpaceDN w:val="0"/>
        <w:adjustRightInd w:val="0"/>
        <w:spacing w:after="60" w:line="240" w:lineRule="auto"/>
        <w:ind w:left="992" w:right="6"/>
        <w:jc w:val="both"/>
        <w:rPr>
          <w:rFonts w:cs="Arial"/>
          <w:b/>
          <w:color w:val="003768"/>
          <w:sz w:val="20"/>
          <w:szCs w:val="20"/>
        </w:rPr>
      </w:pPr>
      <w:r w:rsidRPr="002A5D6D">
        <w:rPr>
          <w:rFonts w:cs="Arial"/>
          <w:b/>
          <w:color w:val="003768"/>
          <w:sz w:val="20"/>
          <w:szCs w:val="20"/>
        </w:rPr>
        <w:t>Liquidity</w:t>
      </w:r>
    </w:p>
    <w:p w:rsidR="002A5D6D" w:rsidRPr="002A5D6D" w:rsidRDefault="002A5D6D" w:rsidP="003B367B">
      <w:pPr>
        <w:pStyle w:val="Lijstalinea"/>
        <w:numPr>
          <w:ilvl w:val="0"/>
          <w:numId w:val="12"/>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The group’s liquidity remains excellent, as reflected in an LCR ratio of 131% and an NSFR ratio of 111% at the end of the fourth quarter.</w:t>
      </w:r>
    </w:p>
    <w:p w:rsidR="002A5D6D" w:rsidRDefault="002A5D6D">
      <w:pPr>
        <w:spacing w:after="0" w:line="240" w:lineRule="auto"/>
        <w:rPr>
          <w:rFonts w:cs="Arial"/>
          <w:color w:val="003768"/>
          <w:sz w:val="20"/>
          <w:szCs w:val="20"/>
        </w:rPr>
      </w:pPr>
      <w:r>
        <w:rPr>
          <w:rFonts w:cs="Arial"/>
          <w:color w:val="003768"/>
          <w:sz w:val="20"/>
          <w:szCs w:val="20"/>
        </w:rPr>
        <w:br w:type="page"/>
      </w:r>
    </w:p>
    <w:p w:rsidR="002A5D6D" w:rsidRDefault="002A5D6D" w:rsidP="002A5D6D">
      <w:pPr>
        <w:autoSpaceDE w:val="0"/>
        <w:autoSpaceDN w:val="0"/>
        <w:adjustRightInd w:val="0"/>
        <w:spacing w:after="120" w:line="240" w:lineRule="auto"/>
        <w:ind w:left="992" w:right="6"/>
        <w:jc w:val="both"/>
        <w:rPr>
          <w:rFonts w:cs="Arial"/>
          <w:color w:val="003768"/>
          <w:sz w:val="20"/>
          <w:szCs w:val="20"/>
        </w:rPr>
      </w:pPr>
      <w:r>
        <w:rPr>
          <w:rFonts w:cs="Arial"/>
          <w:noProof/>
          <w:color w:val="003768"/>
          <w:sz w:val="20"/>
          <w:szCs w:val="20"/>
          <w:lang w:val="nl-BE" w:eastAsia="nl-BE"/>
        </w:rPr>
        <w:lastRenderedPageBreak/>
        <w:drawing>
          <wp:inline distT="0" distB="0" distL="0" distR="0" wp14:anchorId="0F3FED12">
            <wp:extent cx="6450330" cy="530225"/>
            <wp:effectExtent l="0" t="0" r="762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p w:rsidR="002A5D6D" w:rsidRDefault="002A5D6D" w:rsidP="002A5D6D">
      <w:pPr>
        <w:autoSpaceDE w:val="0"/>
        <w:autoSpaceDN w:val="0"/>
        <w:adjustRightInd w:val="0"/>
        <w:spacing w:after="120" w:line="240" w:lineRule="auto"/>
        <w:ind w:left="992" w:right="6"/>
        <w:jc w:val="both"/>
        <w:rPr>
          <w:rFonts w:cs="Arial"/>
          <w:color w:val="003768"/>
          <w:sz w:val="20"/>
          <w:szCs w:val="20"/>
        </w:rPr>
      </w:pPr>
    </w:p>
    <w:tbl>
      <w:tblPr>
        <w:tblW w:w="10008" w:type="dxa"/>
        <w:tblInd w:w="1223" w:type="dxa"/>
        <w:tblLook w:val="01E0" w:firstRow="1" w:lastRow="1" w:firstColumn="1" w:lastColumn="1" w:noHBand="0" w:noVBand="0"/>
      </w:tblPr>
      <w:tblGrid>
        <w:gridCol w:w="3686"/>
        <w:gridCol w:w="794"/>
        <w:gridCol w:w="794"/>
        <w:gridCol w:w="794"/>
        <w:gridCol w:w="794"/>
        <w:gridCol w:w="794"/>
        <w:gridCol w:w="794"/>
        <w:gridCol w:w="764"/>
        <w:gridCol w:w="794"/>
      </w:tblGrid>
      <w:tr w:rsidR="002A5D6D" w:rsidRPr="00E903B5" w:rsidTr="002A5D6D">
        <w:tc>
          <w:tcPr>
            <w:tcW w:w="3686" w:type="dxa"/>
            <w:shd w:val="clear" w:color="auto" w:fill="365F91" w:themeFill="accent1" w:themeFillShade="BF"/>
            <w:vAlign w:val="center"/>
          </w:tcPr>
          <w:p w:rsidR="002A5D6D" w:rsidRPr="00E903B5" w:rsidRDefault="002A5D6D" w:rsidP="009604C7">
            <w:pPr>
              <w:pStyle w:val="Intro"/>
              <w:jc w:val="left"/>
              <w:rPr>
                <w:b w:val="0"/>
                <w:color w:val="FFFFFF" w:themeColor="background1"/>
                <w:sz w:val="14"/>
                <w:szCs w:val="14"/>
                <w:lang w:val="en-GB"/>
              </w:rPr>
            </w:pPr>
            <w:r w:rsidRPr="00E903B5">
              <w:rPr>
                <w:b w:val="0"/>
                <w:color w:val="FFFFFF" w:themeColor="background1"/>
                <w:sz w:val="14"/>
                <w:szCs w:val="14"/>
                <w:lang w:val="en-GB"/>
              </w:rPr>
              <w:t xml:space="preserve">Highlights of consolidated balance sheet </w:t>
            </w:r>
            <w:r w:rsidRPr="00E903B5">
              <w:rPr>
                <w:b w:val="0"/>
                <w:color w:val="FFFFFF" w:themeColor="background1"/>
                <w:sz w:val="14"/>
                <w:szCs w:val="14"/>
                <w:lang w:val="en-GB"/>
              </w:rPr>
              <w:br/>
              <w:t>KBC Group (in millions of EUR)</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31-03-2012</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30-06-2012</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30-09-2012</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31-12-2012</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31-03-2013</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30-06-2013</w:t>
            </w:r>
          </w:p>
        </w:tc>
        <w:tc>
          <w:tcPr>
            <w:tcW w:w="76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30-09-2013</w:t>
            </w:r>
          </w:p>
        </w:tc>
        <w:tc>
          <w:tcPr>
            <w:tcW w:w="794" w:type="dxa"/>
            <w:shd w:val="clear" w:color="auto" w:fill="365F91" w:themeFill="accent1" w:themeFillShade="BF"/>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31-12-2013</w:t>
            </w:r>
          </w:p>
        </w:tc>
      </w:tr>
      <w:tr w:rsidR="002A5D6D" w:rsidRPr="00E903B5" w:rsidTr="002A5D6D">
        <w:trPr>
          <w:trHeight w:val="284"/>
        </w:trPr>
        <w:tc>
          <w:tcPr>
            <w:tcW w:w="3686" w:type="dxa"/>
            <w:vAlign w:val="center"/>
          </w:tcPr>
          <w:p w:rsidR="002A5D6D" w:rsidRPr="00E903B5" w:rsidRDefault="002A5D6D" w:rsidP="009604C7">
            <w:pPr>
              <w:pStyle w:val="Intro"/>
              <w:jc w:val="left"/>
              <w:rPr>
                <w:b w:val="0"/>
                <w:sz w:val="14"/>
                <w:szCs w:val="14"/>
                <w:lang w:val="en-GB"/>
              </w:rPr>
            </w:pPr>
            <w:r w:rsidRPr="00E903B5">
              <w:rPr>
                <w:b w:val="0"/>
                <w:sz w:val="14"/>
                <w:szCs w:val="14"/>
                <w:lang w:val="en-GB"/>
              </w:rPr>
              <w:t>Total assets</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290 635</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285 848</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270 010</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256 928°</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258 567</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253 297</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250 260</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241 306</w:t>
            </w:r>
          </w:p>
        </w:tc>
      </w:tr>
      <w:tr w:rsidR="002A5D6D" w:rsidRPr="00E903B5" w:rsidTr="002A5D6D">
        <w:trPr>
          <w:trHeight w:val="284"/>
        </w:trPr>
        <w:tc>
          <w:tcPr>
            <w:tcW w:w="3686" w:type="dxa"/>
            <w:vAlign w:val="center"/>
          </w:tcPr>
          <w:p w:rsidR="002A5D6D" w:rsidRPr="00E903B5" w:rsidRDefault="002A5D6D" w:rsidP="009604C7">
            <w:pPr>
              <w:pStyle w:val="Intro"/>
              <w:jc w:val="left"/>
              <w:rPr>
                <w:b w:val="0"/>
                <w:sz w:val="14"/>
                <w:szCs w:val="14"/>
                <w:lang w:val="en-GB"/>
              </w:rPr>
            </w:pPr>
            <w:r w:rsidRPr="00E903B5">
              <w:rPr>
                <w:b w:val="0"/>
                <w:sz w:val="14"/>
                <w:szCs w:val="14"/>
                <w:lang w:val="en-GB"/>
              </w:rPr>
              <w:t>Loans and advances to customers*</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135 980</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133 326</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131 048</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128 492</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129 753</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131 769</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128 377</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122 790</w:t>
            </w:r>
          </w:p>
        </w:tc>
      </w:tr>
      <w:tr w:rsidR="002A5D6D" w:rsidRPr="00E903B5" w:rsidTr="002A5D6D">
        <w:trPr>
          <w:trHeight w:val="284"/>
        </w:trPr>
        <w:tc>
          <w:tcPr>
            <w:tcW w:w="3686" w:type="dxa"/>
            <w:vAlign w:val="center"/>
          </w:tcPr>
          <w:p w:rsidR="002A5D6D" w:rsidRPr="00E903B5" w:rsidRDefault="002A5D6D" w:rsidP="009604C7">
            <w:pPr>
              <w:pStyle w:val="Intro"/>
              <w:jc w:val="left"/>
              <w:rPr>
                <w:b w:val="0"/>
                <w:sz w:val="14"/>
                <w:szCs w:val="14"/>
                <w:lang w:val="en-GB"/>
              </w:rPr>
            </w:pPr>
            <w:r w:rsidRPr="00E903B5">
              <w:rPr>
                <w:b w:val="0"/>
                <w:sz w:val="14"/>
                <w:szCs w:val="14"/>
                <w:lang w:val="en-GB"/>
              </w:rPr>
              <w:t>Securities (equity and debt instruments)*</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65 853</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64 227</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65 171</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67 295</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65 071</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65 722</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64 147</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65 177</w:t>
            </w:r>
          </w:p>
        </w:tc>
      </w:tr>
      <w:tr w:rsidR="002A5D6D" w:rsidRPr="00E903B5" w:rsidTr="002A5D6D">
        <w:trPr>
          <w:trHeight w:val="284"/>
        </w:trPr>
        <w:tc>
          <w:tcPr>
            <w:tcW w:w="3686" w:type="dxa"/>
            <w:vAlign w:val="center"/>
          </w:tcPr>
          <w:p w:rsidR="002A5D6D" w:rsidRPr="00E903B5" w:rsidRDefault="002A5D6D" w:rsidP="009604C7">
            <w:pPr>
              <w:pStyle w:val="Intro"/>
              <w:jc w:val="left"/>
              <w:rPr>
                <w:b w:val="0"/>
                <w:sz w:val="14"/>
                <w:szCs w:val="14"/>
                <w:lang w:val="en-GB"/>
              </w:rPr>
            </w:pPr>
            <w:r w:rsidRPr="00E903B5">
              <w:rPr>
                <w:b w:val="0"/>
                <w:sz w:val="14"/>
                <w:szCs w:val="14"/>
                <w:lang w:val="en-GB"/>
              </w:rPr>
              <w:t>Deposits from customers and debt certificates*</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166 551</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163 685</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160 945</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159 632</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167 994</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167 414</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169 413</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164 141</w:t>
            </w:r>
          </w:p>
        </w:tc>
      </w:tr>
      <w:tr w:rsidR="002A5D6D" w:rsidRPr="00E903B5" w:rsidTr="002A5D6D">
        <w:trPr>
          <w:trHeight w:val="74"/>
        </w:trPr>
        <w:tc>
          <w:tcPr>
            <w:tcW w:w="3686" w:type="dxa"/>
            <w:vAlign w:val="center"/>
          </w:tcPr>
          <w:p w:rsidR="002A5D6D" w:rsidRPr="00E903B5" w:rsidRDefault="002A5D6D" w:rsidP="009604C7">
            <w:pPr>
              <w:pStyle w:val="Intro"/>
              <w:spacing w:before="120"/>
              <w:jc w:val="left"/>
              <w:rPr>
                <w:b w:val="0"/>
                <w:sz w:val="14"/>
                <w:szCs w:val="14"/>
                <w:lang w:val="en-GB"/>
              </w:rPr>
            </w:pPr>
            <w:r w:rsidRPr="00E903B5">
              <w:rPr>
                <w:b w:val="0"/>
                <w:sz w:val="14"/>
                <w:szCs w:val="14"/>
                <w:lang w:val="en-GB"/>
              </w:rPr>
              <w:t>Technical provisions, before reinsurance*</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19 925</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19 539</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19 637</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19 205</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18 836</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18 805</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18 803</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18 701</w:t>
            </w:r>
          </w:p>
        </w:tc>
      </w:tr>
      <w:tr w:rsidR="002A5D6D" w:rsidRPr="00E903B5" w:rsidTr="002A5D6D">
        <w:trPr>
          <w:trHeight w:val="284"/>
        </w:trPr>
        <w:tc>
          <w:tcPr>
            <w:tcW w:w="3686" w:type="dxa"/>
            <w:vAlign w:val="center"/>
          </w:tcPr>
          <w:p w:rsidR="002A5D6D" w:rsidRPr="00E903B5" w:rsidRDefault="002A5D6D" w:rsidP="009604C7">
            <w:pPr>
              <w:pStyle w:val="Intro"/>
              <w:spacing w:before="120"/>
              <w:jc w:val="left"/>
              <w:rPr>
                <w:b w:val="0"/>
                <w:sz w:val="14"/>
                <w:szCs w:val="14"/>
                <w:lang w:val="en-GB"/>
              </w:rPr>
            </w:pPr>
            <w:r w:rsidRPr="00E903B5">
              <w:rPr>
                <w:b w:val="0"/>
                <w:sz w:val="14"/>
                <w:szCs w:val="14"/>
                <w:lang w:val="en-GB"/>
              </w:rPr>
              <w:t>Liabilities under investment contracts, insurance*</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7 871</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8 856</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9 680</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10 853</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11 664</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11 606</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11 684</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11 787</w:t>
            </w:r>
          </w:p>
        </w:tc>
      </w:tr>
      <w:tr w:rsidR="002A5D6D" w:rsidRPr="00E903B5" w:rsidTr="002A5D6D">
        <w:trPr>
          <w:trHeight w:val="284"/>
        </w:trPr>
        <w:tc>
          <w:tcPr>
            <w:tcW w:w="3686" w:type="dxa"/>
            <w:vAlign w:val="center"/>
          </w:tcPr>
          <w:p w:rsidR="002A5D6D" w:rsidRPr="00E903B5" w:rsidRDefault="002A5D6D" w:rsidP="009604C7">
            <w:pPr>
              <w:pStyle w:val="Intro"/>
              <w:spacing w:before="120"/>
              <w:jc w:val="left"/>
              <w:rPr>
                <w:b w:val="0"/>
                <w:sz w:val="14"/>
                <w:szCs w:val="14"/>
                <w:lang w:val="en-GB"/>
              </w:rPr>
            </w:pPr>
            <w:r w:rsidRPr="00E903B5">
              <w:rPr>
                <w:b w:val="0"/>
                <w:sz w:val="14"/>
                <w:szCs w:val="14"/>
                <w:lang w:val="en-GB"/>
              </w:rPr>
              <w:t>Parent shareholders’ equity</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10 949</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9 687</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10 629</w:t>
            </w:r>
          </w:p>
        </w:tc>
        <w:tc>
          <w:tcPr>
            <w:tcW w:w="79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12 017°</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12 505</w:t>
            </w:r>
          </w:p>
        </w:tc>
        <w:tc>
          <w:tcPr>
            <w:tcW w:w="79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12 119</w:t>
            </w:r>
          </w:p>
        </w:tc>
        <w:tc>
          <w:tcPr>
            <w:tcW w:w="764" w:type="dxa"/>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11 895</w:t>
            </w:r>
          </w:p>
        </w:tc>
        <w:tc>
          <w:tcPr>
            <w:tcW w:w="79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11 826</w:t>
            </w:r>
          </w:p>
        </w:tc>
      </w:tr>
      <w:tr w:rsidR="002A5D6D" w:rsidRPr="00E903B5" w:rsidTr="002A5D6D">
        <w:trPr>
          <w:trHeight w:val="284"/>
        </w:trPr>
        <w:tc>
          <w:tcPr>
            <w:tcW w:w="3686" w:type="dxa"/>
            <w:tcBorders>
              <w:bottom w:val="single" w:sz="8" w:space="0" w:color="1F497D" w:themeColor="text2"/>
            </w:tcBorders>
            <w:vAlign w:val="center"/>
          </w:tcPr>
          <w:p w:rsidR="002A5D6D" w:rsidRPr="00E903B5" w:rsidRDefault="002A5D6D" w:rsidP="009604C7">
            <w:pPr>
              <w:pStyle w:val="Intro"/>
              <w:spacing w:before="120"/>
              <w:jc w:val="left"/>
              <w:rPr>
                <w:b w:val="0"/>
                <w:sz w:val="14"/>
                <w:szCs w:val="14"/>
                <w:lang w:val="en-GB"/>
              </w:rPr>
            </w:pPr>
            <w:r w:rsidRPr="00E903B5">
              <w:rPr>
                <w:b w:val="0"/>
                <w:sz w:val="14"/>
                <w:szCs w:val="14"/>
                <w:lang w:val="en-GB"/>
              </w:rPr>
              <w:t>Non-voting core-capital securities</w:t>
            </w:r>
          </w:p>
        </w:tc>
        <w:tc>
          <w:tcPr>
            <w:tcW w:w="794" w:type="dxa"/>
            <w:tcBorders>
              <w:bottom w:val="single" w:sz="8" w:space="0" w:color="1F497D" w:themeColor="text2"/>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6 500</w:t>
            </w:r>
          </w:p>
        </w:tc>
        <w:tc>
          <w:tcPr>
            <w:tcW w:w="794" w:type="dxa"/>
            <w:tcBorders>
              <w:bottom w:val="single" w:sz="8" w:space="0" w:color="1F497D" w:themeColor="text2"/>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6 500</w:t>
            </w:r>
          </w:p>
        </w:tc>
        <w:tc>
          <w:tcPr>
            <w:tcW w:w="794" w:type="dxa"/>
            <w:tcBorders>
              <w:bottom w:val="single" w:sz="8" w:space="0" w:color="1F497D" w:themeColor="text2"/>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6 500</w:t>
            </w:r>
          </w:p>
        </w:tc>
        <w:tc>
          <w:tcPr>
            <w:tcW w:w="794" w:type="dxa"/>
            <w:tcBorders>
              <w:bottom w:val="single" w:sz="8" w:space="0" w:color="1F497D" w:themeColor="text2"/>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3 500</w:t>
            </w:r>
          </w:p>
        </w:tc>
        <w:tc>
          <w:tcPr>
            <w:tcW w:w="794" w:type="dxa"/>
            <w:tcBorders>
              <w:bottom w:val="single" w:sz="8" w:space="0" w:color="1F497D" w:themeColor="text2"/>
            </w:tcBorders>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3 500</w:t>
            </w:r>
          </w:p>
        </w:tc>
        <w:tc>
          <w:tcPr>
            <w:tcW w:w="794" w:type="dxa"/>
            <w:tcBorders>
              <w:bottom w:val="single" w:sz="8" w:space="0" w:color="1F497D" w:themeColor="text2"/>
            </w:tcBorders>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3 500</w:t>
            </w:r>
          </w:p>
        </w:tc>
        <w:tc>
          <w:tcPr>
            <w:tcW w:w="764" w:type="dxa"/>
            <w:tcBorders>
              <w:bottom w:val="single" w:sz="8" w:space="0" w:color="1F497D" w:themeColor="text2"/>
            </w:tcBorders>
            <w:shd w:val="clear" w:color="auto" w:fill="auto"/>
            <w:vAlign w:val="center"/>
          </w:tcPr>
          <w:p w:rsidR="002A5D6D" w:rsidRPr="00E903B5" w:rsidRDefault="002A5D6D" w:rsidP="009604C7">
            <w:pPr>
              <w:pStyle w:val="Intro"/>
              <w:jc w:val="right"/>
              <w:rPr>
                <w:b w:val="0"/>
                <w:sz w:val="14"/>
                <w:szCs w:val="14"/>
                <w:lang w:val="en-GB"/>
              </w:rPr>
            </w:pPr>
            <w:r w:rsidRPr="00E903B5">
              <w:rPr>
                <w:b w:val="0"/>
                <w:sz w:val="14"/>
                <w:szCs w:val="14"/>
                <w:lang w:val="en-GB"/>
              </w:rPr>
              <w:t>2 333</w:t>
            </w:r>
          </w:p>
        </w:tc>
        <w:tc>
          <w:tcPr>
            <w:tcW w:w="794" w:type="dxa"/>
            <w:tcBorders>
              <w:bottom w:val="single" w:sz="8" w:space="0" w:color="1F497D" w:themeColor="text2"/>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2 333</w:t>
            </w:r>
          </w:p>
        </w:tc>
      </w:tr>
      <w:tr w:rsidR="002A5D6D" w:rsidRPr="00E903B5" w:rsidTr="002A5D6D">
        <w:trPr>
          <w:trHeight w:val="339"/>
        </w:trPr>
        <w:tc>
          <w:tcPr>
            <w:tcW w:w="10008" w:type="dxa"/>
            <w:gridSpan w:val="9"/>
            <w:tcBorders>
              <w:top w:val="single" w:sz="8" w:space="0" w:color="1F497D" w:themeColor="text2"/>
            </w:tcBorders>
            <w:vAlign w:val="center"/>
          </w:tcPr>
          <w:p w:rsidR="002A5D6D" w:rsidRPr="00E903B5" w:rsidRDefault="002A5D6D" w:rsidP="009604C7">
            <w:pPr>
              <w:ind w:left="88" w:hanging="88"/>
              <w:outlineLvl w:val="8"/>
              <w:rPr>
                <w:rFonts w:ascii="Arial" w:hAnsi="Arial"/>
                <w:bCs/>
                <w:sz w:val="12"/>
                <w:szCs w:val="12"/>
              </w:rPr>
            </w:pPr>
            <w:r w:rsidRPr="00E903B5">
              <w:rPr>
                <w:rFonts w:ascii="Arial" w:hAnsi="Arial"/>
                <w:bCs/>
                <w:sz w:val="12"/>
                <w:szCs w:val="12"/>
              </w:rPr>
              <w:t>* In accordance with IFRS 5, the assets and liabilities of a number of divestments have been reallocated to ‘Non-current assets held for sale and disposal groups’ and ‘Liabilities associated with disposal groups’, which slightly distorts the comparison between periods.</w:t>
            </w:r>
          </w:p>
          <w:p w:rsidR="002A5D6D" w:rsidRPr="00E903B5" w:rsidRDefault="002A5D6D" w:rsidP="009604C7">
            <w:pPr>
              <w:ind w:left="88" w:hanging="88"/>
              <w:outlineLvl w:val="8"/>
              <w:rPr>
                <w:rFonts w:ascii="Arial" w:hAnsi="Arial"/>
                <w:bCs/>
                <w:sz w:val="12"/>
                <w:szCs w:val="12"/>
              </w:rPr>
            </w:pPr>
            <w:r w:rsidRPr="00E903B5">
              <w:rPr>
                <w:rFonts w:ascii="Arial" w:hAnsi="Arial"/>
                <w:bCs/>
                <w:sz w:val="12"/>
                <w:szCs w:val="12"/>
              </w:rPr>
              <w:t>° Restated to reflect the amendments to IAS 19 that took effect on 1 January 2013.</w:t>
            </w:r>
          </w:p>
          <w:p w:rsidR="002A5D6D" w:rsidRPr="00E903B5" w:rsidRDefault="002A5D6D" w:rsidP="009604C7">
            <w:pPr>
              <w:ind w:left="88" w:hanging="88"/>
              <w:outlineLvl w:val="8"/>
              <w:rPr>
                <w:sz w:val="14"/>
                <w:szCs w:val="14"/>
              </w:rPr>
            </w:pPr>
          </w:p>
        </w:tc>
      </w:tr>
    </w:tbl>
    <w:p w:rsidR="0028236F" w:rsidRDefault="002A5D6D" w:rsidP="002A5D6D">
      <w:pPr>
        <w:autoSpaceDE w:val="0"/>
        <w:autoSpaceDN w:val="0"/>
        <w:adjustRightInd w:val="0"/>
        <w:spacing w:after="120" w:line="240" w:lineRule="auto"/>
        <w:ind w:left="992" w:right="6"/>
        <w:jc w:val="both"/>
        <w:rPr>
          <w:rFonts w:cs="Arial"/>
          <w:color w:val="003768"/>
          <w:sz w:val="20"/>
          <w:szCs w:val="20"/>
        </w:rPr>
      </w:pPr>
      <w:r>
        <w:rPr>
          <w:rFonts w:cs="Arial"/>
          <w:noProof/>
          <w:color w:val="003768"/>
          <w:sz w:val="20"/>
          <w:szCs w:val="20"/>
          <w:lang w:val="nl-BE" w:eastAsia="nl-BE"/>
        </w:rPr>
        <w:drawing>
          <wp:inline distT="0" distB="0" distL="0" distR="0" wp14:anchorId="6DB35156">
            <wp:extent cx="6450330" cy="530225"/>
            <wp:effectExtent l="0" t="0" r="762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p w:rsidR="002A5D6D" w:rsidRDefault="002A5D6D" w:rsidP="002A5D6D">
      <w:pPr>
        <w:autoSpaceDE w:val="0"/>
        <w:autoSpaceDN w:val="0"/>
        <w:adjustRightInd w:val="0"/>
        <w:spacing w:after="120" w:line="240" w:lineRule="auto"/>
        <w:ind w:left="992" w:right="6"/>
        <w:jc w:val="both"/>
        <w:rPr>
          <w:rFonts w:cs="Arial"/>
          <w:color w:val="003768"/>
          <w:sz w:val="20"/>
          <w:szCs w:val="20"/>
        </w:rPr>
      </w:pPr>
    </w:p>
    <w:tbl>
      <w:tblPr>
        <w:tblW w:w="10065" w:type="dxa"/>
        <w:tblInd w:w="1298" w:type="dxa"/>
        <w:tblLook w:val="01E0" w:firstRow="1" w:lastRow="1" w:firstColumn="1" w:lastColumn="1" w:noHBand="0" w:noVBand="0"/>
      </w:tblPr>
      <w:tblGrid>
        <w:gridCol w:w="5954"/>
        <w:gridCol w:w="1843"/>
        <w:gridCol w:w="1134"/>
        <w:gridCol w:w="1134"/>
      </w:tblGrid>
      <w:tr w:rsidR="002A5D6D" w:rsidRPr="00E903B5" w:rsidTr="002A5D6D">
        <w:tc>
          <w:tcPr>
            <w:tcW w:w="5954" w:type="dxa"/>
            <w:shd w:val="clear" w:color="auto" w:fill="1F497D" w:themeFill="text2"/>
            <w:vAlign w:val="center"/>
          </w:tcPr>
          <w:p w:rsidR="002A5D6D" w:rsidRPr="00E903B5" w:rsidRDefault="002A5D6D" w:rsidP="009604C7">
            <w:pPr>
              <w:pStyle w:val="Intro"/>
              <w:jc w:val="left"/>
              <w:rPr>
                <w:b w:val="0"/>
                <w:color w:val="FFFFFF" w:themeColor="background1"/>
                <w:sz w:val="14"/>
                <w:szCs w:val="14"/>
                <w:lang w:val="en-GB"/>
              </w:rPr>
            </w:pPr>
            <w:r w:rsidRPr="00E903B5">
              <w:rPr>
                <w:b w:val="0"/>
                <w:color w:val="FFFFFF" w:themeColor="background1"/>
                <w:sz w:val="14"/>
                <w:szCs w:val="14"/>
                <w:lang w:val="en-GB"/>
              </w:rPr>
              <w:t>Selected ratios</w:t>
            </w:r>
          </w:p>
          <w:p w:rsidR="002A5D6D" w:rsidRPr="00E903B5" w:rsidRDefault="002A5D6D" w:rsidP="009604C7">
            <w:pPr>
              <w:pStyle w:val="Intro"/>
              <w:jc w:val="left"/>
              <w:rPr>
                <w:b w:val="0"/>
                <w:color w:val="FFFFFF" w:themeColor="background1"/>
                <w:sz w:val="14"/>
                <w:szCs w:val="14"/>
                <w:lang w:val="en-GB"/>
              </w:rPr>
            </w:pPr>
            <w:r w:rsidRPr="00E903B5">
              <w:rPr>
                <w:b w:val="0"/>
                <w:color w:val="FFFFFF" w:themeColor="background1"/>
                <w:sz w:val="14"/>
                <w:szCs w:val="14"/>
                <w:lang w:val="en-GB"/>
              </w:rPr>
              <w:t>KBC Group (consolidated)</w:t>
            </w:r>
          </w:p>
        </w:tc>
        <w:tc>
          <w:tcPr>
            <w:tcW w:w="1843" w:type="dxa"/>
            <w:shd w:val="clear" w:color="auto" w:fill="1F497D" w:themeFill="text2"/>
            <w:vAlign w:val="center"/>
          </w:tcPr>
          <w:p w:rsidR="002A5D6D" w:rsidRPr="00E903B5" w:rsidRDefault="002A5D6D" w:rsidP="009604C7">
            <w:pPr>
              <w:pStyle w:val="Intro"/>
              <w:jc w:val="right"/>
              <w:rPr>
                <w:b w:val="0"/>
                <w:color w:val="FFFFFF" w:themeColor="background1"/>
                <w:sz w:val="14"/>
                <w:szCs w:val="14"/>
                <w:lang w:val="en-GB"/>
              </w:rPr>
            </w:pPr>
          </w:p>
        </w:tc>
        <w:tc>
          <w:tcPr>
            <w:tcW w:w="1134" w:type="dxa"/>
            <w:shd w:val="clear" w:color="auto" w:fill="1F497D" w:themeFill="text2"/>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FY2012</w:t>
            </w:r>
          </w:p>
        </w:tc>
        <w:tc>
          <w:tcPr>
            <w:tcW w:w="1134" w:type="dxa"/>
            <w:shd w:val="clear" w:color="auto" w:fill="1F497D" w:themeFill="text2"/>
            <w:vAlign w:val="center"/>
          </w:tcPr>
          <w:p w:rsidR="002A5D6D" w:rsidRPr="00E903B5" w:rsidRDefault="002A5D6D" w:rsidP="009604C7">
            <w:pPr>
              <w:pStyle w:val="Intro"/>
              <w:jc w:val="right"/>
              <w:rPr>
                <w:b w:val="0"/>
                <w:color w:val="FFFFFF" w:themeColor="background1"/>
                <w:sz w:val="14"/>
                <w:szCs w:val="14"/>
                <w:lang w:val="en-GB"/>
              </w:rPr>
            </w:pPr>
            <w:r w:rsidRPr="00E903B5">
              <w:rPr>
                <w:b w:val="0"/>
                <w:color w:val="FFFFFF" w:themeColor="background1"/>
                <w:sz w:val="14"/>
                <w:szCs w:val="14"/>
                <w:lang w:val="en-GB"/>
              </w:rPr>
              <w:t>FY2013</w:t>
            </w:r>
          </w:p>
        </w:tc>
      </w:tr>
      <w:tr w:rsidR="002A5D6D" w:rsidRPr="00E903B5" w:rsidTr="002A5D6D">
        <w:trPr>
          <w:trHeight w:val="227"/>
        </w:trPr>
        <w:tc>
          <w:tcPr>
            <w:tcW w:w="5954" w:type="dxa"/>
            <w:tcBorders>
              <w:bottom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Profitability and efficiency (based on adjusted net result)</w:t>
            </w:r>
          </w:p>
        </w:tc>
        <w:tc>
          <w:tcPr>
            <w:tcW w:w="1843"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p>
        </w:tc>
      </w:tr>
      <w:tr w:rsidR="002A5D6D" w:rsidRPr="00E903B5" w:rsidTr="002A5D6D">
        <w:trPr>
          <w:trHeight w:val="227"/>
        </w:trPr>
        <w:tc>
          <w:tcPr>
            <w:tcW w:w="5954" w:type="dxa"/>
            <w:tcBorders>
              <w:top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Return on equity*  </w:t>
            </w:r>
          </w:p>
        </w:tc>
        <w:tc>
          <w:tcPr>
            <w:tcW w:w="1843" w:type="dxa"/>
            <w:tcBorders>
              <w:top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9%</w:t>
            </w:r>
          </w:p>
        </w:tc>
        <w:tc>
          <w:tcPr>
            <w:tcW w:w="1134" w:type="dxa"/>
            <w:tcBorders>
              <w:top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9%</w:t>
            </w:r>
          </w:p>
        </w:tc>
      </w:tr>
      <w:tr w:rsidR="002A5D6D" w:rsidRPr="00E903B5" w:rsidTr="002A5D6D">
        <w:trPr>
          <w:trHeight w:val="227"/>
        </w:trPr>
        <w:tc>
          <w:tcPr>
            <w:tcW w:w="5954" w:type="dxa"/>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Cost/income ratio, banking</w:t>
            </w:r>
          </w:p>
        </w:tc>
        <w:tc>
          <w:tcPr>
            <w:tcW w:w="1843" w:type="dxa"/>
            <w:vAlign w:val="center"/>
          </w:tcPr>
          <w:p w:rsidR="002A5D6D" w:rsidRPr="00E903B5" w:rsidRDefault="002A5D6D" w:rsidP="009604C7">
            <w:pPr>
              <w:pStyle w:val="Intro"/>
              <w:jc w:val="right"/>
              <w:rPr>
                <w:b w:val="0"/>
                <w:sz w:val="14"/>
                <w:szCs w:val="14"/>
                <w:lang w:val="en-GB"/>
              </w:rPr>
            </w:pPr>
          </w:p>
        </w:tc>
        <w:tc>
          <w:tcPr>
            <w:tcW w:w="113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57%</w:t>
            </w:r>
          </w:p>
        </w:tc>
        <w:tc>
          <w:tcPr>
            <w:tcW w:w="113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52%</w:t>
            </w:r>
          </w:p>
        </w:tc>
      </w:tr>
      <w:tr w:rsidR="002A5D6D" w:rsidRPr="00E903B5" w:rsidTr="002A5D6D">
        <w:trPr>
          <w:trHeight w:val="227"/>
        </w:trPr>
        <w:tc>
          <w:tcPr>
            <w:tcW w:w="5954" w:type="dxa"/>
            <w:tcBorders>
              <w:bottom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Combined ratio, non-life insurance</w:t>
            </w:r>
          </w:p>
        </w:tc>
        <w:tc>
          <w:tcPr>
            <w:tcW w:w="1843"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95%</w:t>
            </w:r>
          </w:p>
        </w:tc>
        <w:tc>
          <w:tcPr>
            <w:tcW w:w="1134" w:type="dxa"/>
            <w:tcBorders>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94%</w:t>
            </w:r>
          </w:p>
        </w:tc>
      </w:tr>
      <w:tr w:rsidR="002A5D6D" w:rsidRPr="00E903B5" w:rsidTr="002A5D6D">
        <w:trPr>
          <w:trHeight w:val="227"/>
        </w:trPr>
        <w:tc>
          <w:tcPr>
            <w:tcW w:w="5954" w:type="dxa"/>
            <w:tcBorders>
              <w:top w:val="single" w:sz="8" w:space="0" w:color="365F91" w:themeColor="accent1" w:themeShade="BF"/>
              <w:bottom w:val="single" w:sz="8" w:space="0" w:color="1F497D" w:themeColor="text2"/>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Solvency</w:t>
            </w:r>
          </w:p>
        </w:tc>
        <w:tc>
          <w:tcPr>
            <w:tcW w:w="1843" w:type="dxa"/>
            <w:tcBorders>
              <w:top w:val="single" w:sz="8" w:space="0" w:color="365F91" w:themeColor="accent1" w:themeShade="BF"/>
              <w:bottom w:val="single" w:sz="8" w:space="0" w:color="1F497D" w:themeColor="text2"/>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bottom w:val="single" w:sz="8" w:space="0" w:color="1F497D" w:themeColor="text2"/>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p>
        </w:tc>
      </w:tr>
      <w:tr w:rsidR="002A5D6D" w:rsidRPr="00E903B5" w:rsidTr="002A5D6D">
        <w:trPr>
          <w:trHeight w:val="227"/>
        </w:trPr>
        <w:tc>
          <w:tcPr>
            <w:tcW w:w="5954" w:type="dxa"/>
            <w:tcBorders>
              <w:top w:val="single" w:sz="8" w:space="0" w:color="1F497D" w:themeColor="text2"/>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Tier-1 ratio (Basel II)**</w:t>
            </w:r>
          </w:p>
        </w:tc>
        <w:tc>
          <w:tcPr>
            <w:tcW w:w="1843" w:type="dxa"/>
            <w:tcBorders>
              <w:top w:val="single" w:sz="8" w:space="0" w:color="1F497D" w:themeColor="text2"/>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1F497D" w:themeColor="text2"/>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13.8%</w:t>
            </w:r>
          </w:p>
        </w:tc>
        <w:tc>
          <w:tcPr>
            <w:tcW w:w="1134" w:type="dxa"/>
            <w:tcBorders>
              <w:top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15.8%</w:t>
            </w:r>
          </w:p>
        </w:tc>
      </w:tr>
      <w:tr w:rsidR="002A5D6D" w:rsidRPr="00E903B5" w:rsidTr="002A5D6D">
        <w:trPr>
          <w:trHeight w:val="227"/>
        </w:trPr>
        <w:tc>
          <w:tcPr>
            <w:tcW w:w="5954" w:type="dxa"/>
            <w:vAlign w:val="center"/>
          </w:tcPr>
          <w:p w:rsidR="002A5D6D" w:rsidRPr="00013E74" w:rsidRDefault="002A5D6D" w:rsidP="009604C7">
            <w:pPr>
              <w:pStyle w:val="Intro"/>
              <w:jc w:val="left"/>
              <w:rPr>
                <w:b w:val="0"/>
                <w:sz w:val="14"/>
                <w:szCs w:val="14"/>
                <w:lang w:val="fr-FR"/>
              </w:rPr>
            </w:pPr>
            <w:r w:rsidRPr="00013E74">
              <w:rPr>
                <w:b w:val="0"/>
                <w:sz w:val="14"/>
                <w:szCs w:val="14"/>
                <w:lang w:val="fr-FR"/>
              </w:rPr>
              <w:t xml:space="preserve">    </w:t>
            </w:r>
            <w:proofErr w:type="spellStart"/>
            <w:r w:rsidRPr="00013E74">
              <w:rPr>
                <w:b w:val="0"/>
                <w:sz w:val="14"/>
                <w:szCs w:val="14"/>
                <w:lang w:val="fr-FR"/>
              </w:rPr>
              <w:t>Core</w:t>
            </w:r>
            <w:proofErr w:type="spellEnd"/>
            <w:r w:rsidRPr="00013E74">
              <w:rPr>
                <w:b w:val="0"/>
                <w:sz w:val="14"/>
                <w:szCs w:val="14"/>
                <w:lang w:val="fr-FR"/>
              </w:rPr>
              <w:t xml:space="preserve"> tier-1 ratio (Basel II)**</w:t>
            </w:r>
          </w:p>
        </w:tc>
        <w:tc>
          <w:tcPr>
            <w:tcW w:w="1843" w:type="dxa"/>
            <w:vAlign w:val="center"/>
          </w:tcPr>
          <w:p w:rsidR="002A5D6D" w:rsidRPr="00013E74" w:rsidRDefault="002A5D6D" w:rsidP="009604C7">
            <w:pPr>
              <w:pStyle w:val="Intro"/>
              <w:jc w:val="right"/>
              <w:rPr>
                <w:b w:val="0"/>
                <w:sz w:val="14"/>
                <w:szCs w:val="14"/>
                <w:lang w:val="fr-FR"/>
              </w:rPr>
            </w:pPr>
          </w:p>
        </w:tc>
        <w:tc>
          <w:tcPr>
            <w:tcW w:w="1134" w:type="dxa"/>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11.7%</w:t>
            </w:r>
          </w:p>
        </w:tc>
        <w:tc>
          <w:tcPr>
            <w:tcW w:w="1134" w:type="dxa"/>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13.5%</w:t>
            </w:r>
          </w:p>
        </w:tc>
      </w:tr>
      <w:tr w:rsidR="002A5D6D" w:rsidRPr="00E903B5" w:rsidTr="002A5D6D">
        <w:trPr>
          <w:trHeight w:val="227"/>
        </w:trPr>
        <w:tc>
          <w:tcPr>
            <w:tcW w:w="5954" w:type="dxa"/>
            <w:tcBorders>
              <w:bottom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Common equity ratio (Basel III, fully loaded, including remaining state aid)**</w:t>
            </w:r>
          </w:p>
        </w:tc>
        <w:tc>
          <w:tcPr>
            <w:tcW w:w="1843"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10.8%</w:t>
            </w:r>
          </w:p>
        </w:tc>
        <w:tc>
          <w:tcPr>
            <w:tcW w:w="1134" w:type="dxa"/>
            <w:tcBorders>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12.8%</w:t>
            </w:r>
          </w:p>
        </w:tc>
      </w:tr>
      <w:tr w:rsidR="002A5D6D" w:rsidRPr="00E903B5" w:rsidTr="002A5D6D">
        <w:trPr>
          <w:trHeight w:val="227"/>
        </w:trPr>
        <w:tc>
          <w:tcPr>
            <w:tcW w:w="5954" w:type="dxa"/>
            <w:tcBorders>
              <w:top w:val="single" w:sz="8" w:space="0" w:color="365F91" w:themeColor="accent1" w:themeShade="BF"/>
              <w:bottom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Credit risk</w:t>
            </w:r>
          </w:p>
        </w:tc>
        <w:tc>
          <w:tcPr>
            <w:tcW w:w="1843" w:type="dxa"/>
            <w:tcBorders>
              <w:top w:val="single" w:sz="8" w:space="0" w:color="365F91" w:themeColor="accent1" w:themeShade="BF"/>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highlight w:val="darkGray"/>
                <w:lang w:val="en-GB"/>
              </w:rPr>
            </w:pPr>
          </w:p>
        </w:tc>
      </w:tr>
      <w:tr w:rsidR="002A5D6D" w:rsidRPr="00E903B5" w:rsidTr="002A5D6D">
        <w:trPr>
          <w:trHeight w:val="227"/>
        </w:trPr>
        <w:tc>
          <w:tcPr>
            <w:tcW w:w="5954" w:type="dxa"/>
            <w:tcBorders>
              <w:top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Credit cost ratio</w:t>
            </w:r>
          </w:p>
        </w:tc>
        <w:tc>
          <w:tcPr>
            <w:tcW w:w="1843" w:type="dxa"/>
            <w:tcBorders>
              <w:top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top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0.71%</w:t>
            </w:r>
          </w:p>
        </w:tc>
        <w:tc>
          <w:tcPr>
            <w:tcW w:w="1134" w:type="dxa"/>
            <w:tcBorders>
              <w:top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1.19%</w:t>
            </w:r>
          </w:p>
        </w:tc>
      </w:tr>
      <w:tr w:rsidR="002A5D6D" w:rsidRPr="00E903B5" w:rsidTr="002A5D6D">
        <w:trPr>
          <w:trHeight w:val="227"/>
        </w:trPr>
        <w:tc>
          <w:tcPr>
            <w:tcW w:w="5954" w:type="dxa"/>
            <w:tcBorders>
              <w:bottom w:val="single" w:sz="8" w:space="0" w:color="365F91" w:themeColor="accent1" w:themeShade="BF"/>
            </w:tcBorders>
            <w:vAlign w:val="center"/>
          </w:tcPr>
          <w:p w:rsidR="002A5D6D" w:rsidRPr="00E903B5" w:rsidRDefault="002A5D6D" w:rsidP="009604C7">
            <w:pPr>
              <w:pStyle w:val="Intro"/>
              <w:jc w:val="left"/>
              <w:rPr>
                <w:b w:val="0"/>
                <w:sz w:val="14"/>
                <w:szCs w:val="14"/>
                <w:lang w:val="en-GB"/>
              </w:rPr>
            </w:pPr>
            <w:r w:rsidRPr="00E903B5">
              <w:rPr>
                <w:b w:val="0"/>
                <w:sz w:val="14"/>
                <w:szCs w:val="14"/>
                <w:lang w:val="en-GB"/>
              </w:rPr>
              <w:t xml:space="preserve">    Non-performing ratio</w:t>
            </w:r>
          </w:p>
        </w:tc>
        <w:tc>
          <w:tcPr>
            <w:tcW w:w="1843"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p>
        </w:tc>
        <w:tc>
          <w:tcPr>
            <w:tcW w:w="1134" w:type="dxa"/>
            <w:tcBorders>
              <w:bottom w:val="single" w:sz="8" w:space="0" w:color="365F91" w:themeColor="accent1" w:themeShade="BF"/>
            </w:tcBorders>
            <w:vAlign w:val="center"/>
          </w:tcPr>
          <w:p w:rsidR="002A5D6D" w:rsidRPr="00E903B5" w:rsidRDefault="002A5D6D" w:rsidP="009604C7">
            <w:pPr>
              <w:pStyle w:val="Intro"/>
              <w:jc w:val="right"/>
              <w:rPr>
                <w:b w:val="0"/>
                <w:sz w:val="14"/>
                <w:szCs w:val="14"/>
                <w:lang w:val="en-GB"/>
              </w:rPr>
            </w:pPr>
            <w:r w:rsidRPr="00E903B5">
              <w:rPr>
                <w:b w:val="0"/>
                <w:sz w:val="14"/>
                <w:szCs w:val="14"/>
                <w:lang w:val="en-GB"/>
              </w:rPr>
              <w:t>5.3%</w:t>
            </w:r>
          </w:p>
        </w:tc>
        <w:tc>
          <w:tcPr>
            <w:tcW w:w="1134" w:type="dxa"/>
            <w:tcBorders>
              <w:bottom w:val="single" w:sz="8" w:space="0" w:color="365F91" w:themeColor="accent1" w:themeShade="BF"/>
            </w:tcBorders>
            <w:shd w:val="clear" w:color="auto" w:fill="DBE5F1" w:themeFill="accent1" w:themeFillTint="33"/>
            <w:vAlign w:val="center"/>
          </w:tcPr>
          <w:p w:rsidR="002A5D6D" w:rsidRPr="00E903B5" w:rsidRDefault="002A5D6D" w:rsidP="009604C7">
            <w:pPr>
              <w:pStyle w:val="Intro"/>
              <w:jc w:val="right"/>
              <w:rPr>
                <w:b w:val="0"/>
                <w:sz w:val="14"/>
                <w:szCs w:val="14"/>
                <w:lang w:val="en-GB"/>
              </w:rPr>
            </w:pPr>
            <w:r w:rsidRPr="00E903B5">
              <w:rPr>
                <w:b w:val="0"/>
                <w:sz w:val="14"/>
                <w:szCs w:val="14"/>
                <w:lang w:val="en-GB"/>
              </w:rPr>
              <w:t>5.9%</w:t>
            </w:r>
          </w:p>
        </w:tc>
      </w:tr>
      <w:tr w:rsidR="002A5D6D" w:rsidRPr="00E903B5" w:rsidTr="002A5D6D">
        <w:trPr>
          <w:trHeight w:val="217"/>
        </w:trPr>
        <w:tc>
          <w:tcPr>
            <w:tcW w:w="10065" w:type="dxa"/>
            <w:gridSpan w:val="4"/>
            <w:tcBorders>
              <w:top w:val="single" w:sz="8" w:space="0" w:color="365F91" w:themeColor="accent1" w:themeShade="BF"/>
            </w:tcBorders>
            <w:vAlign w:val="center"/>
          </w:tcPr>
          <w:p w:rsidR="002A5D6D" w:rsidRPr="00E903B5" w:rsidRDefault="002A5D6D" w:rsidP="009604C7">
            <w:pPr>
              <w:pStyle w:val="Intro"/>
              <w:ind w:left="88" w:hanging="88"/>
              <w:jc w:val="left"/>
              <w:rPr>
                <w:rFonts w:cs="Arial"/>
                <w:b w:val="0"/>
                <w:color w:val="000000"/>
                <w:sz w:val="12"/>
                <w:szCs w:val="12"/>
                <w:lang w:val="en-GB"/>
              </w:rPr>
            </w:pPr>
            <w:r w:rsidRPr="00E903B5">
              <w:rPr>
                <w:b w:val="0"/>
                <w:sz w:val="12"/>
                <w:szCs w:val="12"/>
                <w:lang w:val="en-GB"/>
              </w:rPr>
              <w:t xml:space="preserve">* If a coupon </w:t>
            </w:r>
            <w:r w:rsidRPr="00E903B5">
              <w:rPr>
                <w:b w:val="0"/>
                <w:color w:val="000000"/>
                <w:sz w:val="12"/>
                <w:szCs w:val="12"/>
                <w:lang w:val="en-GB"/>
              </w:rPr>
              <w:t>is expected</w:t>
            </w:r>
            <w:r w:rsidRPr="00E903B5">
              <w:rPr>
                <w:b w:val="0"/>
                <w:sz w:val="12"/>
                <w:szCs w:val="12"/>
                <w:lang w:val="en-GB"/>
              </w:rPr>
              <w:t xml:space="preserve"> to be paid on the core-capital securities sold to the Belgian Federal and Flemish Regional governments, it will be deducted from the numerator (</w:t>
            </w:r>
            <w:r w:rsidRPr="00E903B5">
              <w:rPr>
                <w:b w:val="0"/>
                <w:i/>
                <w:sz w:val="12"/>
                <w:szCs w:val="12"/>
                <w:lang w:val="en-GB"/>
              </w:rPr>
              <w:t>pro rata</w:t>
            </w:r>
            <w:r w:rsidRPr="00E903B5">
              <w:rPr>
                <w:b w:val="0"/>
                <w:sz w:val="12"/>
                <w:szCs w:val="12"/>
                <w:lang w:val="en-GB"/>
              </w:rPr>
              <w:t>)</w:t>
            </w:r>
            <w:r w:rsidRPr="00E903B5">
              <w:rPr>
                <w:rFonts w:cs="Arial"/>
                <w:b w:val="0"/>
                <w:color w:val="000000"/>
                <w:sz w:val="12"/>
                <w:szCs w:val="12"/>
                <w:lang w:val="en-GB"/>
              </w:rPr>
              <w:t>.</w:t>
            </w:r>
          </w:p>
          <w:p w:rsidR="002A5D6D" w:rsidRPr="00E903B5" w:rsidRDefault="002A5D6D" w:rsidP="009604C7">
            <w:pPr>
              <w:pStyle w:val="Intro"/>
              <w:ind w:left="88" w:hanging="88"/>
              <w:jc w:val="left"/>
              <w:rPr>
                <w:rFonts w:cs="Arial"/>
                <w:b w:val="0"/>
                <w:color w:val="000000"/>
                <w:sz w:val="12"/>
                <w:szCs w:val="12"/>
                <w:lang w:val="en-GB"/>
              </w:rPr>
            </w:pPr>
            <w:r w:rsidRPr="00E903B5">
              <w:rPr>
                <w:rFonts w:cs="Arial"/>
                <w:b w:val="0"/>
                <w:color w:val="000000"/>
                <w:sz w:val="12"/>
                <w:szCs w:val="12"/>
                <w:lang w:val="en-GB"/>
              </w:rPr>
              <w:t>**</w:t>
            </w:r>
            <w:r w:rsidRPr="00E903B5">
              <w:rPr>
                <w:b w:val="0"/>
                <w:bCs w:val="0"/>
                <w:snapToGrid/>
                <w:sz w:val="18"/>
                <w:szCs w:val="18"/>
                <w:lang w:val="en-GB"/>
              </w:rPr>
              <w:t xml:space="preserve"> </w:t>
            </w:r>
            <w:r w:rsidRPr="00E903B5">
              <w:rPr>
                <w:rFonts w:cs="Arial"/>
                <w:b w:val="0"/>
                <w:color w:val="000000"/>
                <w:sz w:val="12"/>
                <w:szCs w:val="12"/>
                <w:lang w:val="en-GB"/>
              </w:rPr>
              <w:t>Including the impact of the divestment agreements signed for KBC Bank Deutschland and Antwerp Diamond Bank, as well as the repayment of the second instalment of aid received from the Flemish Regional Government, the tier-1 ratio stood at a 15.6% at 31 December 2013 (core tier-1 ratio of 13.2%); common equity ratio of 12.5%.</w:t>
            </w:r>
          </w:p>
          <w:p w:rsidR="002A5D6D" w:rsidRPr="00E903B5" w:rsidRDefault="002A5D6D" w:rsidP="009604C7">
            <w:pPr>
              <w:pStyle w:val="Intro"/>
              <w:keepNext/>
              <w:ind w:left="88" w:right="-290" w:hanging="88"/>
              <w:jc w:val="left"/>
              <w:outlineLvl w:val="3"/>
              <w:rPr>
                <w:b w:val="0"/>
                <w:sz w:val="12"/>
                <w:szCs w:val="12"/>
                <w:lang w:val="en-GB"/>
              </w:rPr>
            </w:pPr>
          </w:p>
        </w:tc>
      </w:tr>
    </w:tbl>
    <w:p w:rsidR="002A5D6D" w:rsidRDefault="002A5D6D" w:rsidP="002A5D6D">
      <w:pPr>
        <w:autoSpaceDE w:val="0"/>
        <w:autoSpaceDN w:val="0"/>
        <w:adjustRightInd w:val="0"/>
        <w:spacing w:after="120" w:line="240" w:lineRule="auto"/>
        <w:ind w:left="992" w:right="6"/>
        <w:jc w:val="both"/>
        <w:rPr>
          <w:rFonts w:cs="Arial"/>
          <w:color w:val="003768"/>
          <w:sz w:val="20"/>
          <w:szCs w:val="20"/>
        </w:rPr>
      </w:pPr>
    </w:p>
    <w:p w:rsidR="002A5D6D" w:rsidRDefault="002A5D6D">
      <w:pPr>
        <w:spacing w:after="0" w:line="240" w:lineRule="auto"/>
        <w:rPr>
          <w:rFonts w:cs="Arial"/>
          <w:color w:val="003768"/>
          <w:sz w:val="20"/>
          <w:szCs w:val="20"/>
        </w:rPr>
      </w:pPr>
      <w:r>
        <w:rPr>
          <w:rFonts w:cs="Arial"/>
          <w:color w:val="003768"/>
          <w:sz w:val="20"/>
          <w:szCs w:val="20"/>
        </w:rPr>
        <w:br w:type="page"/>
      </w:r>
    </w:p>
    <w:p w:rsidR="0028236F" w:rsidRDefault="002A5D6D" w:rsidP="002A5D6D">
      <w:pPr>
        <w:autoSpaceDE w:val="0"/>
        <w:autoSpaceDN w:val="0"/>
        <w:adjustRightInd w:val="0"/>
        <w:spacing w:after="120" w:line="240" w:lineRule="auto"/>
        <w:ind w:left="992" w:right="6"/>
        <w:jc w:val="both"/>
        <w:rPr>
          <w:rFonts w:cs="Arial"/>
          <w:color w:val="003768"/>
          <w:sz w:val="20"/>
          <w:szCs w:val="20"/>
        </w:rPr>
      </w:pPr>
      <w:r>
        <w:rPr>
          <w:rFonts w:cs="Arial"/>
          <w:noProof/>
          <w:color w:val="003768"/>
          <w:sz w:val="20"/>
          <w:szCs w:val="20"/>
          <w:lang w:val="nl-BE" w:eastAsia="nl-BE"/>
        </w:rPr>
        <w:lastRenderedPageBreak/>
        <w:drawing>
          <wp:inline distT="0" distB="0" distL="0" distR="0" wp14:anchorId="0D4D8220">
            <wp:extent cx="6517005" cy="53022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7005" cy="530225"/>
                    </a:xfrm>
                    <a:prstGeom prst="rect">
                      <a:avLst/>
                    </a:prstGeom>
                    <a:noFill/>
                  </pic:spPr>
                </pic:pic>
              </a:graphicData>
            </a:graphic>
          </wp:inline>
        </w:drawing>
      </w:r>
    </w:p>
    <w:p w:rsidR="0028236F" w:rsidRPr="002A5D6D" w:rsidRDefault="002A5D6D" w:rsidP="002A5D6D">
      <w:pPr>
        <w:autoSpaceDE w:val="0"/>
        <w:autoSpaceDN w:val="0"/>
        <w:adjustRightInd w:val="0"/>
        <w:spacing w:after="120" w:line="240" w:lineRule="auto"/>
        <w:ind w:left="992" w:right="6"/>
        <w:jc w:val="both"/>
        <w:rPr>
          <w:rFonts w:ascii="Rockwell" w:hAnsi="Rockwell" w:cs="Arial"/>
          <w:b/>
          <w:bCs/>
          <w:color w:val="003366"/>
          <w:sz w:val="28"/>
          <w:szCs w:val="28"/>
        </w:rPr>
      </w:pPr>
      <w:r w:rsidRPr="002A5D6D">
        <w:rPr>
          <w:rFonts w:ascii="Rockwell" w:hAnsi="Rockwell" w:cs="Arial"/>
          <w:b/>
          <w:bCs/>
          <w:color w:val="003366"/>
          <w:sz w:val="28"/>
          <w:szCs w:val="28"/>
        </w:rPr>
        <w:t>Strategy and business highlights</w:t>
      </w:r>
    </w:p>
    <w:p w:rsidR="002A5D6D" w:rsidRPr="002A5D6D" w:rsidRDefault="002A5D6D" w:rsidP="003B367B">
      <w:pPr>
        <w:pStyle w:val="Lijstalinea"/>
        <w:numPr>
          <w:ilvl w:val="0"/>
          <w:numId w:val="12"/>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 xml:space="preserve">KBC’s core strategy remains focused on providing bank-insurance products and services to retail, SME and mid-cap clients in Belgium, the Czech Republic, Slovakia, Hungary and Bulgaria. In line with its strategic plan, the group has almost completed the sale or run-down of a number of (non-core) activities (see below). </w:t>
      </w:r>
    </w:p>
    <w:p w:rsidR="002A5D6D" w:rsidRPr="002A5D6D" w:rsidRDefault="002A5D6D" w:rsidP="003B367B">
      <w:pPr>
        <w:pStyle w:val="Lijstalinea"/>
        <w:numPr>
          <w:ilvl w:val="0"/>
          <w:numId w:val="12"/>
        </w:numPr>
        <w:autoSpaceDE w:val="0"/>
        <w:autoSpaceDN w:val="0"/>
        <w:adjustRightInd w:val="0"/>
        <w:spacing w:after="60" w:line="240" w:lineRule="auto"/>
        <w:ind w:left="1706" w:right="6" w:hanging="357"/>
        <w:contextualSpacing w:val="0"/>
        <w:jc w:val="both"/>
        <w:rPr>
          <w:rFonts w:cs="Arial"/>
          <w:color w:val="003768"/>
          <w:sz w:val="20"/>
          <w:szCs w:val="20"/>
        </w:rPr>
      </w:pPr>
      <w:r w:rsidRPr="002A5D6D">
        <w:rPr>
          <w:rFonts w:cs="Arial"/>
          <w:color w:val="003768"/>
          <w:sz w:val="20"/>
          <w:szCs w:val="20"/>
        </w:rPr>
        <w:t xml:space="preserve">Last steps in the divestment </w:t>
      </w:r>
      <w:proofErr w:type="spellStart"/>
      <w:r w:rsidRPr="002A5D6D">
        <w:rPr>
          <w:rFonts w:cs="Arial"/>
          <w:color w:val="003768"/>
          <w:sz w:val="20"/>
          <w:szCs w:val="20"/>
        </w:rPr>
        <w:t>programme</w:t>
      </w:r>
      <w:proofErr w:type="spellEnd"/>
      <w:r w:rsidRPr="002A5D6D">
        <w:rPr>
          <w:rFonts w:cs="Arial"/>
          <w:color w:val="003768"/>
          <w:sz w:val="20"/>
          <w:szCs w:val="20"/>
        </w:rPr>
        <w:t xml:space="preserve"> (4Q to date):</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 xml:space="preserve">On 24 September 2013, KBC announced that it had reached an agreement to sell KBC Bank Deutschland AG to several investors including affiliates of Teacher Retirement System of Texas, Apollo Global Management, Apollo Commercial Real Estate Finance and </w:t>
      </w:r>
      <w:proofErr w:type="spellStart"/>
      <w:r w:rsidRPr="002A5D6D">
        <w:rPr>
          <w:rFonts w:cs="Arial"/>
          <w:color w:val="003768"/>
          <w:sz w:val="20"/>
          <w:szCs w:val="20"/>
        </w:rPr>
        <w:t>Grovepoint</w:t>
      </w:r>
      <w:proofErr w:type="spellEnd"/>
      <w:r w:rsidRPr="002A5D6D">
        <w:rPr>
          <w:rFonts w:cs="Arial"/>
          <w:color w:val="003768"/>
          <w:sz w:val="20"/>
          <w:szCs w:val="20"/>
        </w:rPr>
        <w:t xml:space="preserve"> Capital. This deal will free up around 0.1 billion euros of capital for KBC, primarily by reducing risk-weighted assets and will have no material impact on KBC’s financial results. This will improve KBC's solvency position by roughly 15 basis points.</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 xml:space="preserve">On 19 November 2013, 0.7 billion euros in loans that KBC had granted to </w:t>
      </w:r>
      <w:proofErr w:type="spellStart"/>
      <w:r w:rsidRPr="002A5D6D">
        <w:rPr>
          <w:rFonts w:cs="Arial"/>
          <w:color w:val="003768"/>
          <w:sz w:val="20"/>
          <w:szCs w:val="20"/>
        </w:rPr>
        <w:t>Cera</w:t>
      </w:r>
      <w:proofErr w:type="spellEnd"/>
      <w:r w:rsidRPr="002A5D6D">
        <w:rPr>
          <w:rFonts w:cs="Arial"/>
          <w:color w:val="003768"/>
          <w:sz w:val="20"/>
          <w:szCs w:val="20"/>
        </w:rPr>
        <w:t xml:space="preserve"> and KBC </w:t>
      </w:r>
      <w:proofErr w:type="spellStart"/>
      <w:r w:rsidRPr="002A5D6D">
        <w:rPr>
          <w:rFonts w:cs="Arial"/>
          <w:color w:val="003768"/>
          <w:sz w:val="20"/>
          <w:szCs w:val="20"/>
        </w:rPr>
        <w:t>Ancora</w:t>
      </w:r>
      <w:proofErr w:type="spellEnd"/>
      <w:r w:rsidRPr="002A5D6D">
        <w:rPr>
          <w:rFonts w:cs="Arial"/>
          <w:color w:val="003768"/>
          <w:sz w:val="20"/>
          <w:szCs w:val="20"/>
        </w:rPr>
        <w:t xml:space="preserve"> was repaid. The costs for KBC of this operation amounted to 15 million euros after tax. The proceeds of the sale of some of the KBC Group shares owned by these two entities were used to finance this operation. This reduction improved regulatory capital by 0.7 billion euros and the common equity ratio (Basel III fully loaded) by 0.7%.</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 xml:space="preserve">On 19 December 2013, KBC completed the agreements reached with </w:t>
      </w:r>
      <w:proofErr w:type="spellStart"/>
      <w:r w:rsidRPr="002A5D6D">
        <w:rPr>
          <w:rFonts w:cs="Arial"/>
          <w:color w:val="003768"/>
          <w:sz w:val="20"/>
          <w:szCs w:val="20"/>
        </w:rPr>
        <w:t>Société</w:t>
      </w:r>
      <w:proofErr w:type="spellEnd"/>
      <w:r w:rsidRPr="002A5D6D">
        <w:rPr>
          <w:rFonts w:cs="Arial"/>
          <w:color w:val="003768"/>
          <w:sz w:val="20"/>
          <w:szCs w:val="20"/>
        </w:rPr>
        <w:t xml:space="preserve"> </w:t>
      </w:r>
      <w:proofErr w:type="spellStart"/>
      <w:r w:rsidRPr="002A5D6D">
        <w:rPr>
          <w:rFonts w:cs="Arial"/>
          <w:color w:val="003768"/>
          <w:sz w:val="20"/>
          <w:szCs w:val="20"/>
        </w:rPr>
        <w:t>Générale</w:t>
      </w:r>
      <w:proofErr w:type="spellEnd"/>
      <w:r w:rsidRPr="002A5D6D">
        <w:rPr>
          <w:rFonts w:cs="Arial"/>
          <w:color w:val="003768"/>
          <w:sz w:val="20"/>
          <w:szCs w:val="20"/>
        </w:rPr>
        <w:t xml:space="preserve"> </w:t>
      </w:r>
      <w:proofErr w:type="spellStart"/>
      <w:r w:rsidRPr="002A5D6D">
        <w:rPr>
          <w:rFonts w:cs="Arial"/>
          <w:color w:val="003768"/>
          <w:sz w:val="20"/>
          <w:szCs w:val="20"/>
        </w:rPr>
        <w:t>Srbija</w:t>
      </w:r>
      <w:proofErr w:type="spellEnd"/>
      <w:r w:rsidRPr="002A5D6D">
        <w:rPr>
          <w:rFonts w:cs="Arial"/>
          <w:color w:val="003768"/>
          <w:sz w:val="20"/>
          <w:szCs w:val="20"/>
        </w:rPr>
        <w:t xml:space="preserve"> and Telenor Serbia on the divestment of KBC Banka, KBC’s banking entity in Serbia. The impact on the financial results and capital was immaterial.</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 xml:space="preserve">On 19 December 2013, KBC reached an agreement with the Shanghai-based </w:t>
      </w:r>
      <w:proofErr w:type="spellStart"/>
      <w:r w:rsidRPr="002A5D6D">
        <w:rPr>
          <w:rFonts w:cs="Arial"/>
          <w:color w:val="003768"/>
          <w:sz w:val="20"/>
          <w:szCs w:val="20"/>
        </w:rPr>
        <w:t>Yinren</w:t>
      </w:r>
      <w:proofErr w:type="spellEnd"/>
      <w:r w:rsidRPr="002A5D6D">
        <w:rPr>
          <w:rFonts w:cs="Arial"/>
          <w:color w:val="003768"/>
          <w:sz w:val="20"/>
          <w:szCs w:val="20"/>
        </w:rPr>
        <w:t xml:space="preserve"> Group for the sale of its subsidiary Antwerp Diamond Bank. The deal had only a negligible upfront impact on the KBC group's earnings. It will free up around 0.1 billion euros of capital for KBC, primarily by reducing risk-weighted assets, which will ultimately improve KBC's tier-1 ratio (Basel II) by almost 0.2%. </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On 8 January 2014, KBC repaid a second instalment of the aid received from the Flemish Regional Government (0.5 billion euros, comprising 0.33 billion euros in principal plus a penalty of 50%). This repayment was again ahead of the schedule agreed with the European Commission and was made possible on account of KBC's robust capital position.</w:t>
      </w:r>
    </w:p>
    <w:p w:rsidR="002A5D6D" w:rsidRPr="002A5D6D" w:rsidRDefault="002A5D6D" w:rsidP="003B367B">
      <w:pPr>
        <w:pStyle w:val="Lijstalinea"/>
        <w:numPr>
          <w:ilvl w:val="1"/>
          <w:numId w:val="12"/>
        </w:numPr>
        <w:autoSpaceDE w:val="0"/>
        <w:autoSpaceDN w:val="0"/>
        <w:adjustRightInd w:val="0"/>
        <w:spacing w:after="60" w:line="240" w:lineRule="auto"/>
        <w:ind w:left="2427" w:right="6" w:hanging="357"/>
        <w:contextualSpacing w:val="0"/>
        <w:jc w:val="both"/>
        <w:rPr>
          <w:rFonts w:cs="Arial"/>
          <w:color w:val="003768"/>
          <w:sz w:val="20"/>
          <w:szCs w:val="20"/>
        </w:rPr>
      </w:pPr>
      <w:r w:rsidRPr="002A5D6D">
        <w:rPr>
          <w:rFonts w:cs="Arial"/>
          <w:color w:val="003768"/>
          <w:sz w:val="20"/>
          <w:szCs w:val="20"/>
        </w:rPr>
        <w:t>In January 2014, the net exposure on legacy CDO positions was further reduced by approximately 2 billion euros thanks to the continued collapsing of CDO exposures.</w:t>
      </w:r>
    </w:p>
    <w:p w:rsidR="002A5D6D" w:rsidRPr="002A5D6D" w:rsidRDefault="002A5D6D" w:rsidP="003B367B">
      <w:pPr>
        <w:pStyle w:val="Lijstalinea"/>
        <w:numPr>
          <w:ilvl w:val="0"/>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Developments on the Corporate Sustainability &amp; Responsibility front:</w:t>
      </w:r>
    </w:p>
    <w:p w:rsidR="002A5D6D" w:rsidRPr="002A5D6D" w:rsidRDefault="002A5D6D" w:rsidP="003B367B">
      <w:pPr>
        <w:pStyle w:val="Lijstalinea"/>
        <w:numPr>
          <w:ilvl w:val="1"/>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On 18 October 2013, KBC Belgium launched ‘a digital back up for its customers’, where Belgian schools, associations and projects could apply for used computers. </w:t>
      </w:r>
    </w:p>
    <w:p w:rsidR="002A5D6D" w:rsidRPr="002A5D6D" w:rsidRDefault="002A5D6D" w:rsidP="003B367B">
      <w:pPr>
        <w:pStyle w:val="Lijstalinea"/>
        <w:numPr>
          <w:ilvl w:val="1"/>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On 25 October 2013, KBC received the ‘Best Financial Information’ award from the Belgian Financial Analysts Association.</w:t>
      </w:r>
    </w:p>
    <w:p w:rsidR="002A5D6D" w:rsidRPr="002A5D6D" w:rsidRDefault="002A5D6D" w:rsidP="003B367B">
      <w:pPr>
        <w:pStyle w:val="Lijstalinea"/>
        <w:numPr>
          <w:ilvl w:val="1"/>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On 2 December 2013, KBC Ireland lent its support to ‘The EM Ireland 40 Years of Change Bursary Award’, an essay competition that challenges undergraduate students across the island of Ireland to produce an essay on the topic of ‘Ireland and the EU: Forty Years of Change’. The competition invited students to critically examine how Ireland and the EU have developed over the past forty years and how this relationship may develop over the next forty.</w:t>
      </w:r>
    </w:p>
    <w:p w:rsidR="002A5D6D" w:rsidRPr="002A5D6D" w:rsidRDefault="002A5D6D" w:rsidP="003B367B">
      <w:pPr>
        <w:pStyle w:val="Lijstalinea"/>
        <w:numPr>
          <w:ilvl w:val="1"/>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On 2 December 2013 – thanks to its ‘Simple bank transaction can save life’ campaign – the ČSOB Foundation donated 62 000 euros to the Children’s Cardio Centre Foundation to buy an extracorporeal circulation device for the Children Cardiac Centre. This device is indispensable during </w:t>
      </w:r>
      <w:proofErr w:type="spellStart"/>
      <w:r w:rsidRPr="002A5D6D">
        <w:rPr>
          <w:rFonts w:cs="Arial"/>
          <w:color w:val="003768"/>
          <w:sz w:val="20"/>
          <w:szCs w:val="20"/>
        </w:rPr>
        <w:t>childrens</w:t>
      </w:r>
      <w:proofErr w:type="spellEnd"/>
      <w:r w:rsidRPr="002A5D6D">
        <w:rPr>
          <w:rFonts w:cs="Arial"/>
          <w:color w:val="003768"/>
          <w:sz w:val="20"/>
          <w:szCs w:val="20"/>
        </w:rPr>
        <w:t>’ heart surgery.</w:t>
      </w:r>
    </w:p>
    <w:p w:rsidR="00086B0B" w:rsidRDefault="002A5D6D" w:rsidP="003B367B">
      <w:pPr>
        <w:pStyle w:val="Lijstalinea"/>
        <w:numPr>
          <w:ilvl w:val="1"/>
          <w:numId w:val="12"/>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On 17 December 2013, K&amp;H took first prize in the ‘Exemplary CSR project category' of the Hungarian Public Relations Association's ‘CSR Best Practice 2012’ competition. As the jury explained, K&amp;H's ‘Ready, Steady, Money!’ financial competition was instrumental in promoting corporate social responsibility in Hungary.</w:t>
      </w:r>
    </w:p>
    <w:p w:rsidR="00086B0B" w:rsidRDefault="00086B0B">
      <w:pPr>
        <w:spacing w:after="0" w:line="240" w:lineRule="auto"/>
        <w:rPr>
          <w:rFonts w:cs="Arial"/>
          <w:color w:val="003768"/>
          <w:sz w:val="20"/>
          <w:szCs w:val="20"/>
        </w:rPr>
      </w:pPr>
      <w:r>
        <w:rPr>
          <w:rFonts w:cs="Arial"/>
          <w:color w:val="003768"/>
          <w:sz w:val="20"/>
          <w:szCs w:val="20"/>
        </w:rPr>
        <w:br w:type="page"/>
      </w:r>
    </w:p>
    <w:p w:rsidR="002A5D6D" w:rsidRPr="002A5D6D" w:rsidRDefault="002A5D6D" w:rsidP="003B367B">
      <w:pPr>
        <w:pStyle w:val="Lijstalinea"/>
        <w:numPr>
          <w:ilvl w:val="0"/>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lastRenderedPageBreak/>
        <w:t>Statement of risk</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Mainly active in banking, insurance and asset management, KBC is exposed to a number of typical risks such as – but not exclusively – credit default risk, movements in interest rates, capital markets risk, currency risk, liquidity risk, insurance underwriting risk, operational risk, exposure to emerging markets, changes in regulations, customer litigation, as well as the economy in general. It is part of the business risk that the macroeconomic environment and the ongoing divestment plans may have a negative impact on asset values or could generate additional charges beyond anticipated levels. </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Risk management data are provided in KBC’s annual reports, the extended quarterly reports and the dedicated risk reports, all of which are available at www.kbc.com. </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Global economic growth is continuing to gather momentum. In the US, economic growth is being driven mainly by private consumption, which in turn is being supported by the robust dynamic of the US </w:t>
      </w:r>
      <w:proofErr w:type="spellStart"/>
      <w:r w:rsidRPr="002A5D6D">
        <w:rPr>
          <w:rFonts w:cs="Arial"/>
          <w:color w:val="003768"/>
          <w:sz w:val="20"/>
          <w:szCs w:val="20"/>
        </w:rPr>
        <w:t>labour</w:t>
      </w:r>
      <w:proofErr w:type="spellEnd"/>
      <w:r w:rsidRPr="002A5D6D">
        <w:rPr>
          <w:rFonts w:cs="Arial"/>
          <w:color w:val="003768"/>
          <w:sz w:val="20"/>
          <w:szCs w:val="20"/>
        </w:rPr>
        <w:t xml:space="preserve"> market. Moreover, fiscal drag will be substantially lower in 2014 than in 2013 in the light of the bipartisan agreement on the federal budget. In Europe, the economic recovery is also on track, as illustrated by the further improvement of the German IFO indicator. More vulnerable EMU economies are recovering as well, with producer confidence indicators at levels consistent with economic growth.   </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Chinese economic growth is now starting to slow down. After steadily accelerating during the first three quarters of 2013, GDP growth moderated somewhat in the fourth quarter. The main focus of Chinese policymakers is to facilitate the transition from an investment-led growth model to a consumption-led one. The efforts made by the Chinese central bank to keep credit growth under control fit in with this policy. </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 xml:space="preserve">Largely as a consequence of the ‘tapering’ of the Fed’s latest bond buying </w:t>
      </w:r>
      <w:proofErr w:type="spellStart"/>
      <w:r w:rsidRPr="002A5D6D">
        <w:rPr>
          <w:rFonts w:cs="Arial"/>
          <w:color w:val="003768"/>
          <w:sz w:val="20"/>
          <w:szCs w:val="20"/>
        </w:rPr>
        <w:t>programme</w:t>
      </w:r>
      <w:proofErr w:type="spellEnd"/>
      <w:r w:rsidRPr="002A5D6D">
        <w:rPr>
          <w:rFonts w:cs="Arial"/>
          <w:color w:val="003768"/>
          <w:sz w:val="20"/>
          <w:szCs w:val="20"/>
        </w:rPr>
        <w:t xml:space="preserve">, capital flows to many emerging markets have started to reverse. In particular, in countries that have a current account deficit, currencies are depreciating and bond yields rising. However, a crisis similar to that in 1997 is unlikely, since internal debt is accumulating at a much more moderate rate now and FX reserves are considerably higher.   </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The ECB has announced the launch of its comprehensive assessment of euro area banks, including an asset quality review, balance sheet assessment and stress test. The results will be published in late 2014.</w:t>
      </w:r>
    </w:p>
    <w:p w:rsidR="002A5D6D" w:rsidRPr="002A5D6D" w:rsidRDefault="002A5D6D" w:rsidP="003B367B">
      <w:pPr>
        <w:pStyle w:val="Lijstalinea"/>
        <w:numPr>
          <w:ilvl w:val="0"/>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Additional information</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The statutory auditor of KBC Group NV has confirmed that its audit of the consolidated financial statements – which have been prepared in accordance with the International Financial Reporting Standards as adopted for use in the European Union – is substantially completed and that this audit has not revealed any material modification that would have to be made to the accounting information derived from the consolidated financial statements and included in this earnings statement.</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It will be proposed to the Annual General Meeting of Shareholders that no dividend for financial year 2013 be paid in 2014.</w:t>
      </w:r>
    </w:p>
    <w:p w:rsidR="002A5D6D" w:rsidRPr="002A5D6D" w:rsidRDefault="002A5D6D" w:rsidP="003B367B">
      <w:pPr>
        <w:pStyle w:val="Lijstalinea"/>
        <w:numPr>
          <w:ilvl w:val="1"/>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Financial calendar for 2014:</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As of 31 March 2014: 2013 Annual Report and 2013 Risk Report</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30 April 2014: Annual General Meeting</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15 May 2014: KBC Group – Publication of 1Q 2014 results</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7 August 2014: KBC Group – Publication of 2Q 2014 results</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13 November 2014: KBC Group – Publication of 3Q 2014 results</w:t>
      </w:r>
    </w:p>
    <w:p w:rsidR="002A5D6D" w:rsidRPr="002A5D6D" w:rsidRDefault="002A5D6D" w:rsidP="003B367B">
      <w:pPr>
        <w:pStyle w:val="Lijstalinea"/>
        <w:numPr>
          <w:ilvl w:val="2"/>
          <w:numId w:val="13"/>
        </w:numPr>
        <w:autoSpaceDE w:val="0"/>
        <w:autoSpaceDN w:val="0"/>
        <w:adjustRightInd w:val="0"/>
        <w:spacing w:after="60" w:line="240" w:lineRule="auto"/>
        <w:ind w:right="6" w:hanging="357"/>
        <w:contextualSpacing w:val="0"/>
        <w:jc w:val="both"/>
        <w:rPr>
          <w:rFonts w:cs="Arial"/>
          <w:color w:val="003768"/>
          <w:sz w:val="20"/>
          <w:szCs w:val="20"/>
        </w:rPr>
      </w:pPr>
      <w:r w:rsidRPr="002A5D6D">
        <w:rPr>
          <w:rFonts w:cs="Arial"/>
          <w:color w:val="003768"/>
          <w:sz w:val="20"/>
          <w:szCs w:val="20"/>
        </w:rPr>
        <w:t>12 February 2015: KBC Group – Publication of 4Q 2014 results</w:t>
      </w:r>
    </w:p>
    <w:p w:rsidR="00086B0B" w:rsidRPr="003B367B" w:rsidRDefault="00086B0B">
      <w:pPr>
        <w:spacing w:after="0" w:line="240" w:lineRule="auto"/>
        <w:rPr>
          <w:rFonts w:ascii="Rockwell" w:hAnsi="Rockwell" w:cs="Arial"/>
          <w:b/>
          <w:bCs/>
          <w:color w:val="003768"/>
          <w:sz w:val="28"/>
          <w:szCs w:val="28"/>
        </w:rPr>
      </w:pPr>
      <w:r w:rsidRPr="003B367B">
        <w:rPr>
          <w:rFonts w:ascii="Rockwell" w:hAnsi="Rockwell" w:cs="Arial"/>
          <w:b/>
          <w:bCs/>
          <w:color w:val="003768"/>
          <w:sz w:val="28"/>
          <w:szCs w:val="28"/>
        </w:rPr>
        <w:br w:type="page"/>
      </w:r>
    </w:p>
    <w:p w:rsidR="00B15143" w:rsidRDefault="000A2BE1" w:rsidP="002A5D6D">
      <w:pPr>
        <w:autoSpaceDE w:val="0"/>
        <w:autoSpaceDN w:val="0"/>
        <w:adjustRightInd w:val="0"/>
        <w:spacing w:after="120" w:line="240" w:lineRule="auto"/>
        <w:ind w:left="993" w:right="4"/>
        <w:jc w:val="both"/>
        <w:rPr>
          <w:rFonts w:ascii="Rockwell" w:hAnsi="Rockwell" w:cs="Arial"/>
          <w:b/>
          <w:bCs/>
          <w:color w:val="003768"/>
          <w:sz w:val="24"/>
          <w:szCs w:val="24"/>
        </w:rPr>
      </w:pPr>
      <w:r w:rsidRPr="00C42323">
        <w:rPr>
          <w:rFonts w:ascii="Rockwell" w:hAnsi="Rockwell" w:cs="Arial"/>
          <w:b/>
          <w:bCs/>
          <w:color w:val="003768"/>
          <w:sz w:val="24"/>
          <w:szCs w:val="24"/>
        </w:rPr>
        <w:lastRenderedPageBreak/>
        <w:t>For more</w:t>
      </w:r>
      <w:r w:rsidR="00B15143">
        <w:rPr>
          <w:rFonts w:ascii="Rockwell" w:hAnsi="Rockwell" w:cs="Arial"/>
          <w:b/>
          <w:bCs/>
          <w:color w:val="003768"/>
          <w:sz w:val="24"/>
          <w:szCs w:val="24"/>
        </w:rPr>
        <w:t xml:space="preserve"> information, please contact</w:t>
      </w:r>
      <w:r w:rsidRPr="00C42323">
        <w:rPr>
          <w:rFonts w:ascii="Rockwell" w:hAnsi="Rockwell" w:cs="Arial"/>
          <w:b/>
          <w:bCs/>
          <w:color w:val="003768"/>
          <w:sz w:val="24"/>
          <w:szCs w:val="24"/>
        </w:rPr>
        <w:t>:</w:t>
      </w:r>
    </w:p>
    <w:p w:rsidR="000A2BE1" w:rsidRPr="00B15143" w:rsidRDefault="000A2BE1" w:rsidP="002A5D6D">
      <w:pPr>
        <w:autoSpaceDE w:val="0"/>
        <w:autoSpaceDN w:val="0"/>
        <w:adjustRightInd w:val="0"/>
        <w:spacing w:after="0" w:line="240" w:lineRule="auto"/>
        <w:ind w:left="993" w:right="4"/>
        <w:jc w:val="both"/>
        <w:rPr>
          <w:rFonts w:ascii="Rockwell" w:hAnsi="Rockwell" w:cs="Arial"/>
          <w:b/>
          <w:bCs/>
          <w:color w:val="003768"/>
          <w:sz w:val="24"/>
          <w:szCs w:val="24"/>
        </w:rPr>
      </w:pPr>
      <w:proofErr w:type="spellStart"/>
      <w:r w:rsidRPr="00C42323">
        <w:rPr>
          <w:rFonts w:cs="Arial"/>
          <w:color w:val="003768"/>
          <w:sz w:val="20"/>
          <w:szCs w:val="20"/>
        </w:rPr>
        <w:t>Wim</w:t>
      </w:r>
      <w:proofErr w:type="spellEnd"/>
      <w:r w:rsidRPr="00C42323">
        <w:rPr>
          <w:rFonts w:cs="Arial"/>
          <w:color w:val="003768"/>
          <w:sz w:val="20"/>
          <w:szCs w:val="20"/>
        </w:rPr>
        <w:t xml:space="preserve"> </w:t>
      </w:r>
      <w:proofErr w:type="spellStart"/>
      <w:r w:rsidRPr="00C42323">
        <w:rPr>
          <w:rFonts w:cs="Arial"/>
          <w:color w:val="003768"/>
          <w:sz w:val="20"/>
          <w:szCs w:val="20"/>
        </w:rPr>
        <w:t>Allegaert</w:t>
      </w:r>
      <w:proofErr w:type="spellEnd"/>
      <w:r w:rsidRPr="00C42323">
        <w:rPr>
          <w:rFonts w:cs="Arial"/>
          <w:color w:val="003768"/>
          <w:sz w:val="20"/>
          <w:szCs w:val="20"/>
        </w:rPr>
        <w:t>, General Manager, Investor Relations, KBC Group</w:t>
      </w:r>
    </w:p>
    <w:p w:rsidR="00C42323" w:rsidRPr="001906AA" w:rsidRDefault="00EA7CCC" w:rsidP="002A5D6D">
      <w:pPr>
        <w:spacing w:after="120"/>
        <w:ind w:left="993" w:right="4"/>
        <w:jc w:val="both"/>
        <w:rPr>
          <w:rFonts w:cs="Arial"/>
          <w:color w:val="00AEEF"/>
          <w:sz w:val="20"/>
          <w:szCs w:val="20"/>
        </w:rPr>
      </w:pPr>
      <w:r w:rsidRPr="001906AA">
        <w:rPr>
          <w:rFonts w:cs="Arial"/>
          <w:color w:val="003768"/>
          <w:sz w:val="20"/>
          <w:szCs w:val="20"/>
        </w:rPr>
        <w:t>Tel +32 2 429 50 51  - E-mail</w:t>
      </w:r>
      <w:r w:rsidR="000A2BE1" w:rsidRPr="001906AA">
        <w:rPr>
          <w:rFonts w:cs="Arial"/>
          <w:color w:val="003768"/>
          <w:sz w:val="20"/>
          <w:szCs w:val="20"/>
        </w:rPr>
        <w:t>:</w:t>
      </w:r>
      <w:r w:rsidR="000A2BE1" w:rsidRPr="001906AA">
        <w:rPr>
          <w:rFonts w:cs="Arial"/>
          <w:sz w:val="20"/>
          <w:szCs w:val="20"/>
        </w:rPr>
        <w:t xml:space="preserve"> </w:t>
      </w:r>
      <w:hyperlink r:id="rId19" w:history="1">
        <w:r w:rsidR="000A2BE1" w:rsidRPr="001906AA">
          <w:rPr>
            <w:rStyle w:val="Hyperlink"/>
            <w:rFonts w:cs="Arial"/>
            <w:color w:val="00AEEF"/>
            <w:sz w:val="20"/>
            <w:szCs w:val="20"/>
          </w:rPr>
          <w:t>wim.allegaert@kbc.be</w:t>
        </w:r>
      </w:hyperlink>
    </w:p>
    <w:p w:rsidR="000A2BE1" w:rsidRPr="00C42323" w:rsidRDefault="000A2BE1" w:rsidP="002A5D6D">
      <w:pPr>
        <w:autoSpaceDE w:val="0"/>
        <w:autoSpaceDN w:val="0"/>
        <w:adjustRightInd w:val="0"/>
        <w:spacing w:after="0" w:line="240" w:lineRule="auto"/>
        <w:ind w:left="993" w:right="4"/>
        <w:jc w:val="both"/>
        <w:rPr>
          <w:rFonts w:cs="Arial"/>
          <w:color w:val="003768"/>
          <w:sz w:val="20"/>
          <w:szCs w:val="20"/>
        </w:rPr>
      </w:pPr>
      <w:r w:rsidRPr="00C42323">
        <w:rPr>
          <w:rFonts w:cs="Arial"/>
          <w:color w:val="003768"/>
          <w:sz w:val="20"/>
          <w:szCs w:val="20"/>
        </w:rPr>
        <w:t xml:space="preserve">Viviane </w:t>
      </w:r>
      <w:proofErr w:type="spellStart"/>
      <w:r w:rsidRPr="00C42323">
        <w:rPr>
          <w:rFonts w:cs="Arial"/>
          <w:color w:val="003768"/>
          <w:sz w:val="20"/>
          <w:szCs w:val="20"/>
        </w:rPr>
        <w:t>Huybrecht</w:t>
      </w:r>
      <w:proofErr w:type="spellEnd"/>
      <w:r w:rsidRPr="00C42323">
        <w:rPr>
          <w:rFonts w:cs="Arial"/>
          <w:color w:val="003768"/>
          <w:sz w:val="20"/>
          <w:szCs w:val="20"/>
        </w:rPr>
        <w:t>, General Manager, Corporate Communication/Spokesperson, KBC Group</w:t>
      </w:r>
    </w:p>
    <w:p w:rsidR="000A2BE1" w:rsidRPr="00C42323" w:rsidRDefault="00EA7CCC" w:rsidP="002A5D6D">
      <w:pPr>
        <w:autoSpaceDE w:val="0"/>
        <w:autoSpaceDN w:val="0"/>
        <w:adjustRightInd w:val="0"/>
        <w:spacing w:after="0" w:line="240" w:lineRule="auto"/>
        <w:ind w:left="993" w:right="4"/>
        <w:jc w:val="both"/>
        <w:rPr>
          <w:rFonts w:cs="Arial"/>
          <w:sz w:val="20"/>
          <w:szCs w:val="20"/>
          <w:lang w:val="de-DE"/>
        </w:rPr>
      </w:pPr>
      <w:r>
        <w:rPr>
          <w:rFonts w:cs="Arial"/>
          <w:color w:val="003768"/>
          <w:sz w:val="20"/>
          <w:szCs w:val="20"/>
          <w:lang w:val="de-DE"/>
        </w:rPr>
        <w:t xml:space="preserve">Tel +32 2 429 85 45  - </w:t>
      </w:r>
      <w:proofErr w:type="spellStart"/>
      <w:r>
        <w:rPr>
          <w:rFonts w:cs="Arial"/>
          <w:color w:val="003768"/>
          <w:sz w:val="20"/>
          <w:szCs w:val="20"/>
          <w:lang w:val="de-DE"/>
        </w:rPr>
        <w:t>E-mail</w:t>
      </w:r>
      <w:proofErr w:type="spellEnd"/>
      <w:r w:rsidR="000A2BE1" w:rsidRPr="00C42323">
        <w:rPr>
          <w:rFonts w:cs="Arial"/>
          <w:color w:val="003768"/>
          <w:sz w:val="20"/>
          <w:szCs w:val="20"/>
          <w:lang w:val="de-DE"/>
        </w:rPr>
        <w:t>:</w:t>
      </w:r>
      <w:r w:rsidR="000A2BE1" w:rsidRPr="00C42323">
        <w:rPr>
          <w:rFonts w:cs="Arial"/>
          <w:sz w:val="20"/>
          <w:szCs w:val="20"/>
          <w:lang w:val="de-DE"/>
        </w:rPr>
        <w:t xml:space="preserve"> </w:t>
      </w:r>
      <w:hyperlink r:id="rId20" w:history="1">
        <w:r w:rsidR="000A2BE1" w:rsidRPr="00C42323">
          <w:rPr>
            <w:rStyle w:val="Hyperlink"/>
            <w:rFonts w:cs="Arial"/>
            <w:color w:val="00AEEF"/>
            <w:sz w:val="20"/>
            <w:szCs w:val="20"/>
            <w:lang w:val="de-DE"/>
          </w:rPr>
          <w:t>pressofficekbc@kbc.be</w:t>
        </w:r>
      </w:hyperlink>
    </w:p>
    <w:p w:rsidR="000A2BE1" w:rsidRPr="00F8611A" w:rsidRDefault="000A2BE1" w:rsidP="002A5D6D">
      <w:pPr>
        <w:autoSpaceDE w:val="0"/>
        <w:autoSpaceDN w:val="0"/>
        <w:adjustRightInd w:val="0"/>
        <w:spacing w:after="0" w:line="240" w:lineRule="auto"/>
        <w:ind w:left="993" w:right="4"/>
        <w:jc w:val="both"/>
        <w:rPr>
          <w:rFonts w:cs="Arial"/>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3A10F4"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3A10F4" w:rsidRDefault="007571D2" w:rsidP="002A5D6D">
            <w:pPr>
              <w:pStyle w:val="Voettekst"/>
              <w:tabs>
                <w:tab w:val="bar" w:pos="-2709"/>
              </w:tabs>
              <w:jc w:val="both"/>
              <w:rPr>
                <w:b/>
                <w:bCs/>
                <w:color w:val="002060"/>
                <w:sz w:val="18"/>
                <w:szCs w:val="18"/>
              </w:rPr>
            </w:pPr>
            <w:r w:rsidRPr="00DF6E49">
              <w:rPr>
                <w:rFonts w:ascii="Rockwell" w:hAnsi="Rockwell"/>
                <w:color w:val="002060"/>
                <w:sz w:val="18"/>
                <w:szCs w:val="18"/>
              </w:rPr>
              <w:t xml:space="preserve">* </w:t>
            </w:r>
            <w:r w:rsidRPr="00F73FEF">
              <w:rPr>
                <w:rFonts w:ascii="Rockwell" w:hAnsi="Rockwell"/>
                <w:color w:val="002060"/>
                <w:sz w:val="18"/>
                <w:szCs w:val="18"/>
              </w:rPr>
              <w:t>This news item contains information that is subject to the transparency regulations for listed companies</w:t>
            </w:r>
            <w:r w:rsidRPr="00DF6E49">
              <w:rPr>
                <w:rFonts w:ascii="Rockwell" w:hAnsi="Rockwell"/>
                <w:color w:val="002060"/>
                <w:sz w:val="18"/>
                <w:szCs w:val="18"/>
              </w:rPr>
              <w:t>.</w:t>
            </w:r>
          </w:p>
        </w:tc>
      </w:tr>
      <w:tr w:rsidR="00CE168D" w:rsidRPr="003A10F4" w:rsidTr="00020337">
        <w:trPr>
          <w:trHeight w:val="913"/>
        </w:trPr>
        <w:tc>
          <w:tcPr>
            <w:tcW w:w="3400" w:type="dxa"/>
            <w:shd w:val="clear" w:color="auto" w:fill="FFFFFF"/>
            <w:tcMar>
              <w:top w:w="15" w:type="dxa"/>
              <w:left w:w="15" w:type="dxa"/>
              <w:bottom w:w="0" w:type="dxa"/>
              <w:right w:w="15" w:type="dxa"/>
            </w:tcMar>
            <w:hideMark/>
          </w:tcPr>
          <w:p w:rsidR="00CE168D" w:rsidRPr="003A10F4" w:rsidRDefault="00CE168D" w:rsidP="002A5D6D">
            <w:pPr>
              <w:pStyle w:val="Voettekst"/>
              <w:tabs>
                <w:tab w:val="bar" w:pos="-2709"/>
              </w:tabs>
              <w:jc w:val="both"/>
              <w:rPr>
                <w:bCs/>
                <w:color w:val="00B0F0"/>
                <w:sz w:val="4"/>
                <w:szCs w:val="4"/>
              </w:rPr>
            </w:pPr>
          </w:p>
          <w:p w:rsidR="00CE168D" w:rsidRPr="003A10F4" w:rsidRDefault="00CE168D" w:rsidP="002A5D6D">
            <w:pPr>
              <w:pStyle w:val="Voettekst"/>
              <w:tabs>
                <w:tab w:val="bar" w:pos="-2709"/>
              </w:tabs>
              <w:jc w:val="both"/>
              <w:rPr>
                <w:rFonts w:ascii="Rockwell" w:hAnsi="Rockwell"/>
                <w:color w:val="00B0F0"/>
                <w:sz w:val="18"/>
                <w:szCs w:val="18"/>
              </w:rPr>
            </w:pPr>
            <w:r w:rsidRPr="003A10F4">
              <w:rPr>
                <w:rFonts w:ascii="Rockwell" w:hAnsi="Rockwell"/>
                <w:b/>
                <w:bCs/>
                <w:color w:val="00B0F0"/>
                <w:sz w:val="18"/>
                <w:szCs w:val="18"/>
              </w:rPr>
              <w:t>KBC Group NV</w:t>
            </w:r>
          </w:p>
          <w:p w:rsidR="00CE168D" w:rsidRPr="003A10F4" w:rsidRDefault="00CE168D" w:rsidP="002A5D6D">
            <w:pPr>
              <w:pStyle w:val="Voettekst"/>
              <w:tabs>
                <w:tab w:val="bar" w:pos="-2709"/>
              </w:tabs>
              <w:jc w:val="both"/>
              <w:rPr>
                <w:color w:val="002060"/>
                <w:sz w:val="14"/>
                <w:szCs w:val="14"/>
              </w:rPr>
            </w:pPr>
            <w:proofErr w:type="spellStart"/>
            <w:r w:rsidRPr="003A10F4">
              <w:rPr>
                <w:b/>
                <w:bCs/>
                <w:color w:val="002060"/>
                <w:sz w:val="14"/>
                <w:szCs w:val="14"/>
              </w:rPr>
              <w:t>Havenlaan</w:t>
            </w:r>
            <w:proofErr w:type="spellEnd"/>
            <w:r w:rsidRPr="003A10F4">
              <w:rPr>
                <w:b/>
                <w:bCs/>
                <w:color w:val="002060"/>
                <w:sz w:val="14"/>
                <w:szCs w:val="14"/>
              </w:rPr>
              <w:t xml:space="preserve"> 2 – 1080 Brussels</w:t>
            </w:r>
          </w:p>
          <w:p w:rsidR="00CE168D" w:rsidRPr="003A10F4" w:rsidRDefault="00CE168D" w:rsidP="002A5D6D">
            <w:pPr>
              <w:pStyle w:val="Voettekst"/>
              <w:tabs>
                <w:tab w:val="bar" w:pos="-2709"/>
              </w:tabs>
              <w:jc w:val="both"/>
              <w:rPr>
                <w:color w:val="002060"/>
                <w:sz w:val="14"/>
                <w:szCs w:val="14"/>
              </w:rPr>
            </w:pPr>
            <w:r w:rsidRPr="003A10F4">
              <w:rPr>
                <w:b/>
                <w:bCs/>
                <w:color w:val="002060"/>
                <w:sz w:val="14"/>
                <w:szCs w:val="14"/>
              </w:rPr>
              <w:t xml:space="preserve">Viviane </w:t>
            </w:r>
            <w:proofErr w:type="spellStart"/>
            <w:r w:rsidRPr="003A10F4">
              <w:rPr>
                <w:b/>
                <w:bCs/>
                <w:color w:val="002060"/>
                <w:sz w:val="14"/>
                <w:szCs w:val="14"/>
              </w:rPr>
              <w:t>Huybrecht</w:t>
            </w:r>
            <w:proofErr w:type="spellEnd"/>
          </w:p>
          <w:p w:rsidR="00254932" w:rsidRDefault="00254932" w:rsidP="002A5D6D">
            <w:pPr>
              <w:pStyle w:val="Voettekst"/>
              <w:tabs>
                <w:tab w:val="bar" w:pos="-2709"/>
              </w:tabs>
              <w:jc w:val="both"/>
              <w:rPr>
                <w:b/>
                <w:bCs/>
                <w:color w:val="002060"/>
                <w:sz w:val="14"/>
                <w:szCs w:val="14"/>
              </w:rPr>
            </w:pPr>
            <w:r>
              <w:rPr>
                <w:b/>
                <w:bCs/>
                <w:color w:val="002060"/>
                <w:sz w:val="14"/>
                <w:szCs w:val="14"/>
              </w:rPr>
              <w:t>General Manager</w:t>
            </w:r>
          </w:p>
          <w:p w:rsidR="00CE168D" w:rsidRPr="003A10F4" w:rsidRDefault="00C42323" w:rsidP="002A5D6D">
            <w:pPr>
              <w:pStyle w:val="Voettekst"/>
              <w:tabs>
                <w:tab w:val="bar" w:pos="-2709"/>
              </w:tabs>
              <w:jc w:val="both"/>
              <w:rPr>
                <w:color w:val="002060"/>
                <w:sz w:val="14"/>
                <w:szCs w:val="14"/>
              </w:rPr>
            </w:pPr>
            <w:r>
              <w:rPr>
                <w:b/>
                <w:bCs/>
                <w:color w:val="002060"/>
                <w:sz w:val="14"/>
                <w:szCs w:val="14"/>
              </w:rPr>
              <w:t>Corporate</w:t>
            </w:r>
            <w:r w:rsidR="00254932">
              <w:rPr>
                <w:color w:val="002060"/>
                <w:sz w:val="14"/>
                <w:szCs w:val="14"/>
              </w:rPr>
              <w:t xml:space="preserve"> </w:t>
            </w:r>
            <w:r w:rsidR="00CE168D" w:rsidRPr="003A10F4">
              <w:rPr>
                <w:b/>
                <w:bCs/>
                <w:color w:val="002060"/>
                <w:sz w:val="14"/>
                <w:szCs w:val="14"/>
              </w:rPr>
              <w:t>Communication /Spokesperson</w:t>
            </w:r>
          </w:p>
          <w:p w:rsidR="00CE168D" w:rsidRPr="003A10F4" w:rsidRDefault="00CE168D" w:rsidP="002A5D6D">
            <w:pPr>
              <w:pStyle w:val="Voettekst"/>
              <w:tabs>
                <w:tab w:val="bar" w:pos="-2709"/>
              </w:tabs>
              <w:jc w:val="both"/>
              <w:rPr>
                <w:b/>
                <w:bCs/>
                <w:color w:val="002060"/>
                <w:sz w:val="14"/>
                <w:szCs w:val="14"/>
              </w:rPr>
            </w:pPr>
            <w:r w:rsidRPr="003A10F4">
              <w:rPr>
                <w:b/>
                <w:bCs/>
                <w:color w:val="002060"/>
                <w:sz w:val="14"/>
                <w:szCs w:val="14"/>
              </w:rPr>
              <w:t>Tel. +32 2 429 85 45</w:t>
            </w:r>
          </w:p>
          <w:p w:rsidR="00CE168D" w:rsidRPr="003A10F4" w:rsidRDefault="00CE168D" w:rsidP="002A5D6D">
            <w:pPr>
              <w:pStyle w:val="Voettekst"/>
              <w:tabs>
                <w:tab w:val="bar" w:pos="-2709"/>
              </w:tabs>
              <w:jc w:val="both"/>
              <w:rPr>
                <w:b/>
                <w:bCs/>
                <w:color w:val="002060"/>
                <w:sz w:val="4"/>
                <w:szCs w:val="4"/>
              </w:rPr>
            </w:pPr>
          </w:p>
        </w:tc>
        <w:tc>
          <w:tcPr>
            <w:tcW w:w="3400" w:type="dxa"/>
            <w:shd w:val="clear" w:color="auto" w:fill="FFFFFF"/>
            <w:tcMar>
              <w:top w:w="15" w:type="dxa"/>
              <w:left w:w="15" w:type="dxa"/>
              <w:bottom w:w="0" w:type="dxa"/>
              <w:right w:w="15" w:type="dxa"/>
            </w:tcMar>
            <w:hideMark/>
          </w:tcPr>
          <w:p w:rsidR="00CE168D" w:rsidRPr="003A10F4" w:rsidRDefault="00CE168D" w:rsidP="002A5D6D">
            <w:pPr>
              <w:pStyle w:val="Voettekst"/>
              <w:tabs>
                <w:tab w:val="bar" w:pos="-2709"/>
              </w:tabs>
              <w:jc w:val="both"/>
              <w:rPr>
                <w:b/>
                <w:bCs/>
                <w:color w:val="002060"/>
                <w:sz w:val="4"/>
                <w:szCs w:val="4"/>
              </w:rPr>
            </w:pPr>
          </w:p>
          <w:p w:rsidR="00CE168D" w:rsidRPr="003A10F4" w:rsidRDefault="00CE168D" w:rsidP="002A5D6D">
            <w:pPr>
              <w:pStyle w:val="Voettekst"/>
              <w:tabs>
                <w:tab w:val="bar" w:pos="-2709"/>
              </w:tabs>
              <w:jc w:val="both"/>
              <w:rPr>
                <w:rFonts w:ascii="Rockwell" w:hAnsi="Rockwell"/>
                <w:b/>
                <w:bCs/>
                <w:color w:val="002060"/>
                <w:sz w:val="18"/>
                <w:szCs w:val="18"/>
              </w:rPr>
            </w:pPr>
          </w:p>
          <w:p w:rsidR="00CE168D" w:rsidRPr="003A10F4" w:rsidRDefault="00CE168D" w:rsidP="002A5D6D">
            <w:pPr>
              <w:pStyle w:val="Voettekst"/>
              <w:tabs>
                <w:tab w:val="bar" w:pos="-2709"/>
              </w:tabs>
              <w:jc w:val="both"/>
              <w:rPr>
                <w:color w:val="002060"/>
                <w:sz w:val="14"/>
                <w:szCs w:val="14"/>
              </w:rPr>
            </w:pPr>
            <w:r w:rsidRPr="003A10F4">
              <w:rPr>
                <w:b/>
                <w:bCs/>
                <w:color w:val="002060"/>
                <w:sz w:val="14"/>
                <w:szCs w:val="14"/>
              </w:rPr>
              <w:t>Press Office</w:t>
            </w:r>
          </w:p>
          <w:p w:rsidR="00CE168D" w:rsidRPr="003A10F4" w:rsidRDefault="00CE168D" w:rsidP="002A5D6D">
            <w:pPr>
              <w:pStyle w:val="Voettekst"/>
              <w:tabs>
                <w:tab w:val="bar" w:pos="-2709"/>
              </w:tabs>
              <w:jc w:val="both"/>
              <w:rPr>
                <w:color w:val="002060"/>
                <w:sz w:val="14"/>
                <w:szCs w:val="14"/>
              </w:rPr>
            </w:pPr>
            <w:r w:rsidRPr="003A10F4">
              <w:rPr>
                <w:b/>
                <w:bCs/>
                <w:color w:val="002060"/>
                <w:sz w:val="14"/>
                <w:szCs w:val="14"/>
              </w:rPr>
              <w:t>Tel. +32 2 429 65 01</w:t>
            </w:r>
          </w:p>
          <w:p w:rsidR="00076661" w:rsidRDefault="00076661" w:rsidP="002A5D6D">
            <w:pPr>
              <w:pStyle w:val="Voettekst"/>
              <w:tabs>
                <w:tab w:val="bar" w:pos="-2709"/>
              </w:tabs>
              <w:jc w:val="both"/>
              <w:rPr>
                <w:b/>
                <w:bCs/>
                <w:color w:val="002060"/>
                <w:sz w:val="14"/>
                <w:szCs w:val="14"/>
              </w:rPr>
            </w:pPr>
            <w:r>
              <w:rPr>
                <w:b/>
                <w:bCs/>
                <w:color w:val="002060"/>
                <w:sz w:val="14"/>
                <w:szCs w:val="14"/>
              </w:rPr>
              <w:t>Tel. +</w:t>
            </w:r>
            <w:r w:rsidRPr="00076661">
              <w:rPr>
                <w:b/>
                <w:bCs/>
                <w:color w:val="002060"/>
                <w:sz w:val="14"/>
                <w:szCs w:val="14"/>
              </w:rPr>
              <w:t>32 2 429 29 15</w:t>
            </w:r>
          </w:p>
          <w:p w:rsidR="00CE168D" w:rsidRPr="00076661" w:rsidRDefault="00CE168D" w:rsidP="002A5D6D">
            <w:pPr>
              <w:pStyle w:val="Voettekst"/>
              <w:tabs>
                <w:tab w:val="bar" w:pos="-2709"/>
              </w:tabs>
              <w:jc w:val="both"/>
              <w:rPr>
                <w:color w:val="002060"/>
                <w:sz w:val="14"/>
                <w:szCs w:val="14"/>
              </w:rPr>
            </w:pPr>
            <w:r w:rsidRPr="003A10F4">
              <w:rPr>
                <w:b/>
                <w:bCs/>
                <w:color w:val="002060"/>
                <w:sz w:val="14"/>
                <w:szCs w:val="14"/>
              </w:rPr>
              <w:t>Fax +32 2 429 81 60</w:t>
            </w:r>
          </w:p>
          <w:p w:rsidR="00CE168D" w:rsidRPr="001906AA" w:rsidRDefault="00CE168D" w:rsidP="002A5D6D">
            <w:pPr>
              <w:pStyle w:val="Voettekst"/>
              <w:tabs>
                <w:tab w:val="bar" w:pos="-2709"/>
              </w:tabs>
              <w:jc w:val="both"/>
              <w:rPr>
                <w:lang w:val="de-DE"/>
              </w:rPr>
            </w:pPr>
            <w:proofErr w:type="spellStart"/>
            <w:r w:rsidRPr="001906AA">
              <w:rPr>
                <w:b/>
                <w:bCs/>
                <w:color w:val="002060"/>
                <w:sz w:val="14"/>
                <w:szCs w:val="14"/>
                <w:lang w:val="de-DE"/>
              </w:rPr>
              <w:t>E-mail</w:t>
            </w:r>
            <w:proofErr w:type="spellEnd"/>
            <w:r w:rsidRPr="001906AA">
              <w:rPr>
                <w:b/>
                <w:bCs/>
                <w:color w:val="002060"/>
                <w:sz w:val="14"/>
                <w:szCs w:val="14"/>
                <w:lang w:val="de-DE"/>
              </w:rPr>
              <w:t xml:space="preserve">: </w:t>
            </w:r>
            <w:hyperlink r:id="rId21" w:history="1">
              <w:r w:rsidR="00254932" w:rsidRPr="001906AA">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1906AA" w:rsidRDefault="00CE168D" w:rsidP="002A5D6D">
            <w:pPr>
              <w:pStyle w:val="Voettekst"/>
              <w:tabs>
                <w:tab w:val="bar" w:pos="-2709"/>
              </w:tabs>
              <w:jc w:val="both"/>
              <w:rPr>
                <w:b/>
                <w:bCs/>
                <w:color w:val="002060"/>
                <w:sz w:val="4"/>
                <w:szCs w:val="4"/>
                <w:lang w:val="de-DE"/>
              </w:rPr>
            </w:pPr>
          </w:p>
          <w:p w:rsidR="00CE168D" w:rsidRPr="001906AA" w:rsidRDefault="00CE168D" w:rsidP="002A5D6D">
            <w:pPr>
              <w:pStyle w:val="Voettekst"/>
              <w:tabs>
                <w:tab w:val="bar" w:pos="-2709"/>
              </w:tabs>
              <w:jc w:val="both"/>
              <w:rPr>
                <w:b/>
                <w:bCs/>
                <w:color w:val="002060"/>
                <w:sz w:val="18"/>
                <w:szCs w:val="18"/>
                <w:lang w:val="de-DE"/>
              </w:rPr>
            </w:pPr>
          </w:p>
          <w:p w:rsidR="00CE168D" w:rsidRPr="003A10F4" w:rsidRDefault="00CE168D" w:rsidP="002A5D6D">
            <w:pPr>
              <w:pStyle w:val="Voettekst"/>
              <w:tabs>
                <w:tab w:val="bar" w:pos="-2709"/>
              </w:tabs>
              <w:spacing w:after="120"/>
              <w:jc w:val="both"/>
              <w:rPr>
                <w:color w:val="002060"/>
                <w:sz w:val="14"/>
                <w:szCs w:val="14"/>
              </w:rPr>
            </w:pPr>
            <w:r w:rsidRPr="003A10F4">
              <w:rPr>
                <w:b/>
                <w:bCs/>
                <w:color w:val="002060"/>
                <w:sz w:val="14"/>
                <w:szCs w:val="14"/>
              </w:rPr>
              <w:t xml:space="preserve">KBC press releases are available at </w:t>
            </w:r>
            <w:hyperlink r:id="rId22" w:history="1">
              <w:r w:rsidRPr="003A10F4">
                <w:rPr>
                  <w:rStyle w:val="Hyperlink"/>
                  <w:b/>
                  <w:bCs/>
                  <w:color w:val="00B0F0"/>
                  <w:sz w:val="14"/>
                  <w:szCs w:val="14"/>
                </w:rPr>
                <w:t>www.kbc.com</w:t>
              </w:r>
            </w:hyperlink>
            <w:r w:rsidRPr="003A10F4">
              <w:rPr>
                <w:b/>
                <w:bCs/>
                <w:color w:val="002060"/>
                <w:sz w:val="14"/>
                <w:szCs w:val="14"/>
              </w:rPr>
              <w:t xml:space="preserve"> or can be obtained by sending an e-mail to </w:t>
            </w:r>
            <w:hyperlink r:id="rId23" w:history="1">
              <w:r w:rsidRPr="003A10F4">
                <w:rPr>
                  <w:rStyle w:val="Hyperlink"/>
                  <w:b/>
                  <w:bCs/>
                  <w:color w:val="00B0F0"/>
                  <w:sz w:val="14"/>
                  <w:szCs w:val="14"/>
                </w:rPr>
                <w:t>pressofficekbc@kbc.be</w:t>
              </w:r>
            </w:hyperlink>
          </w:p>
          <w:p w:rsidR="00CE168D" w:rsidRPr="003A10F4" w:rsidRDefault="00CE168D" w:rsidP="002A5D6D">
            <w:pPr>
              <w:pStyle w:val="Voettekst"/>
              <w:tabs>
                <w:tab w:val="bar" w:pos="-2709"/>
              </w:tabs>
              <w:spacing w:after="120"/>
              <w:jc w:val="both"/>
              <w:rPr>
                <w:color w:val="002060"/>
              </w:rPr>
            </w:pPr>
            <w:r w:rsidRPr="003A10F4">
              <w:rPr>
                <w:b/>
                <w:bCs/>
                <w:color w:val="002060"/>
                <w:sz w:val="14"/>
                <w:szCs w:val="14"/>
              </w:rPr>
              <w:t xml:space="preserve">Follow us on </w:t>
            </w:r>
            <w:hyperlink r:id="rId24" w:history="1">
              <w:r w:rsidRPr="003A10F4">
                <w:rPr>
                  <w:rStyle w:val="Hyperlink"/>
                  <w:b/>
                  <w:bCs/>
                  <w:color w:val="00B0F0"/>
                  <w:sz w:val="14"/>
                  <w:szCs w:val="14"/>
                </w:rPr>
                <w:t>www.twitter.com/kbc_group</w:t>
              </w:r>
            </w:hyperlink>
          </w:p>
        </w:tc>
      </w:tr>
    </w:tbl>
    <w:p w:rsidR="004278B1" w:rsidRDefault="006923F4" w:rsidP="002A5D6D">
      <w:pPr>
        <w:pStyle w:val="Geenafstand"/>
        <w:ind w:left="993" w:right="664"/>
        <w:jc w:val="both"/>
      </w:pPr>
      <w:r>
        <w:rPr>
          <w:noProof/>
          <w:lang w:val="nl-BE" w:eastAsia="nl-BE"/>
        </w:rPr>
        <mc:AlternateContent>
          <mc:Choice Requires="wps">
            <w:drawing>
              <wp:anchor distT="0" distB="0" distL="114300" distR="114300" simplePos="0" relativeHeight="251658240" behindDoc="0" locked="0" layoutInCell="1" allowOverlap="1" wp14:anchorId="694FED22" wp14:editId="3A49141C">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66" w:rsidRDefault="006D3A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6D3A66" w:rsidRDefault="006D3A66"/>
                  </w:txbxContent>
                </v:textbox>
              </v:shape>
            </w:pict>
          </mc:Fallback>
        </mc:AlternateContent>
      </w:r>
    </w:p>
    <w:sectPr w:rsidR="004278B1" w:rsidSect="00020337">
      <w:footerReference w:type="default" r:id="rId25"/>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66" w:rsidRDefault="006D3A66" w:rsidP="000A2BE1">
      <w:pPr>
        <w:spacing w:after="0" w:line="240" w:lineRule="auto"/>
      </w:pPr>
      <w:r>
        <w:separator/>
      </w:r>
    </w:p>
  </w:endnote>
  <w:endnote w:type="continuationSeparator" w:id="0">
    <w:p w:rsidR="006D3A66" w:rsidRDefault="006D3A66" w:rsidP="000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66" w:rsidRDefault="006D3A66">
    <w:pPr>
      <w:pStyle w:val="Voettekst"/>
      <w:jc w:val="center"/>
    </w:pPr>
    <w:r>
      <w:t xml:space="preserve">Page </w:t>
    </w:r>
    <w:r>
      <w:rPr>
        <w:b/>
        <w:sz w:val="24"/>
        <w:szCs w:val="24"/>
      </w:rPr>
      <w:fldChar w:fldCharType="begin"/>
    </w:r>
    <w:r>
      <w:rPr>
        <w:b/>
      </w:rPr>
      <w:instrText xml:space="preserve"> PAGE </w:instrText>
    </w:r>
    <w:r>
      <w:rPr>
        <w:b/>
        <w:sz w:val="24"/>
        <w:szCs w:val="24"/>
      </w:rPr>
      <w:fldChar w:fldCharType="separate"/>
    </w:r>
    <w:r w:rsidR="0015194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1940">
      <w:rPr>
        <w:b/>
        <w:noProof/>
      </w:rPr>
      <w:t>14</w:t>
    </w:r>
    <w:r>
      <w:rPr>
        <w:b/>
        <w:sz w:val="24"/>
        <w:szCs w:val="24"/>
      </w:rPr>
      <w:fldChar w:fldCharType="end"/>
    </w:r>
  </w:p>
  <w:p w:rsidR="006D3A66" w:rsidRDefault="006D3A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66" w:rsidRDefault="006D3A66" w:rsidP="000A2BE1">
      <w:pPr>
        <w:spacing w:after="0" w:line="240" w:lineRule="auto"/>
      </w:pPr>
      <w:r>
        <w:separator/>
      </w:r>
    </w:p>
  </w:footnote>
  <w:footnote w:type="continuationSeparator" w:id="0">
    <w:p w:rsidR="006D3A66" w:rsidRDefault="006D3A66" w:rsidP="000A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83C"/>
    <w:multiLevelType w:val="hybridMultilevel"/>
    <w:tmpl w:val="4D62FDA0"/>
    <w:lvl w:ilvl="0" w:tplc="08130001">
      <w:start w:val="1"/>
      <w:numFmt w:val="bullet"/>
      <w:lvlText w:val=""/>
      <w:lvlJc w:val="left"/>
      <w:pPr>
        <w:ind w:left="1712" w:hanging="360"/>
      </w:pPr>
      <w:rPr>
        <w:rFonts w:ascii="Symbol" w:hAnsi="Symbol" w:hint="default"/>
      </w:rPr>
    </w:lvl>
    <w:lvl w:ilvl="1" w:tplc="08130003">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
    <w:nsid w:val="14966C82"/>
    <w:multiLevelType w:val="hybridMultilevel"/>
    <w:tmpl w:val="1388B110"/>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
    <w:nsid w:val="1BD034E5"/>
    <w:multiLevelType w:val="hybridMultilevel"/>
    <w:tmpl w:val="CAE08A6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21271110"/>
    <w:multiLevelType w:val="hybridMultilevel"/>
    <w:tmpl w:val="8F90126E"/>
    <w:lvl w:ilvl="0" w:tplc="08130001">
      <w:start w:val="1"/>
      <w:numFmt w:val="bullet"/>
      <w:lvlText w:val=""/>
      <w:lvlJc w:val="left"/>
      <w:pPr>
        <w:ind w:left="1712" w:hanging="360"/>
      </w:pPr>
      <w:rPr>
        <w:rFonts w:ascii="Symbol" w:hAnsi="Symbol" w:hint="default"/>
      </w:rPr>
    </w:lvl>
    <w:lvl w:ilvl="1" w:tplc="08130019" w:tentative="1">
      <w:start w:val="1"/>
      <w:numFmt w:val="lowerLetter"/>
      <w:lvlText w:val="%2."/>
      <w:lvlJc w:val="left"/>
      <w:pPr>
        <w:ind w:left="2432" w:hanging="360"/>
      </w:pPr>
    </w:lvl>
    <w:lvl w:ilvl="2" w:tplc="0813001B" w:tentative="1">
      <w:start w:val="1"/>
      <w:numFmt w:val="lowerRoman"/>
      <w:lvlText w:val="%3."/>
      <w:lvlJc w:val="right"/>
      <w:pPr>
        <w:ind w:left="3152" w:hanging="180"/>
      </w:pPr>
    </w:lvl>
    <w:lvl w:ilvl="3" w:tplc="0813000F" w:tentative="1">
      <w:start w:val="1"/>
      <w:numFmt w:val="decimal"/>
      <w:lvlText w:val="%4."/>
      <w:lvlJc w:val="left"/>
      <w:pPr>
        <w:ind w:left="3872" w:hanging="360"/>
      </w:pPr>
    </w:lvl>
    <w:lvl w:ilvl="4" w:tplc="08130019" w:tentative="1">
      <w:start w:val="1"/>
      <w:numFmt w:val="lowerLetter"/>
      <w:lvlText w:val="%5."/>
      <w:lvlJc w:val="left"/>
      <w:pPr>
        <w:ind w:left="4592" w:hanging="360"/>
      </w:pPr>
    </w:lvl>
    <w:lvl w:ilvl="5" w:tplc="0813001B" w:tentative="1">
      <w:start w:val="1"/>
      <w:numFmt w:val="lowerRoman"/>
      <w:lvlText w:val="%6."/>
      <w:lvlJc w:val="right"/>
      <w:pPr>
        <w:ind w:left="5312" w:hanging="180"/>
      </w:pPr>
    </w:lvl>
    <w:lvl w:ilvl="6" w:tplc="0813000F" w:tentative="1">
      <w:start w:val="1"/>
      <w:numFmt w:val="decimal"/>
      <w:lvlText w:val="%7."/>
      <w:lvlJc w:val="left"/>
      <w:pPr>
        <w:ind w:left="6032" w:hanging="360"/>
      </w:pPr>
    </w:lvl>
    <w:lvl w:ilvl="7" w:tplc="08130019" w:tentative="1">
      <w:start w:val="1"/>
      <w:numFmt w:val="lowerLetter"/>
      <w:lvlText w:val="%8."/>
      <w:lvlJc w:val="left"/>
      <w:pPr>
        <w:ind w:left="6752" w:hanging="360"/>
      </w:pPr>
    </w:lvl>
    <w:lvl w:ilvl="8" w:tplc="0813001B" w:tentative="1">
      <w:start w:val="1"/>
      <w:numFmt w:val="lowerRoman"/>
      <w:lvlText w:val="%9."/>
      <w:lvlJc w:val="right"/>
      <w:pPr>
        <w:ind w:left="7472" w:hanging="180"/>
      </w:pPr>
    </w:lvl>
  </w:abstractNum>
  <w:abstractNum w:abstractNumId="4">
    <w:nsid w:val="2D501839"/>
    <w:multiLevelType w:val="hybridMultilevel"/>
    <w:tmpl w:val="11E254C0"/>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5">
    <w:nsid w:val="30A02D1C"/>
    <w:multiLevelType w:val="hybridMultilevel"/>
    <w:tmpl w:val="3E6AC9B2"/>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6">
    <w:nsid w:val="362C6594"/>
    <w:multiLevelType w:val="hybridMultilevel"/>
    <w:tmpl w:val="998ABDCE"/>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7">
    <w:nsid w:val="3A050CC2"/>
    <w:multiLevelType w:val="hybridMultilevel"/>
    <w:tmpl w:val="4B78B908"/>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8">
    <w:nsid w:val="49F327C3"/>
    <w:multiLevelType w:val="hybridMultilevel"/>
    <w:tmpl w:val="3B2EDDA4"/>
    <w:lvl w:ilvl="0" w:tplc="08130001">
      <w:start w:val="1"/>
      <w:numFmt w:val="bullet"/>
      <w:lvlText w:val=""/>
      <w:lvlJc w:val="left"/>
      <w:pPr>
        <w:ind w:left="1712" w:hanging="360"/>
      </w:pPr>
      <w:rPr>
        <w:rFonts w:ascii="Symbol" w:hAnsi="Symbol" w:hint="default"/>
      </w:rPr>
    </w:lvl>
    <w:lvl w:ilvl="1" w:tplc="08130003">
      <w:start w:val="1"/>
      <w:numFmt w:val="bullet"/>
      <w:lvlText w:val="o"/>
      <w:lvlJc w:val="left"/>
      <w:pPr>
        <w:ind w:left="2432" w:hanging="360"/>
      </w:pPr>
      <w:rPr>
        <w:rFonts w:ascii="Courier New" w:hAnsi="Courier New" w:cs="Courier New" w:hint="default"/>
      </w:rPr>
    </w:lvl>
    <w:lvl w:ilvl="2" w:tplc="08130005">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9">
    <w:nsid w:val="5636148A"/>
    <w:multiLevelType w:val="hybridMultilevel"/>
    <w:tmpl w:val="47C27586"/>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0">
    <w:nsid w:val="65763259"/>
    <w:multiLevelType w:val="hybridMultilevel"/>
    <w:tmpl w:val="56D23A80"/>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11">
    <w:nsid w:val="6A6151FD"/>
    <w:multiLevelType w:val="hybridMultilevel"/>
    <w:tmpl w:val="52D89AA2"/>
    <w:lvl w:ilvl="0" w:tplc="0813000F">
      <w:start w:val="1"/>
      <w:numFmt w:val="decimal"/>
      <w:lvlText w:val="%1."/>
      <w:lvlJc w:val="left"/>
      <w:pPr>
        <w:ind w:left="1712" w:hanging="360"/>
      </w:pPr>
    </w:lvl>
    <w:lvl w:ilvl="1" w:tplc="08130019" w:tentative="1">
      <w:start w:val="1"/>
      <w:numFmt w:val="lowerLetter"/>
      <w:lvlText w:val="%2."/>
      <w:lvlJc w:val="left"/>
      <w:pPr>
        <w:ind w:left="2432" w:hanging="360"/>
      </w:pPr>
    </w:lvl>
    <w:lvl w:ilvl="2" w:tplc="0813001B" w:tentative="1">
      <w:start w:val="1"/>
      <w:numFmt w:val="lowerRoman"/>
      <w:lvlText w:val="%3."/>
      <w:lvlJc w:val="right"/>
      <w:pPr>
        <w:ind w:left="3152" w:hanging="180"/>
      </w:pPr>
    </w:lvl>
    <w:lvl w:ilvl="3" w:tplc="0813000F" w:tentative="1">
      <w:start w:val="1"/>
      <w:numFmt w:val="decimal"/>
      <w:lvlText w:val="%4."/>
      <w:lvlJc w:val="left"/>
      <w:pPr>
        <w:ind w:left="3872" w:hanging="360"/>
      </w:pPr>
    </w:lvl>
    <w:lvl w:ilvl="4" w:tplc="08130019" w:tentative="1">
      <w:start w:val="1"/>
      <w:numFmt w:val="lowerLetter"/>
      <w:lvlText w:val="%5."/>
      <w:lvlJc w:val="left"/>
      <w:pPr>
        <w:ind w:left="4592" w:hanging="360"/>
      </w:pPr>
    </w:lvl>
    <w:lvl w:ilvl="5" w:tplc="0813001B" w:tentative="1">
      <w:start w:val="1"/>
      <w:numFmt w:val="lowerRoman"/>
      <w:lvlText w:val="%6."/>
      <w:lvlJc w:val="right"/>
      <w:pPr>
        <w:ind w:left="5312" w:hanging="180"/>
      </w:pPr>
    </w:lvl>
    <w:lvl w:ilvl="6" w:tplc="0813000F" w:tentative="1">
      <w:start w:val="1"/>
      <w:numFmt w:val="decimal"/>
      <w:lvlText w:val="%7."/>
      <w:lvlJc w:val="left"/>
      <w:pPr>
        <w:ind w:left="6032" w:hanging="360"/>
      </w:pPr>
    </w:lvl>
    <w:lvl w:ilvl="7" w:tplc="08130019" w:tentative="1">
      <w:start w:val="1"/>
      <w:numFmt w:val="lowerLetter"/>
      <w:lvlText w:val="%8."/>
      <w:lvlJc w:val="left"/>
      <w:pPr>
        <w:ind w:left="6752" w:hanging="360"/>
      </w:pPr>
    </w:lvl>
    <w:lvl w:ilvl="8" w:tplc="0813001B" w:tentative="1">
      <w:start w:val="1"/>
      <w:numFmt w:val="lowerRoman"/>
      <w:lvlText w:val="%9."/>
      <w:lvlJc w:val="right"/>
      <w:pPr>
        <w:ind w:left="7472" w:hanging="180"/>
      </w:pPr>
    </w:lvl>
  </w:abstractNum>
  <w:abstractNum w:abstractNumId="12">
    <w:nsid w:val="7E32171C"/>
    <w:multiLevelType w:val="hybridMultilevel"/>
    <w:tmpl w:val="77E29F8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9"/>
  </w:num>
  <w:num w:numId="7">
    <w:abstractNumId w:val="2"/>
  </w:num>
  <w:num w:numId="8">
    <w:abstractNumId w:val="10"/>
  </w:num>
  <w:num w:numId="9">
    <w:abstractNumId w:val="12"/>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15607"/>
    <w:rsid w:val="00020337"/>
    <w:rsid w:val="00046B14"/>
    <w:rsid w:val="00067351"/>
    <w:rsid w:val="00076661"/>
    <w:rsid w:val="0007720A"/>
    <w:rsid w:val="00086B0B"/>
    <w:rsid w:val="000A2BE1"/>
    <w:rsid w:val="001044FC"/>
    <w:rsid w:val="00145E8E"/>
    <w:rsid w:val="00146F8E"/>
    <w:rsid w:val="00151940"/>
    <w:rsid w:val="001572F2"/>
    <w:rsid w:val="001906AA"/>
    <w:rsid w:val="00254932"/>
    <w:rsid w:val="00262D1E"/>
    <w:rsid w:val="0028236F"/>
    <w:rsid w:val="00286C63"/>
    <w:rsid w:val="002A5D6D"/>
    <w:rsid w:val="002A7F14"/>
    <w:rsid w:val="002C0AD2"/>
    <w:rsid w:val="00326CB0"/>
    <w:rsid w:val="00373C74"/>
    <w:rsid w:val="00381C04"/>
    <w:rsid w:val="0038316D"/>
    <w:rsid w:val="0038517C"/>
    <w:rsid w:val="003915CA"/>
    <w:rsid w:val="003A10F4"/>
    <w:rsid w:val="003B367B"/>
    <w:rsid w:val="003C3F4A"/>
    <w:rsid w:val="004278B1"/>
    <w:rsid w:val="0047091F"/>
    <w:rsid w:val="00485E48"/>
    <w:rsid w:val="004F7511"/>
    <w:rsid w:val="0052230C"/>
    <w:rsid w:val="005235E3"/>
    <w:rsid w:val="00531676"/>
    <w:rsid w:val="00574F3C"/>
    <w:rsid w:val="005B005E"/>
    <w:rsid w:val="005F4E91"/>
    <w:rsid w:val="0064576A"/>
    <w:rsid w:val="00673D3E"/>
    <w:rsid w:val="00677E3C"/>
    <w:rsid w:val="006917E1"/>
    <w:rsid w:val="006923F4"/>
    <w:rsid w:val="006A6C5E"/>
    <w:rsid w:val="006A73EA"/>
    <w:rsid w:val="006C428B"/>
    <w:rsid w:val="006D3A66"/>
    <w:rsid w:val="006E022B"/>
    <w:rsid w:val="006E0F77"/>
    <w:rsid w:val="00703B68"/>
    <w:rsid w:val="00727FDC"/>
    <w:rsid w:val="007571D2"/>
    <w:rsid w:val="0076763D"/>
    <w:rsid w:val="00775C2F"/>
    <w:rsid w:val="00777C89"/>
    <w:rsid w:val="00836A07"/>
    <w:rsid w:val="00856602"/>
    <w:rsid w:val="008673F1"/>
    <w:rsid w:val="00943673"/>
    <w:rsid w:val="009474DE"/>
    <w:rsid w:val="00955970"/>
    <w:rsid w:val="009604C7"/>
    <w:rsid w:val="009C4391"/>
    <w:rsid w:val="00A20B2F"/>
    <w:rsid w:val="00A73521"/>
    <w:rsid w:val="00A8667B"/>
    <w:rsid w:val="00AA5698"/>
    <w:rsid w:val="00AC4712"/>
    <w:rsid w:val="00AC7A25"/>
    <w:rsid w:val="00AE28C8"/>
    <w:rsid w:val="00B15143"/>
    <w:rsid w:val="00B7736D"/>
    <w:rsid w:val="00B97593"/>
    <w:rsid w:val="00BE46FD"/>
    <w:rsid w:val="00C41484"/>
    <w:rsid w:val="00C42323"/>
    <w:rsid w:val="00CB7AD7"/>
    <w:rsid w:val="00CD2940"/>
    <w:rsid w:val="00CE168D"/>
    <w:rsid w:val="00D24570"/>
    <w:rsid w:val="00D61FE6"/>
    <w:rsid w:val="00D651BD"/>
    <w:rsid w:val="00E634B0"/>
    <w:rsid w:val="00E65043"/>
    <w:rsid w:val="00EA7CCC"/>
    <w:rsid w:val="00EA7DF4"/>
    <w:rsid w:val="00F33B64"/>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0A2BE1"/>
    <w:pPr>
      <w:tabs>
        <w:tab w:val="center" w:pos="4536"/>
        <w:tab w:val="right" w:pos="9072"/>
      </w:tabs>
    </w:pPr>
  </w:style>
  <w:style w:type="character" w:customStyle="1" w:styleId="KoptekstChar">
    <w:name w:val="Koptekst Char"/>
    <w:basedOn w:val="Standaardalinea-lettertype"/>
    <w:link w:val="Koptekst"/>
    <w:uiPriority w:val="99"/>
    <w:semiHidden/>
    <w:rsid w:val="000A2BE1"/>
    <w:rPr>
      <w:sz w:val="22"/>
      <w:szCs w:val="22"/>
      <w:lang w:val="en-US" w:eastAsia="en-US"/>
    </w:rPr>
  </w:style>
  <w:style w:type="paragraph" w:styleId="Lijstalinea">
    <w:name w:val="List Paragraph"/>
    <w:basedOn w:val="Standaard"/>
    <w:uiPriority w:val="34"/>
    <w:qFormat/>
    <w:rsid w:val="00AE28C8"/>
    <w:pPr>
      <w:ind w:left="720"/>
      <w:contextualSpacing/>
    </w:pPr>
  </w:style>
  <w:style w:type="paragraph" w:customStyle="1" w:styleId="Intro">
    <w:name w:val="Intro"/>
    <w:basedOn w:val="Standaard"/>
    <w:rsid w:val="00AE28C8"/>
    <w:pPr>
      <w:spacing w:after="0" w:line="240" w:lineRule="auto"/>
      <w:jc w:val="both"/>
    </w:pPr>
    <w:rPr>
      <w:rFonts w:ascii="Arial" w:eastAsia="Times New Roman" w:hAnsi="Arial"/>
      <w:b/>
      <w:bCs/>
      <w:snapToGrid w:val="0"/>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0A2BE1"/>
    <w:pPr>
      <w:tabs>
        <w:tab w:val="center" w:pos="4536"/>
        <w:tab w:val="right" w:pos="9072"/>
      </w:tabs>
    </w:pPr>
  </w:style>
  <w:style w:type="character" w:customStyle="1" w:styleId="KoptekstChar">
    <w:name w:val="Koptekst Char"/>
    <w:basedOn w:val="Standaardalinea-lettertype"/>
    <w:link w:val="Koptekst"/>
    <w:uiPriority w:val="99"/>
    <w:semiHidden/>
    <w:rsid w:val="000A2BE1"/>
    <w:rPr>
      <w:sz w:val="22"/>
      <w:szCs w:val="22"/>
      <w:lang w:val="en-US" w:eastAsia="en-US"/>
    </w:rPr>
  </w:style>
  <w:style w:type="paragraph" w:styleId="Lijstalinea">
    <w:name w:val="List Paragraph"/>
    <w:basedOn w:val="Standaard"/>
    <w:uiPriority w:val="34"/>
    <w:qFormat/>
    <w:rsid w:val="00AE28C8"/>
    <w:pPr>
      <w:ind w:left="720"/>
      <w:contextualSpacing/>
    </w:pPr>
  </w:style>
  <w:style w:type="paragraph" w:customStyle="1" w:styleId="Intro">
    <w:name w:val="Intro"/>
    <w:basedOn w:val="Standaard"/>
    <w:rsid w:val="00AE28C8"/>
    <w:pPr>
      <w:spacing w:after="0" w:line="240" w:lineRule="auto"/>
      <w:jc w:val="both"/>
    </w:pPr>
    <w:rPr>
      <w:rFonts w:ascii="Arial" w:eastAsia="Times New Roman" w:hAnsi="Arial"/>
      <w:b/>
      <w:bCs/>
      <w:snapToGrid w:val="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0590">
      <w:bodyDiv w:val="1"/>
      <w:marLeft w:val="0"/>
      <w:marRight w:val="0"/>
      <w:marTop w:val="0"/>
      <w:marBottom w:val="0"/>
      <w:divBdr>
        <w:top w:val="none" w:sz="0" w:space="0" w:color="auto"/>
        <w:left w:val="none" w:sz="0" w:space="0" w:color="auto"/>
        <w:bottom w:val="none" w:sz="0" w:space="0" w:color="auto"/>
        <w:right w:val="none" w:sz="0" w:space="0" w:color="auto"/>
      </w:divBdr>
      <w:divsChild>
        <w:div w:id="1616477407">
          <w:marLeft w:val="547"/>
          <w:marRight w:val="0"/>
          <w:marTop w:val="0"/>
          <w:marBottom w:val="0"/>
          <w:divBdr>
            <w:top w:val="none" w:sz="0" w:space="0" w:color="auto"/>
            <w:left w:val="none" w:sz="0" w:space="0" w:color="auto"/>
            <w:bottom w:val="none" w:sz="0" w:space="0" w:color="auto"/>
            <w:right w:val="none" w:sz="0" w:space="0" w:color="auto"/>
          </w:divBdr>
        </w:div>
      </w:divsChild>
    </w:div>
    <w:div w:id="1053120828">
      <w:bodyDiv w:val="1"/>
      <w:marLeft w:val="0"/>
      <w:marRight w:val="0"/>
      <w:marTop w:val="0"/>
      <w:marBottom w:val="0"/>
      <w:divBdr>
        <w:top w:val="none" w:sz="0" w:space="0" w:color="auto"/>
        <w:left w:val="none" w:sz="0" w:space="0" w:color="auto"/>
        <w:bottom w:val="none" w:sz="0" w:space="0" w:color="auto"/>
        <w:right w:val="none" w:sz="0" w:space="0" w:color="auto"/>
      </w:divBdr>
      <w:divsChild>
        <w:div w:id="435566050">
          <w:marLeft w:val="547"/>
          <w:marRight w:val="0"/>
          <w:marTop w:val="0"/>
          <w:marBottom w:val="0"/>
          <w:divBdr>
            <w:top w:val="none" w:sz="0" w:space="0" w:color="auto"/>
            <w:left w:val="none" w:sz="0" w:space="0" w:color="auto"/>
            <w:bottom w:val="none" w:sz="0" w:space="0" w:color="auto"/>
            <w:right w:val="none" w:sz="0" w:space="0" w:color="auto"/>
          </w:divBdr>
        </w:div>
      </w:divsChild>
    </w:div>
    <w:div w:id="1130244910">
      <w:bodyDiv w:val="1"/>
      <w:marLeft w:val="0"/>
      <w:marRight w:val="0"/>
      <w:marTop w:val="0"/>
      <w:marBottom w:val="0"/>
      <w:divBdr>
        <w:top w:val="none" w:sz="0" w:space="0" w:color="auto"/>
        <w:left w:val="none" w:sz="0" w:space="0" w:color="auto"/>
        <w:bottom w:val="none" w:sz="0" w:space="0" w:color="auto"/>
        <w:right w:val="none" w:sz="0" w:space="0" w:color="auto"/>
      </w:divBdr>
      <w:divsChild>
        <w:div w:id="1650013319">
          <w:marLeft w:val="547"/>
          <w:marRight w:val="0"/>
          <w:marTop w:val="0"/>
          <w:marBottom w:val="0"/>
          <w:divBdr>
            <w:top w:val="none" w:sz="0" w:space="0" w:color="auto"/>
            <w:left w:val="none" w:sz="0" w:space="0" w:color="auto"/>
            <w:bottom w:val="none" w:sz="0" w:space="0" w:color="auto"/>
            <w:right w:val="none" w:sz="0" w:space="0" w:color="auto"/>
          </w:divBdr>
        </w:div>
      </w:divsChild>
    </w:div>
    <w:div w:id="1253317068">
      <w:bodyDiv w:val="1"/>
      <w:marLeft w:val="0"/>
      <w:marRight w:val="0"/>
      <w:marTop w:val="0"/>
      <w:marBottom w:val="0"/>
      <w:divBdr>
        <w:top w:val="none" w:sz="0" w:space="0" w:color="auto"/>
        <w:left w:val="none" w:sz="0" w:space="0" w:color="auto"/>
        <w:bottom w:val="none" w:sz="0" w:space="0" w:color="auto"/>
        <w:right w:val="none" w:sz="0" w:space="0" w:color="auto"/>
      </w:divBdr>
      <w:divsChild>
        <w:div w:id="585962823">
          <w:marLeft w:val="547"/>
          <w:marRight w:val="0"/>
          <w:marTop w:val="0"/>
          <w:marBottom w:val="0"/>
          <w:divBdr>
            <w:top w:val="none" w:sz="0" w:space="0" w:color="auto"/>
            <w:left w:val="none" w:sz="0" w:space="0" w:color="auto"/>
            <w:bottom w:val="none" w:sz="0" w:space="0" w:color="auto"/>
            <w:right w:val="none" w:sz="0" w:space="0" w:color="auto"/>
          </w:divBdr>
        </w:div>
      </w:divsChild>
    </w:div>
    <w:div w:id="1327709027">
      <w:bodyDiv w:val="1"/>
      <w:marLeft w:val="0"/>
      <w:marRight w:val="0"/>
      <w:marTop w:val="0"/>
      <w:marBottom w:val="0"/>
      <w:divBdr>
        <w:top w:val="none" w:sz="0" w:space="0" w:color="auto"/>
        <w:left w:val="none" w:sz="0" w:space="0" w:color="auto"/>
        <w:bottom w:val="none" w:sz="0" w:space="0" w:color="auto"/>
        <w:right w:val="none" w:sz="0" w:space="0" w:color="auto"/>
      </w:divBdr>
      <w:divsChild>
        <w:div w:id="2115859556">
          <w:marLeft w:val="547"/>
          <w:marRight w:val="0"/>
          <w:marTop w:val="0"/>
          <w:marBottom w:val="0"/>
          <w:divBdr>
            <w:top w:val="none" w:sz="0" w:space="0" w:color="auto"/>
            <w:left w:val="none" w:sz="0" w:space="0" w:color="auto"/>
            <w:bottom w:val="none" w:sz="0" w:space="0" w:color="auto"/>
            <w:right w:val="none" w:sz="0" w:space="0" w:color="auto"/>
          </w:divBdr>
        </w:div>
      </w:divsChild>
    </w:div>
    <w:div w:id="1934973810">
      <w:bodyDiv w:val="1"/>
      <w:marLeft w:val="0"/>
      <w:marRight w:val="0"/>
      <w:marTop w:val="0"/>
      <w:marBottom w:val="0"/>
      <w:divBdr>
        <w:top w:val="none" w:sz="0" w:space="0" w:color="auto"/>
        <w:left w:val="none" w:sz="0" w:space="0" w:color="auto"/>
        <w:bottom w:val="none" w:sz="0" w:space="0" w:color="auto"/>
        <w:right w:val="none" w:sz="0" w:space="0" w:color="auto"/>
      </w:divBdr>
      <w:divsChild>
        <w:div w:id="1995791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officekbc@kbc.b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ressofficekbc@kb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witter.com/kbc_group"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mailto:pressofficekbc@kbc.be" TargetMode="External"/><Relationship Id="rId10" Type="http://schemas.openxmlformats.org/officeDocument/2006/relationships/image" Target="media/image2.jpeg"/><Relationship Id="rId19" Type="http://schemas.openxmlformats.org/officeDocument/2006/relationships/hyperlink" Target="mailto:wim.allegaert@kbc.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www.kb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65FA-CF29-44AF-87D8-0CD327B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7755</Words>
  <Characters>42653</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50308</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24</cp:revision>
  <cp:lastPrinted>2014-02-12T12:17:00Z</cp:lastPrinted>
  <dcterms:created xsi:type="dcterms:W3CDTF">2014-02-12T08:41:00Z</dcterms:created>
  <dcterms:modified xsi:type="dcterms:W3CDTF">2014-02-14T13:31:00Z</dcterms:modified>
</cp:coreProperties>
</file>