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333333"/>
          <w:sz w:val="30"/>
          <w:szCs w:val="30"/>
        </w:rPr>
      </w:pPr>
      <w:r w:rsidDel="00000000" w:rsidR="00000000" w:rsidRPr="00000000">
        <w:rPr>
          <w:rFonts w:ascii="Arial" w:cs="Arial" w:eastAsia="Arial" w:hAnsi="Arial"/>
          <w:b w:val="1"/>
          <w:color w:val="333333"/>
          <w:sz w:val="30"/>
          <w:szCs w:val="30"/>
          <w:rtl w:val="0"/>
        </w:rPr>
        <w:t xml:space="preserve">Grupo Volkswagen</w:t>
      </w:r>
      <w:r w:rsidDel="00000000" w:rsidR="00000000" w:rsidRPr="00000000">
        <w:rPr>
          <w:rFonts w:ascii="Arial" w:cs="Arial" w:eastAsia="Arial" w:hAnsi="Arial"/>
          <w:b w:val="1"/>
          <w:color w:val="333333"/>
          <w:sz w:val="30"/>
          <w:szCs w:val="30"/>
          <w:rtl w:val="0"/>
        </w:rPr>
        <w:t xml:space="preserve"> registró durante octubre un incremento en ventas del 123.0% </w:t>
      </w:r>
    </w:p>
    <w:p w:rsidR="00000000" w:rsidDel="00000000" w:rsidP="00000000" w:rsidRDefault="00000000" w:rsidRPr="00000000" w14:paraId="00000003">
      <w:pPr>
        <w:shd w:fill="ffffff" w:val="clear"/>
        <w:jc w:val="center"/>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04">
      <w:pPr>
        <w:shd w:fill="ffffff" w:val="clear"/>
        <w:jc w:val="center"/>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05">
      <w:pPr>
        <w:numPr>
          <w:ilvl w:val="0"/>
          <w:numId w:val="1"/>
        </w:numPr>
        <w:shd w:fill="ffffff" w:val="clear"/>
        <w:ind w:left="720" w:hanging="360"/>
        <w:rPr>
          <w:rFonts w:ascii="Arial" w:cs="Arial" w:eastAsia="Arial" w:hAnsi="Arial"/>
          <w:i w:val="1"/>
          <w:color w:val="333333"/>
          <w:sz w:val="21"/>
          <w:szCs w:val="21"/>
        </w:rPr>
      </w:pPr>
      <w:r w:rsidDel="00000000" w:rsidR="00000000" w:rsidRPr="00000000">
        <w:rPr>
          <w:rFonts w:ascii="Arial" w:cs="Arial" w:eastAsia="Arial" w:hAnsi="Arial"/>
          <w:i w:val="1"/>
          <w:color w:val="333333"/>
          <w:sz w:val="21"/>
          <w:szCs w:val="21"/>
          <w:rtl w:val="0"/>
        </w:rPr>
        <w:t xml:space="preserve">Durante el periodo enero-octubre de 2023, el Grupo automotriz alemán registró un incremento del 23.8% respecto al mismo mes del año anterior.</w:t>
      </w:r>
    </w:p>
    <w:p w:rsidR="00000000" w:rsidDel="00000000" w:rsidP="00000000" w:rsidRDefault="00000000" w:rsidRPr="00000000" w14:paraId="00000006">
      <w:pPr>
        <w:shd w:fill="ffffff" w:val="clear"/>
        <w:ind w:left="0" w:firstLine="0"/>
        <w:jc w:val="left"/>
        <w:rPr>
          <w:rFonts w:ascii="Arial" w:cs="Arial" w:eastAsia="Arial" w:hAnsi="Arial"/>
          <w:b w:val="1"/>
          <w:i w:val="1"/>
          <w:color w:val="333333"/>
          <w:sz w:val="21"/>
          <w:szCs w:val="21"/>
        </w:rPr>
      </w:pPr>
      <w:r w:rsidDel="00000000" w:rsidR="00000000" w:rsidRPr="00000000">
        <w:rPr>
          <w:rFonts w:ascii="Arial" w:cs="Arial" w:eastAsia="Arial" w:hAnsi="Arial"/>
          <w:b w:val="1"/>
          <w:i w:val="1"/>
          <w:color w:val="333333"/>
          <w:sz w:val="21"/>
          <w:szCs w:val="21"/>
          <w:rtl w:val="0"/>
        </w:rPr>
        <w:t xml:space="preserve"> </w:t>
      </w:r>
    </w:p>
    <w:p w:rsidR="00000000" w:rsidDel="00000000" w:rsidP="00000000" w:rsidRDefault="00000000" w:rsidRPr="00000000" w14:paraId="00000007">
      <w:pPr>
        <w:numPr>
          <w:ilvl w:val="0"/>
          <w:numId w:val="1"/>
        </w:numPr>
        <w:shd w:fill="ffffff" w:val="clear"/>
        <w:ind w:left="720" w:hanging="360"/>
        <w:rPr>
          <w:rFonts w:ascii="Arial" w:cs="Arial" w:eastAsia="Arial" w:hAnsi="Arial"/>
          <w:i w:val="1"/>
          <w:color w:val="333333"/>
          <w:sz w:val="21"/>
          <w:szCs w:val="21"/>
        </w:rPr>
      </w:pPr>
      <w:r w:rsidDel="00000000" w:rsidR="00000000" w:rsidRPr="00000000">
        <w:rPr>
          <w:rFonts w:ascii="Arial" w:cs="Arial" w:eastAsia="Arial" w:hAnsi="Arial"/>
          <w:i w:val="1"/>
          <w:color w:val="333333"/>
          <w:sz w:val="21"/>
          <w:szCs w:val="21"/>
          <w:rtl w:val="0"/>
        </w:rPr>
        <w:t xml:space="preserve">La Planta de Puebla reportó un aumento del 86.5%, con respecto a octubre de 2022.</w:t>
      </w:r>
      <w:r w:rsidDel="00000000" w:rsidR="00000000" w:rsidRPr="00000000">
        <w:rPr>
          <w:rtl w:val="0"/>
        </w:rPr>
      </w:r>
    </w:p>
    <w:p w:rsidR="00000000" w:rsidDel="00000000" w:rsidP="00000000" w:rsidRDefault="00000000" w:rsidRPr="00000000" w14:paraId="00000008">
      <w:pPr>
        <w:shd w:fill="ffffff" w:val="clear"/>
        <w:ind w:left="720" w:firstLine="0"/>
        <w:jc w:val="left"/>
        <w:rPr>
          <w:rFonts w:ascii="Arial" w:cs="Arial" w:eastAsia="Arial" w:hAnsi="Arial"/>
          <w:b w:val="1"/>
          <w:i w:val="1"/>
          <w:color w:val="333333"/>
          <w:sz w:val="21"/>
          <w:szCs w:val="21"/>
        </w:rPr>
      </w:pPr>
      <w:r w:rsidDel="00000000" w:rsidR="00000000" w:rsidRPr="00000000">
        <w:rPr>
          <w:rtl w:val="0"/>
        </w:rPr>
      </w:r>
    </w:p>
    <w:p w:rsidR="00000000" w:rsidDel="00000000" w:rsidP="00000000" w:rsidRDefault="00000000" w:rsidRPr="00000000" w14:paraId="00000009">
      <w:pPr>
        <w:shd w:fill="ffffff" w:val="clear"/>
        <w:jc w:val="both"/>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Puebla, Pue. 08 de noviembre de 2023. –</w:t>
      </w:r>
      <w:r w:rsidDel="00000000" w:rsidR="00000000" w:rsidRPr="00000000">
        <w:rPr>
          <w:rFonts w:ascii="Arial" w:cs="Arial" w:eastAsia="Arial" w:hAnsi="Arial"/>
          <w:color w:val="333333"/>
          <w:sz w:val="21"/>
          <w:szCs w:val="21"/>
          <w:rtl w:val="0"/>
        </w:rPr>
        <w:t xml:space="preserve"> El Instituto Nacional de Estadística y Geografía (INEGI) presentó un </w:t>
      </w:r>
      <w:hyperlink r:id="rId7">
        <w:r w:rsidDel="00000000" w:rsidR="00000000" w:rsidRPr="00000000">
          <w:rPr>
            <w:rFonts w:ascii="Arial" w:cs="Arial" w:eastAsia="Arial" w:hAnsi="Arial"/>
            <w:color w:val="0b5394"/>
            <w:sz w:val="21"/>
            <w:szCs w:val="21"/>
            <w:u w:val="single"/>
            <w:rtl w:val="0"/>
          </w:rPr>
          <w:t xml:space="preserve">reporte</w:t>
        </w:r>
      </w:hyperlink>
      <w:r w:rsidDel="00000000" w:rsidR="00000000" w:rsidRPr="00000000">
        <w:rPr>
          <w:rFonts w:ascii="Arial" w:cs="Arial" w:eastAsia="Arial" w:hAnsi="Arial"/>
          <w:color w:val="333333"/>
          <w:sz w:val="21"/>
          <w:szCs w:val="21"/>
          <w:rtl w:val="0"/>
        </w:rPr>
        <w:t xml:space="preserve"> </w:t>
      </w:r>
      <w:r w:rsidDel="00000000" w:rsidR="00000000" w:rsidRPr="00000000">
        <w:rPr>
          <w:rFonts w:ascii="Arial" w:cs="Arial" w:eastAsia="Arial" w:hAnsi="Arial"/>
          <w:color w:val="333333"/>
          <w:sz w:val="21"/>
          <w:szCs w:val="21"/>
          <w:rtl w:val="0"/>
        </w:rPr>
        <w:t xml:space="preserve">favorable en cuanto a las ventas al público de vehículos ligeros en el mercado interno. En octubre del presente año la comercialización fue de 113.672 unidades, 22.8% mayor al registrado  en el mismo mes de 2022. De acuerdo con las cifras publicadas por el INEGI, en el periodo enero-octubre de 2023 se comercializaron 1.089.513 vehículos, representando un incremento de 24.71% respecto a lo reportado durante el mismo periodo del año pasado con 873.657 unidades entregadas. </w:t>
      </w:r>
    </w:p>
    <w:p w:rsidR="00000000" w:rsidDel="00000000" w:rsidP="00000000" w:rsidRDefault="00000000" w:rsidRPr="00000000" w14:paraId="0000000A">
      <w:pPr>
        <w:shd w:fill="ffffff" w:val="clea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0B">
      <w:pPr>
        <w:shd w:fill="ffffff" w:val="clear"/>
        <w:jc w:val="both"/>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Por su parte, Grupo Volkswagen en México ha mostrado un desempeño sobresaliente en dicho periodo.  Bajo el liderazgo del CEO y Presidente de Volkswagen de México, Holger Nestler, el corporativo alemán y sus siete marcas: Volkswagen, Volkswagen Vehículos Comerciales, SEAT, CUPRA, Audi, Porsche y Bentley, registraron un crecimiento del 123.0% en ventas con la comercialización de 10,655 vehículos cero kilómetros durante el mes de octubre de 2023, en comparación con las 4,778 unidades entregadas a sus clientes en el mismo mes de 2022.</w:t>
      </w:r>
    </w:p>
    <w:p w:rsidR="00000000" w:rsidDel="00000000" w:rsidP="00000000" w:rsidRDefault="00000000" w:rsidRPr="00000000" w14:paraId="0000000C">
      <w:pPr>
        <w:shd w:fill="ffffff" w:val="clea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0D">
      <w:pPr>
        <w:shd w:fill="ffffff" w:val="clear"/>
        <w:jc w:val="both"/>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Durante el periodo enero-octubre de 2023, Grupo Volkswagen</w:t>
      </w:r>
      <w:r w:rsidDel="00000000" w:rsidR="00000000" w:rsidRPr="00000000">
        <w:rPr>
          <w:rFonts w:ascii="Arial" w:cs="Arial" w:eastAsia="Arial" w:hAnsi="Arial"/>
          <w:color w:val="333333"/>
          <w:sz w:val="21"/>
          <w:szCs w:val="21"/>
          <w:rtl w:val="0"/>
        </w:rPr>
        <w:t xml:space="preserve"> vendió un total de 90.745 vehículos ligeros nuevos en el país, representando un incremento del 23.8% respecto al mismo mes del año anterior, superando las ventas del mismo periodo en 2022, que alcanzaron las 73.291 unidades. Este crecimiento, no solo demuestra el impacto positivo que Grupo Volkswagen ha tenido en el mercado, sino también subraya su importancia en el sector automotriz mexicano desde la llegada de los primeros modelos </w:t>
      </w:r>
      <w:r w:rsidDel="00000000" w:rsidR="00000000" w:rsidRPr="00000000">
        <w:rPr>
          <w:rFonts w:ascii="Arial" w:cs="Arial" w:eastAsia="Arial" w:hAnsi="Arial"/>
          <w:color w:val="333333"/>
          <w:sz w:val="21"/>
          <w:szCs w:val="21"/>
          <w:rtl w:val="0"/>
        </w:rPr>
        <w:t xml:space="preserve">Volkswagen</w:t>
      </w:r>
      <w:r w:rsidDel="00000000" w:rsidR="00000000" w:rsidRPr="00000000">
        <w:rPr>
          <w:rFonts w:ascii="Arial" w:cs="Arial" w:eastAsia="Arial" w:hAnsi="Arial"/>
          <w:color w:val="333333"/>
          <w:sz w:val="21"/>
          <w:szCs w:val="21"/>
          <w:rtl w:val="0"/>
        </w:rPr>
        <w:t xml:space="preserve"> al país, en 1954.</w:t>
      </w:r>
    </w:p>
    <w:p w:rsidR="00000000" w:rsidDel="00000000" w:rsidP="00000000" w:rsidRDefault="00000000" w:rsidRPr="00000000" w14:paraId="0000000E">
      <w:pPr>
        <w:shd w:fill="ffffff" w:val="clea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0F">
      <w:pPr>
        <w:shd w:fill="ffffff" w:val="clear"/>
        <w:jc w:val="both"/>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En cuanto a la producción  y exportación de vehículos, según cifras del INEGI, la armadora alemana, con planta de vehículos en el estado de Puebla, </w:t>
      </w:r>
      <w:r w:rsidDel="00000000" w:rsidR="00000000" w:rsidRPr="00000000">
        <w:rPr>
          <w:rFonts w:ascii="Arial" w:cs="Arial" w:eastAsia="Arial" w:hAnsi="Arial"/>
          <w:color w:val="333333"/>
          <w:sz w:val="21"/>
          <w:szCs w:val="21"/>
          <w:rtl w:val="0"/>
        </w:rPr>
        <w:t xml:space="preserve">manufacturó</w:t>
      </w:r>
      <w:r w:rsidDel="00000000" w:rsidR="00000000" w:rsidRPr="00000000">
        <w:rPr>
          <w:rFonts w:ascii="Arial" w:cs="Arial" w:eastAsia="Arial" w:hAnsi="Arial"/>
          <w:color w:val="333333"/>
          <w:sz w:val="21"/>
          <w:szCs w:val="21"/>
          <w:rtl w:val="0"/>
        </w:rPr>
        <w:t xml:space="preserve"> en el mes de octubre 45.450 unidades, un 86.5% más que en el mismo mes del año anterior; mientras que en el acumulado de enero a octubre produjo 299.439 unidades, cifra que representó un repunte de 18.4%. En materia de exportación en octubre, Grupo Volkswagen logró colocar en el mercado internacional 34.079 unidades, lo que representa un incremento del 43.0% y un acumulando 250.312 vehículos exportados de enero a octubre de 2023. </w:t>
      </w:r>
    </w:p>
    <w:p w:rsidR="00000000" w:rsidDel="00000000" w:rsidP="00000000" w:rsidRDefault="00000000" w:rsidRPr="00000000" w14:paraId="00000010">
      <w:pPr>
        <w:shd w:fill="ffffff" w:val="clea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1">
      <w:pPr>
        <w:shd w:fill="ffffff" w:val="clear"/>
        <w:spacing w:line="240" w:lineRule="auto"/>
        <w:ind w:left="0" w:firstLine="0"/>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3">
      <w:pPr>
        <w:spacing w:line="240" w:lineRule="auto"/>
        <w:jc w:val="center"/>
        <w:rPr>
          <w:rFonts w:ascii="Arial" w:cs="Arial" w:eastAsia="Arial" w:hAnsi="Arial"/>
          <w:b w:val="1"/>
          <w:color w:val="333333"/>
          <w:sz w:val="16"/>
          <w:szCs w:val="16"/>
        </w:rPr>
      </w:pPr>
      <w:r w:rsidDel="00000000" w:rsidR="00000000" w:rsidRPr="00000000">
        <w:rPr>
          <w:rFonts w:ascii="Arial" w:cs="Arial" w:eastAsia="Arial" w:hAnsi="Arial"/>
          <w:color w:val="222222"/>
          <w:highlight w:val="white"/>
          <w:rtl w:val="0"/>
        </w:rPr>
        <w:t xml:space="preserve">-o0o-</w:t>
      </w:r>
      <w:r w:rsidDel="00000000" w:rsidR="00000000" w:rsidRPr="00000000">
        <w:rPr>
          <w:rtl w:val="0"/>
        </w:rPr>
      </w:r>
    </w:p>
    <w:p w:rsidR="00000000" w:rsidDel="00000000" w:rsidP="00000000" w:rsidRDefault="00000000" w:rsidRPr="00000000" w14:paraId="00000014">
      <w:pPr>
        <w:shd w:fill="ffffff" w:val="clear"/>
        <w:spacing w:after="280" w:before="280" w:lineRule="auto"/>
        <w:jc w:val="both"/>
        <w:rPr>
          <w:rFonts w:ascii="Arial" w:cs="Arial" w:eastAsia="Arial" w:hAnsi="Arial"/>
          <w:b w:val="1"/>
          <w:color w:val="333333"/>
          <w:sz w:val="16"/>
          <w:szCs w:val="16"/>
        </w:rPr>
      </w:pPr>
      <w:r w:rsidDel="00000000" w:rsidR="00000000" w:rsidRPr="00000000">
        <w:rPr>
          <w:rtl w:val="0"/>
        </w:rPr>
      </w:r>
    </w:p>
    <w:p w:rsidR="00000000" w:rsidDel="00000000" w:rsidP="00000000" w:rsidRDefault="00000000" w:rsidRPr="00000000" w14:paraId="00000015">
      <w:pPr>
        <w:shd w:fill="ffffff" w:val="clear"/>
        <w:spacing w:after="280" w:before="280" w:lineRule="auto"/>
        <w:jc w:val="both"/>
        <w:rPr>
          <w:rFonts w:ascii="Arial" w:cs="Arial" w:eastAsia="Arial" w:hAnsi="Arial"/>
          <w:b w:val="1"/>
          <w:sz w:val="16"/>
          <w:szCs w:val="16"/>
        </w:rPr>
      </w:pPr>
      <w:r w:rsidDel="00000000" w:rsidR="00000000" w:rsidRPr="00000000">
        <w:rPr>
          <w:rFonts w:ascii="Arial" w:cs="Arial" w:eastAsia="Arial" w:hAnsi="Arial"/>
          <w:b w:val="1"/>
          <w:color w:val="333333"/>
          <w:sz w:val="16"/>
          <w:szCs w:val="16"/>
          <w:rtl w:val="0"/>
        </w:rPr>
        <w:t xml:space="preserve">Sobre Volkswagen de México</w:t>
      </w:r>
      <w:r w:rsidDel="00000000" w:rsidR="00000000" w:rsidRPr="00000000">
        <w:rPr>
          <w:rtl w:val="0"/>
        </w:rPr>
      </w:r>
    </w:p>
    <w:p w:rsidR="00000000" w:rsidDel="00000000" w:rsidP="00000000" w:rsidRDefault="00000000" w:rsidRPr="00000000" w14:paraId="00000016">
      <w:pPr>
        <w:shd w:fill="ffffff" w:val="clear"/>
        <w:spacing w:after="280" w:before="280" w:lineRule="auto"/>
        <w:jc w:val="both"/>
        <w:rPr>
          <w:rFonts w:ascii="Arial" w:cs="Arial" w:eastAsia="Arial" w:hAnsi="Arial"/>
          <w:color w:val="242424"/>
          <w:sz w:val="16"/>
          <w:szCs w:val="16"/>
        </w:rPr>
      </w:pPr>
      <w:r w:rsidDel="00000000" w:rsidR="00000000" w:rsidRPr="00000000">
        <w:rPr>
          <w:rFonts w:ascii="Arial" w:cs="Arial" w:eastAsia="Arial" w:hAnsi="Arial"/>
          <w:color w:val="333333"/>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r w:rsidDel="00000000" w:rsidR="00000000" w:rsidRPr="00000000">
        <w:rPr>
          <w:rtl w:val="0"/>
        </w:rPr>
      </w:r>
    </w:p>
    <w:p w:rsidR="00000000" w:rsidDel="00000000" w:rsidP="00000000" w:rsidRDefault="00000000" w:rsidRPr="00000000" w14:paraId="00000017">
      <w:pPr>
        <w:shd w:fill="ffffff" w:val="clear"/>
        <w:spacing w:after="280" w:before="280" w:lineRule="auto"/>
        <w:jc w:val="both"/>
        <w:rPr>
          <w:rFonts w:ascii="Arial" w:cs="Arial" w:eastAsia="Arial" w:hAnsi="Arial"/>
          <w:color w:val="242424"/>
          <w:sz w:val="16"/>
          <w:szCs w:val="16"/>
        </w:rPr>
      </w:pPr>
      <w:r w:rsidDel="00000000" w:rsidR="00000000" w:rsidRPr="00000000">
        <w:rPr>
          <w:rFonts w:ascii="Arial" w:cs="Arial" w:eastAsia="Arial" w:hAnsi="Arial"/>
          <w:color w:val="333333"/>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r w:rsidDel="00000000" w:rsidR="00000000" w:rsidRPr="00000000">
        <w:rPr>
          <w:rtl w:val="0"/>
        </w:rPr>
      </w:r>
    </w:p>
    <w:p w:rsidR="00000000" w:rsidDel="00000000" w:rsidP="00000000" w:rsidRDefault="00000000" w:rsidRPr="00000000" w14:paraId="00000018">
      <w:pPr>
        <w:shd w:fill="ffffff" w:val="clear"/>
        <w:spacing w:after="280" w:before="28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color w:val="333333"/>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1E">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da.mx/venta-de-automotores-nuevos-variaron-21-2-y-24-5-en-octubre-y-su-acumulado-2023-respectivament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ARcapatR8ntm9OK0OHQ+31C4Dw==">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