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DECB" w14:textId="2585D0F2" w:rsidR="00DA7B38" w:rsidRPr="00E81DCF" w:rsidRDefault="005E6781" w:rsidP="67769F92">
      <w:pPr>
        <w:rPr>
          <w:rFonts w:ascii="Noto Sans JP" w:eastAsia="Noto Sans JP" w:hAnsi="Noto Sans JP"/>
          <w:b/>
          <w:bCs/>
          <w:color w:val="FF0000"/>
          <w:sz w:val="24"/>
          <w:szCs w:val="24"/>
          <w:lang w:val="en-US" w:eastAsia="ja-JP"/>
        </w:rPr>
      </w:pPr>
      <w:r w:rsidRPr="00E81DCF">
        <w:rPr>
          <w:rFonts w:ascii="Noto Sans JP" w:eastAsia="Noto Sans JP" w:hAnsi="Noto Sans JP"/>
          <w:b/>
          <w:bCs/>
          <w:sz w:val="24"/>
          <w:szCs w:val="24"/>
          <w:lang w:val="en-US" w:eastAsia="ja-JP"/>
        </w:rPr>
        <w:t>Neumann</w:t>
      </w:r>
      <w:r w:rsidR="00340C39">
        <w:rPr>
          <w:rFonts w:ascii="Noto Sans JP" w:eastAsia="Noto Sans JP" w:hAnsi="Noto Sans JP" w:hint="eastAsia"/>
          <w:b/>
          <w:bCs/>
          <w:sz w:val="24"/>
          <w:szCs w:val="24"/>
          <w:lang w:val="en-US" w:eastAsia="ja-JP"/>
        </w:rPr>
        <w:t xml:space="preserve"> </w:t>
      </w:r>
      <w:r w:rsidR="00340C39">
        <w:rPr>
          <w:rFonts w:ascii="Noto Sans JP" w:eastAsia="Noto Sans JP" w:hAnsi="Noto Sans JP"/>
          <w:b/>
          <w:bCs/>
          <w:sz w:val="24"/>
          <w:szCs w:val="24"/>
          <w:lang w:val="en-US" w:eastAsia="ja-JP"/>
        </w:rPr>
        <w:t xml:space="preserve">- </w:t>
      </w:r>
      <w:r w:rsidRPr="00E81DCF">
        <w:rPr>
          <w:rFonts w:ascii="Noto Sans JP" w:eastAsia="Noto Sans JP" w:hAnsi="Noto Sans JP"/>
          <w:b/>
          <w:bCs/>
          <w:sz w:val="24"/>
          <w:szCs w:val="24"/>
          <w:lang w:val="en-US" w:eastAsia="ja-JP"/>
        </w:rPr>
        <w:t>Merging Technologies</w:t>
      </w:r>
      <w:r w:rsidR="007C40BA" w:rsidRPr="00E81DCF">
        <w:rPr>
          <w:rFonts w:ascii="Noto Sans JP" w:eastAsia="Noto Sans JP" w:hAnsi="Noto Sans JP"/>
          <w:b/>
          <w:bCs/>
          <w:sz w:val="24"/>
          <w:szCs w:val="24"/>
          <w:lang w:val="en-US" w:eastAsia="ja-JP"/>
        </w:rPr>
        <w:t>と</w:t>
      </w:r>
      <w:r w:rsidR="00340C39">
        <w:rPr>
          <w:rFonts w:ascii="Noto Sans JP" w:eastAsia="Noto Sans JP" w:hAnsi="Noto Sans JP" w:hint="eastAsia"/>
          <w:b/>
          <w:bCs/>
          <w:sz w:val="24"/>
          <w:szCs w:val="24"/>
          <w:lang w:val="en-US" w:eastAsia="ja-JP"/>
        </w:rPr>
        <w:t>の</w:t>
      </w:r>
      <w:r w:rsidR="007C40BA" w:rsidRPr="00E81DCF">
        <w:rPr>
          <w:rFonts w:ascii="Noto Sans JP" w:eastAsia="Noto Sans JP" w:hAnsi="Noto Sans JP"/>
          <w:b/>
          <w:bCs/>
          <w:sz w:val="24"/>
          <w:szCs w:val="24"/>
          <w:lang w:val="en-US" w:eastAsia="ja-JP"/>
        </w:rPr>
        <w:t>提携</w:t>
      </w:r>
      <w:r w:rsidR="00340C39">
        <w:rPr>
          <w:rFonts w:ascii="Noto Sans JP" w:eastAsia="Noto Sans JP" w:hAnsi="Noto Sans JP" w:hint="eastAsia"/>
          <w:b/>
          <w:bCs/>
          <w:sz w:val="24"/>
          <w:szCs w:val="24"/>
          <w:lang w:val="en-US" w:eastAsia="ja-JP"/>
        </w:rPr>
        <w:t>を発表</w:t>
      </w:r>
    </w:p>
    <w:p w14:paraId="6183F5A0" w14:textId="77777777" w:rsidR="00DA7B38" w:rsidRPr="00E81DCF" w:rsidRDefault="00DA7B38" w:rsidP="0013525D">
      <w:pPr>
        <w:rPr>
          <w:rFonts w:ascii="Noto Sans JP" w:eastAsia="Noto Sans JP" w:hAnsi="Noto Sans JP" w:cs="Arial"/>
          <w:b/>
          <w:bCs/>
          <w:color w:val="000000"/>
          <w:sz w:val="24"/>
          <w:szCs w:val="24"/>
          <w:lang w:val="en-US" w:eastAsia="ja-JP"/>
        </w:rPr>
      </w:pPr>
    </w:p>
    <w:p w14:paraId="1E72D9D6" w14:textId="1D597383" w:rsidR="00DA7B38" w:rsidRPr="00E81DCF" w:rsidRDefault="007C40BA" w:rsidP="0013525D">
      <w:pPr>
        <w:rPr>
          <w:rFonts w:ascii="Noto Sans JP" w:eastAsia="Noto Sans JP" w:hAnsi="Noto Sans JP" w:cstheme="majorBidi"/>
          <w:b/>
          <w:bCs/>
          <w:color w:val="000000" w:themeColor="text1"/>
          <w:lang w:val="en-US" w:eastAsia="ja-JP"/>
        </w:rPr>
      </w:pPr>
      <w:r w:rsidRPr="00E81DCF">
        <w:rPr>
          <w:rFonts w:ascii="Noto Sans JP" w:eastAsia="Noto Sans JP" w:hAnsi="Noto Sans JP" w:cstheme="majorBidi"/>
          <w:b/>
          <w:bCs/>
          <w:color w:val="000000" w:themeColor="text1"/>
          <w:lang w:val="en-US" w:eastAsia="ja-JP"/>
        </w:rPr>
        <w:t>2022年7月5日、ベルリン－ドイツのスタジオスペシャリスト、</w:t>
      </w:r>
      <w:proofErr w:type="spellStart"/>
      <w:r w:rsidRPr="00E81DCF">
        <w:rPr>
          <w:rFonts w:ascii="Noto Sans JP" w:eastAsia="Noto Sans JP" w:hAnsi="Noto Sans JP" w:cstheme="majorBidi"/>
          <w:b/>
          <w:bCs/>
          <w:color w:val="000000" w:themeColor="text1"/>
          <w:lang w:val="en-US" w:eastAsia="ja-JP"/>
        </w:rPr>
        <w:t>Neumann.Berlin</w:t>
      </w:r>
      <w:proofErr w:type="spellEnd"/>
      <w:r w:rsidRPr="00E81DCF">
        <w:rPr>
          <w:rFonts w:ascii="Noto Sans JP" w:eastAsia="Noto Sans JP" w:hAnsi="Noto Sans JP" w:cstheme="majorBidi"/>
          <w:b/>
          <w:bCs/>
          <w:color w:val="000000" w:themeColor="text1"/>
          <w:lang w:val="en-US" w:eastAsia="ja-JP"/>
        </w:rPr>
        <w:t>と、ハイレゾ・デジタルオーディオ・レコーディングシステムの世界有数のメーカーとして知られるスイスの</w:t>
      </w:r>
      <w:r w:rsidR="005E6781" w:rsidRPr="00E81DCF">
        <w:rPr>
          <w:rFonts w:ascii="Noto Sans JP" w:eastAsia="Noto Sans JP" w:hAnsi="Noto Sans JP" w:cstheme="majorBidi"/>
          <w:b/>
          <w:bCs/>
          <w:color w:val="000000" w:themeColor="text1"/>
          <w:lang w:val="en-US" w:eastAsia="ja-JP"/>
        </w:rPr>
        <w:t>Merging Technologies</w:t>
      </w:r>
      <w:r w:rsidRPr="00E81DCF">
        <w:rPr>
          <w:rFonts w:ascii="Noto Sans JP" w:eastAsia="Noto Sans JP" w:hAnsi="Noto Sans JP" w:cstheme="majorBidi"/>
          <w:b/>
          <w:bCs/>
          <w:color w:val="000000" w:themeColor="text1"/>
          <w:lang w:val="en-US" w:eastAsia="ja-JP"/>
        </w:rPr>
        <w:t>は今後、</w:t>
      </w:r>
      <w:r w:rsidR="005E6781" w:rsidRPr="00E81DCF">
        <w:rPr>
          <w:rFonts w:ascii="Noto Sans JP" w:eastAsia="Noto Sans JP" w:hAnsi="Noto Sans JP" w:cstheme="majorBidi"/>
          <w:b/>
          <w:bCs/>
          <w:color w:val="000000" w:themeColor="text1"/>
          <w:lang w:val="en-US" w:eastAsia="ja-JP"/>
        </w:rPr>
        <w:t>Sennheiser</w:t>
      </w:r>
      <w:r w:rsidRPr="00E81DCF">
        <w:rPr>
          <w:rFonts w:ascii="Noto Sans JP" w:eastAsia="Noto Sans JP" w:hAnsi="Noto Sans JP" w:cstheme="majorBidi"/>
          <w:b/>
          <w:bCs/>
          <w:color w:val="000000" w:themeColor="text1"/>
          <w:lang w:val="en-US" w:eastAsia="ja-JP"/>
        </w:rPr>
        <w:t>グループ傘下の企業として提携して事業展開致します。</w:t>
      </w:r>
      <w:r w:rsidR="005E6781" w:rsidRPr="00E81DCF">
        <w:rPr>
          <w:rFonts w:ascii="Noto Sans JP" w:eastAsia="Noto Sans JP" w:hAnsi="Noto Sans JP" w:cstheme="majorBidi"/>
          <w:b/>
          <w:bCs/>
          <w:color w:val="000000" w:themeColor="text1"/>
          <w:lang w:val="en-US" w:eastAsia="ja-JP"/>
        </w:rPr>
        <w:t>Sennheiser</w:t>
      </w:r>
      <w:r w:rsidRPr="00E81DCF">
        <w:rPr>
          <w:rFonts w:ascii="Noto Sans JP" w:eastAsia="Noto Sans JP" w:hAnsi="Noto Sans JP" w:cstheme="majorBidi"/>
          <w:b/>
          <w:bCs/>
          <w:color w:val="000000" w:themeColor="text1"/>
          <w:lang w:val="en-US" w:eastAsia="ja-JP"/>
        </w:rPr>
        <w:t>はこのたび、</w:t>
      </w:r>
      <w:r w:rsidR="005E6781" w:rsidRPr="00E81DCF">
        <w:rPr>
          <w:rFonts w:ascii="Noto Sans JP" w:eastAsia="Noto Sans JP" w:hAnsi="Noto Sans JP" w:cstheme="majorBidi"/>
          <w:b/>
          <w:bCs/>
          <w:color w:val="000000" w:themeColor="text1"/>
          <w:lang w:val="en-US" w:eastAsia="ja-JP"/>
        </w:rPr>
        <w:t>Merging Technologies</w:t>
      </w:r>
      <w:r w:rsidRPr="00E81DCF">
        <w:rPr>
          <w:rFonts w:ascii="Noto Sans JP" w:eastAsia="Noto Sans JP" w:hAnsi="Noto Sans JP" w:cstheme="majorBidi"/>
          <w:b/>
          <w:bCs/>
          <w:color w:val="000000" w:themeColor="text1"/>
          <w:lang w:val="en-US" w:eastAsia="ja-JP"/>
        </w:rPr>
        <w:t>の全株式を取得しました。</w:t>
      </w:r>
      <w:proofErr w:type="spellStart"/>
      <w:r w:rsidRPr="00E81DCF">
        <w:rPr>
          <w:rFonts w:ascii="Noto Sans JP" w:eastAsia="Noto Sans JP" w:hAnsi="Noto Sans JP" w:cstheme="majorBidi"/>
          <w:b/>
          <w:bCs/>
          <w:color w:val="000000" w:themeColor="text1"/>
          <w:lang w:val="en-US" w:eastAsia="ja-JP"/>
        </w:rPr>
        <w:t>Neumann.Berlin</w:t>
      </w:r>
      <w:proofErr w:type="spellEnd"/>
      <w:r w:rsidRPr="00E81DCF">
        <w:rPr>
          <w:rFonts w:ascii="Noto Sans JP" w:eastAsia="Noto Sans JP" w:hAnsi="Noto Sans JP" w:cstheme="majorBidi"/>
          <w:b/>
          <w:bCs/>
          <w:color w:val="000000" w:themeColor="text1"/>
          <w:lang w:val="en-US" w:eastAsia="ja-JP"/>
        </w:rPr>
        <w:t>はこれを足掛かりとして、高品質オーディオソリューション製品の一層の多様化を目指してまいります。</w:t>
      </w:r>
    </w:p>
    <w:p w14:paraId="371BB0FF" w14:textId="77777777" w:rsidR="00DA7B38" w:rsidRPr="00E81DCF" w:rsidRDefault="00DA7B38" w:rsidP="0013525D">
      <w:pPr>
        <w:rPr>
          <w:rFonts w:ascii="Noto Sans JP" w:eastAsia="Noto Sans JP" w:hAnsi="Noto Sans JP"/>
          <w:lang w:val="en-US" w:eastAsia="ja-JP"/>
        </w:rPr>
      </w:pPr>
    </w:p>
    <w:p w14:paraId="04FA7BCA" w14:textId="77777777" w:rsidR="000B0D87" w:rsidRDefault="007C40BA" w:rsidP="0013525D">
      <w:pPr>
        <w:rPr>
          <w:rFonts w:ascii="Noto Sans JP" w:eastAsia="Noto Sans JP" w:hAnsi="Noto Sans JP"/>
          <w:lang w:val="en-US" w:eastAsia="ja-JP"/>
        </w:rPr>
      </w:pPr>
      <w:r w:rsidRPr="00E81DCF">
        <w:rPr>
          <w:rFonts w:ascii="Noto Sans JP" w:eastAsia="Noto Sans JP" w:hAnsi="Noto Sans JP"/>
          <w:lang w:val="en-US" w:eastAsia="ja-JP"/>
        </w:rPr>
        <w:t>伝説的なマイクロフォン、モニタースピーカー、ヘッドフォンを市場に届け続ける</w:t>
      </w:r>
      <w:proofErr w:type="spellStart"/>
      <w:r w:rsidRPr="00E81DCF">
        <w:rPr>
          <w:rFonts w:ascii="Noto Sans JP" w:eastAsia="Noto Sans JP" w:hAnsi="Noto Sans JP"/>
          <w:lang w:val="en-US" w:eastAsia="ja-JP"/>
        </w:rPr>
        <w:t>Neumann.Berlin</w:t>
      </w:r>
      <w:proofErr w:type="spellEnd"/>
      <w:r w:rsidRPr="00E81DCF">
        <w:rPr>
          <w:rFonts w:ascii="Noto Sans JP" w:eastAsia="Noto Sans JP" w:hAnsi="Noto Sans JP"/>
          <w:lang w:val="en-US" w:eastAsia="ja-JP"/>
        </w:rPr>
        <w:t>は、レコーディングスタジオや放送局をはじめとするプロユーザーはもちろん、セミプロユーザーからも「リファレンス」として世界的に認知されています。</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のソリューションには、信頼性と色褪せない価値という観点からも、また究極のサウンドクオリティという観点からも比肩するものがありません。この確たるポジションを守り続ける</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は、これからさらにその製品レンジを戦略的に拡大してまいります。このたびの</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との提携も、</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の成長戦略の1つです。</w:t>
      </w:r>
    </w:p>
    <w:p w14:paraId="52C0B407" w14:textId="77777777" w:rsidR="0067621D" w:rsidRDefault="005E6781" w:rsidP="0013525D">
      <w:pPr>
        <w:rPr>
          <w:rFonts w:ascii="Noto Sans JP" w:eastAsia="Noto Sans JP" w:hAnsi="Noto Sans JP"/>
          <w:lang w:val="en-US" w:eastAsia="ja-JP"/>
        </w:rPr>
      </w:pPr>
      <w:r w:rsidRPr="00E81DCF">
        <w:rPr>
          <w:rFonts w:ascii="Noto Sans JP" w:eastAsia="Noto Sans JP" w:hAnsi="Noto Sans JP"/>
          <w:lang w:val="en-US" w:eastAsia="ja-JP"/>
        </w:rPr>
        <w:t>Georg Neumann GmbH</w:t>
      </w:r>
      <w:r w:rsidR="007C40BA" w:rsidRPr="00E81DCF">
        <w:rPr>
          <w:rFonts w:ascii="Noto Sans JP" w:eastAsia="Noto Sans JP" w:hAnsi="Noto Sans JP"/>
          <w:lang w:val="en-US" w:eastAsia="ja-JP"/>
        </w:rPr>
        <w:t>のCEOを務めるRalf Oehlは次のように述べています。「</w:t>
      </w:r>
      <w:r w:rsidRPr="00E81DCF">
        <w:rPr>
          <w:rFonts w:ascii="Noto Sans JP" w:eastAsia="Noto Sans JP" w:hAnsi="Noto Sans JP"/>
          <w:lang w:val="en-US" w:eastAsia="ja-JP"/>
        </w:rPr>
        <w:t>Neumann</w:t>
      </w:r>
      <w:r w:rsidR="007C40BA" w:rsidRPr="00E81DCF">
        <w:rPr>
          <w:rFonts w:ascii="Noto Sans JP" w:eastAsia="Noto Sans JP" w:hAnsi="Noto Sans JP"/>
          <w:lang w:val="en-US" w:eastAsia="ja-JP"/>
        </w:rPr>
        <w:t>の製品を一層強化する計画です。特にデジタルワークストリームの領域に注力し、スタジオクオリティの統合的なオーディオソリューションをお客様にお届けしたいと考えています。</w:t>
      </w:r>
      <w:r w:rsidRPr="00E81DCF">
        <w:rPr>
          <w:rFonts w:ascii="Noto Sans JP" w:eastAsia="Noto Sans JP" w:hAnsi="Noto Sans JP"/>
          <w:lang w:val="en-US" w:eastAsia="ja-JP"/>
        </w:rPr>
        <w:t>Merging Technologies</w:t>
      </w:r>
      <w:r w:rsidR="007C40BA" w:rsidRPr="00E81DCF">
        <w:rPr>
          <w:rFonts w:ascii="Noto Sans JP" w:eastAsia="Noto Sans JP" w:hAnsi="Noto Sans JP"/>
          <w:lang w:val="en-US" w:eastAsia="ja-JP"/>
        </w:rPr>
        <w:t>の製品とソリューションは、</w:t>
      </w:r>
      <w:r w:rsidRPr="00E81DCF">
        <w:rPr>
          <w:rFonts w:ascii="Noto Sans JP" w:eastAsia="Noto Sans JP" w:hAnsi="Noto Sans JP"/>
          <w:lang w:val="en-US" w:eastAsia="ja-JP"/>
        </w:rPr>
        <w:t>Neumann</w:t>
      </w:r>
      <w:r w:rsidR="007C40BA" w:rsidRPr="00E81DCF">
        <w:rPr>
          <w:rFonts w:ascii="Noto Sans JP" w:eastAsia="Noto Sans JP" w:hAnsi="Noto Sans JP"/>
          <w:lang w:val="en-US" w:eastAsia="ja-JP"/>
        </w:rPr>
        <w:t>の製品ポートフォリオを申し分なく補完してくれることでしょう。</w:t>
      </w:r>
      <w:r w:rsidRPr="00E81DCF">
        <w:rPr>
          <w:rFonts w:ascii="Noto Sans JP" w:eastAsia="Noto Sans JP" w:hAnsi="Noto Sans JP"/>
          <w:lang w:val="en-US" w:eastAsia="ja-JP"/>
        </w:rPr>
        <w:t>Merging Technologies</w:t>
      </w:r>
      <w:r w:rsidR="007C40BA" w:rsidRPr="00E81DCF">
        <w:rPr>
          <w:rFonts w:ascii="Noto Sans JP" w:eastAsia="Noto Sans JP" w:hAnsi="Noto Sans JP"/>
          <w:lang w:val="en-US" w:eastAsia="ja-JP"/>
        </w:rPr>
        <w:t>のチームとの協働を、心から楽しみにしています」。</w:t>
      </w:r>
    </w:p>
    <w:p w14:paraId="3C6200B3" w14:textId="0B017A62" w:rsidR="00DA7B38" w:rsidRPr="00E81DCF" w:rsidRDefault="005E6781" w:rsidP="0013525D">
      <w:pPr>
        <w:rPr>
          <w:rFonts w:ascii="Noto Sans JP" w:eastAsia="Noto Sans JP" w:hAnsi="Noto Sans JP"/>
          <w:lang w:val="en-US" w:eastAsia="ja-JP"/>
        </w:rPr>
      </w:pPr>
      <w:r w:rsidRPr="00E81DCF">
        <w:rPr>
          <w:rFonts w:ascii="Noto Sans JP" w:eastAsia="Noto Sans JP" w:hAnsi="Noto Sans JP"/>
          <w:lang w:val="en-US" w:eastAsia="ja-JP"/>
        </w:rPr>
        <w:t>Merging Technologies</w:t>
      </w:r>
      <w:r w:rsidR="007C40BA" w:rsidRPr="00E81DCF">
        <w:rPr>
          <w:rFonts w:ascii="Noto Sans JP" w:eastAsia="Noto Sans JP" w:hAnsi="Noto Sans JP"/>
          <w:lang w:val="en-US" w:eastAsia="ja-JP"/>
        </w:rPr>
        <w:t>はAD／DAソリューションおよびデジタルオーディオ・ワークステーションの世界有数のメーカーで、AES67標準対応のソフトウェア開発のパイオニアとしても知られています。</w:t>
      </w:r>
    </w:p>
    <w:p w14:paraId="16C1B99B" w14:textId="77777777" w:rsidR="00DA7B38" w:rsidRPr="00E81DCF" w:rsidRDefault="00DA7B38" w:rsidP="0013525D">
      <w:pPr>
        <w:rPr>
          <w:rFonts w:ascii="Noto Sans JP" w:eastAsia="Noto Sans JP" w:hAnsi="Noto Sans JP"/>
          <w:lang w:val="en-US" w:eastAsia="ja-JP"/>
        </w:rPr>
      </w:pPr>
    </w:p>
    <w:p w14:paraId="20FA3C56" w14:textId="0CE56BBE" w:rsidR="00DA7B38" w:rsidRPr="00E81DCF" w:rsidRDefault="007C40BA" w:rsidP="0013525D">
      <w:pPr>
        <w:rPr>
          <w:rFonts w:ascii="Noto Sans JP" w:eastAsia="Noto Sans JP" w:hAnsi="Noto Sans JP"/>
          <w:lang w:val="en-US" w:eastAsia="ja-JP"/>
        </w:rPr>
      </w:pPr>
      <w:r w:rsidRPr="00E81DCF">
        <w:rPr>
          <w:rFonts w:ascii="Noto Sans JP" w:eastAsia="Noto Sans JP" w:hAnsi="Noto Sans JP"/>
          <w:lang w:val="en-US" w:eastAsia="ja-JP"/>
        </w:rPr>
        <w:lastRenderedPageBreak/>
        <w:t>また</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の創業者でCEOを務めるClaude Cellierも提携を歓迎し、「</w:t>
      </w:r>
      <w:proofErr w:type="spellStart"/>
      <w:r w:rsidRPr="00E81DCF">
        <w:rPr>
          <w:rFonts w:ascii="Noto Sans JP" w:eastAsia="Noto Sans JP" w:hAnsi="Noto Sans JP"/>
          <w:lang w:val="en-US" w:eastAsia="ja-JP"/>
        </w:rPr>
        <w:t>Neumann.Berlin</w:t>
      </w:r>
      <w:proofErr w:type="spellEnd"/>
      <w:r w:rsidRPr="00E81DCF">
        <w:rPr>
          <w:rFonts w:ascii="Noto Sans JP" w:eastAsia="Noto Sans JP" w:hAnsi="Noto Sans JP"/>
          <w:lang w:val="en-US" w:eastAsia="ja-JP"/>
        </w:rPr>
        <w:t>と</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は完璧なパートナーです。このたびのコラボレーションは両社に新たな機会をもたらすことでしょう。『卓越』への情熱を共有する私たちは、オーディオの世界で新たなスタンダードを打ち立てることを常に目指しています」と話しています。今回の提携による、2社の既存の製品ポートフォリオに変更はありません。最初のコラボレーション製品としては、</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製品とデジタルインターフェースの100％統合を実現する、</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オーディオインターフェースの開発を予定しています。</w:t>
      </w:r>
    </w:p>
    <w:p w14:paraId="3AE97E98" w14:textId="77777777" w:rsidR="00DA7B38" w:rsidRPr="00E81DCF" w:rsidRDefault="00DA7B38" w:rsidP="0013525D">
      <w:pPr>
        <w:rPr>
          <w:rFonts w:ascii="Noto Sans JP" w:eastAsia="Noto Sans JP" w:hAnsi="Noto Sans JP"/>
          <w:lang w:val="en-US" w:eastAsia="ja-JP"/>
        </w:rPr>
      </w:pPr>
    </w:p>
    <w:p w14:paraId="2AAA4E68" w14:textId="463E8E36" w:rsidR="00DA7B38" w:rsidRPr="00E81DCF" w:rsidRDefault="007C40BA" w:rsidP="0013525D">
      <w:pPr>
        <w:rPr>
          <w:rFonts w:ascii="Noto Sans JP" w:eastAsia="Noto Sans JP" w:hAnsi="Noto Sans JP" w:cs="Arial"/>
          <w:noProof/>
          <w:color w:val="000000"/>
          <w:lang w:val="en-US" w:eastAsia="ja-JP"/>
        </w:rPr>
      </w:pPr>
      <w:r w:rsidRPr="00E81DCF">
        <w:rPr>
          <w:rFonts w:ascii="Noto Sans JP" w:eastAsia="Noto Sans JP" w:hAnsi="Noto Sans JP"/>
          <w:lang w:val="en-US" w:eastAsia="ja-JP"/>
        </w:rPr>
        <w:t>なおこのたびの買収により、</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は戦略的パートナーシップのもと、</w:t>
      </w:r>
      <w:r w:rsidR="005E6781" w:rsidRPr="00E81DCF">
        <w:rPr>
          <w:rFonts w:ascii="Noto Sans JP" w:eastAsia="Noto Sans JP" w:hAnsi="Noto Sans JP"/>
          <w:lang w:val="en-US" w:eastAsia="ja-JP"/>
        </w:rPr>
        <w:t>Sennheiser グループ</w:t>
      </w:r>
      <w:r w:rsidRPr="00E81DCF">
        <w:rPr>
          <w:rFonts w:ascii="Noto Sans JP" w:eastAsia="Noto Sans JP" w:hAnsi="Noto Sans JP"/>
          <w:lang w:val="en-US" w:eastAsia="ja-JP"/>
        </w:rPr>
        <w:t>の傘下に入りました。</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の約20名のスタッフは今後もスイス・ピュイドゥーの同社拠点に籍を置きつつ、ベルリンの</w:t>
      </w:r>
      <w:r w:rsidR="005E6781" w:rsidRPr="00E81DCF">
        <w:rPr>
          <w:rFonts w:ascii="Noto Sans JP" w:eastAsia="Noto Sans JP" w:hAnsi="Noto Sans JP"/>
          <w:lang w:val="en-US" w:eastAsia="ja-JP"/>
        </w:rPr>
        <w:t>Neumann</w:t>
      </w:r>
      <w:r w:rsidRPr="00E81DCF">
        <w:rPr>
          <w:rFonts w:ascii="Noto Sans JP" w:eastAsia="Noto Sans JP" w:hAnsi="Noto Sans JP"/>
          <w:lang w:val="en-US" w:eastAsia="ja-JP"/>
        </w:rPr>
        <w:t>チームと緊密に連携し、優れた成果を治めるべく協働してまいります。両社は特に開発とイノベーションの領域で、新たなコラボレーションがもたらす高い可能性に期待しています。</w:t>
      </w:r>
      <w:r w:rsidR="005E6781" w:rsidRPr="00E81DCF">
        <w:rPr>
          <w:rFonts w:ascii="Noto Sans JP" w:eastAsia="Noto Sans JP" w:hAnsi="Noto Sans JP"/>
          <w:lang w:val="en-US" w:eastAsia="ja-JP"/>
        </w:rPr>
        <w:t>Sennheiser グループ</w:t>
      </w:r>
      <w:r w:rsidRPr="00E81DCF">
        <w:rPr>
          <w:rFonts w:ascii="Noto Sans JP" w:eastAsia="Noto Sans JP" w:hAnsi="Noto Sans JP"/>
          <w:lang w:val="en-US" w:eastAsia="ja-JP"/>
        </w:rPr>
        <w:t>の共同CEOを務めるAndreas Sennheiserは次のように語ります。「グループの一員として、</w:t>
      </w:r>
      <w:r w:rsidR="005E6781" w:rsidRPr="00E81DCF">
        <w:rPr>
          <w:rFonts w:ascii="Noto Sans JP" w:eastAsia="Noto Sans JP" w:hAnsi="Noto Sans JP"/>
          <w:lang w:val="en-US" w:eastAsia="ja-JP"/>
        </w:rPr>
        <w:t>Merging Technologies</w:t>
      </w:r>
      <w:r w:rsidRPr="00E81DCF">
        <w:rPr>
          <w:rFonts w:ascii="Noto Sans JP" w:eastAsia="Noto Sans JP" w:hAnsi="Noto Sans JP"/>
          <w:lang w:val="en-US" w:eastAsia="ja-JP"/>
        </w:rPr>
        <w:t>の従業員の皆さんを心から歓迎します。ファミリー企業である私たちは今後も独自のリソースを強みとしつつ、サステナブルな成長を遂げていきたいと考えています。この目標の達成に向け、これからもプロフェッショナルオーディオビジネスに大規模投資を行っていく計画です」。なお両社は、今回の買収について詳細を公開しないことで合意しています。</w:t>
      </w:r>
      <w:r w:rsidRPr="00E81DCF">
        <w:rPr>
          <w:rFonts w:ascii="Noto Sans JP" w:eastAsia="Noto Sans JP" w:hAnsi="Noto Sans JP"/>
          <w:lang w:eastAsia="ja-JP"/>
        </w:rPr>
        <w:br/>
      </w:r>
    </w:p>
    <w:p w14:paraId="628EC6AB" w14:textId="2D86F563" w:rsidR="00DA7B38" w:rsidRPr="00E81DCF" w:rsidRDefault="005E6781" w:rsidP="0013525D">
      <w:pPr>
        <w:rPr>
          <w:rFonts w:ascii="Noto Sans JP" w:eastAsia="Noto Sans JP" w:hAnsi="Noto Sans JP"/>
          <w:b/>
          <w:bCs/>
          <w:sz w:val="18"/>
          <w:szCs w:val="18"/>
          <w:lang w:eastAsia="ja-JP"/>
        </w:rPr>
      </w:pPr>
      <w:r w:rsidRPr="00E81DCF">
        <w:rPr>
          <w:rFonts w:ascii="Noto Sans JP" w:eastAsia="Noto Sans JP" w:hAnsi="Noto Sans JP"/>
          <w:b/>
          <w:bCs/>
          <w:sz w:val="18"/>
          <w:szCs w:val="18"/>
          <w:lang w:eastAsia="ja-JP"/>
        </w:rPr>
        <w:t>Neumann</w:t>
      </w:r>
      <w:r w:rsidR="007C40BA" w:rsidRPr="00E81DCF">
        <w:rPr>
          <w:rFonts w:ascii="Noto Sans JP" w:eastAsia="Noto Sans JP" w:hAnsi="Noto Sans JP"/>
          <w:b/>
          <w:bCs/>
          <w:sz w:val="18"/>
          <w:szCs w:val="18"/>
          <w:lang w:eastAsia="ja-JP"/>
        </w:rPr>
        <w:t>について</w:t>
      </w:r>
    </w:p>
    <w:p w14:paraId="344EE42F" w14:textId="0ED0623C" w:rsidR="00DA7B38" w:rsidRPr="00E81DCF" w:rsidRDefault="007C40BA" w:rsidP="0013525D">
      <w:pPr>
        <w:rPr>
          <w:rStyle w:val="Hyperlink"/>
          <w:rFonts w:ascii="Noto Sans JP" w:eastAsia="Noto Sans JP" w:hAnsi="Noto Sans JP"/>
          <w:sz w:val="18"/>
          <w:szCs w:val="18"/>
          <w:lang w:eastAsia="ja-JP"/>
        </w:rPr>
      </w:pPr>
      <w:r w:rsidRPr="00E81DCF">
        <w:rPr>
          <w:rFonts w:ascii="Noto Sans JP" w:eastAsia="Noto Sans JP" w:hAnsi="Noto Sans JP"/>
          <w:sz w:val="18"/>
          <w:szCs w:val="18"/>
          <w:lang w:eastAsia="ja-JP"/>
        </w:rPr>
        <w:t>「</w:t>
      </w:r>
      <w:bookmarkStart w:id="0" w:name="_Hlk108012029"/>
      <w:r w:rsidRPr="00E81DCF">
        <w:rPr>
          <w:rFonts w:ascii="Noto Sans JP" w:eastAsia="Noto Sans JP" w:hAnsi="Noto Sans JP"/>
          <w:sz w:val="18"/>
          <w:szCs w:val="18"/>
          <w:lang w:eastAsia="ja-JP"/>
        </w:rPr>
        <w:t>Neumann.Berlin</w:t>
      </w:r>
      <w:bookmarkEnd w:id="0"/>
      <w:r w:rsidRPr="00E81DCF">
        <w:rPr>
          <w:rFonts w:ascii="Noto Sans JP" w:eastAsia="Noto Sans JP" w:hAnsi="Noto Sans JP"/>
          <w:sz w:val="18"/>
          <w:szCs w:val="18"/>
          <w:lang w:eastAsia="ja-JP"/>
        </w:rPr>
        <w:t>」の名で知られるGeorg Neumann GmbHは、スタジオグレードのオーディオ機器に特化した世界的なトップメーカーであり、U 47、 M 49、U 67、U 87をはじめとするレコーディング用マイクロフォンの伝説的名機の生みの親としても知られています。1928年の創業以来、Neumann.Berlinは数々の技術的イノベーションを起こし、いくつもの国際的な賞を授与されてきました。専門は電気音響変換機の開発ですが、2010年よりテレビやラジオ放送、レコーディング、オ</w:t>
      </w:r>
      <w:r w:rsidRPr="00E81DCF">
        <w:rPr>
          <w:rFonts w:ascii="Noto Sans JP" w:eastAsia="Noto Sans JP" w:hAnsi="Noto Sans JP"/>
          <w:sz w:val="18"/>
          <w:szCs w:val="18"/>
          <w:lang w:eastAsia="ja-JP"/>
        </w:rPr>
        <w:lastRenderedPageBreak/>
        <w:t>ーディオ制作といったスタジオモニター市場向けの製品開発も手掛けています。</w:t>
      </w:r>
      <w:r w:rsidR="005E6781" w:rsidRPr="00E81DCF">
        <w:rPr>
          <w:rFonts w:ascii="Noto Sans JP" w:eastAsia="Noto Sans JP" w:hAnsi="Noto Sans JP"/>
          <w:sz w:val="18"/>
          <w:szCs w:val="18"/>
          <w:lang w:eastAsia="ja-JP"/>
        </w:rPr>
        <w:t>Neumann</w:t>
      </w:r>
      <w:r w:rsidRPr="00E81DCF">
        <w:rPr>
          <w:rFonts w:ascii="Noto Sans JP" w:eastAsia="Noto Sans JP" w:hAnsi="Noto Sans JP"/>
          <w:sz w:val="18"/>
          <w:szCs w:val="18"/>
          <w:lang w:eastAsia="ja-JP"/>
        </w:rPr>
        <w:t>初のスタジオヘッドフォンは2019年初頭にリリースされました。</w:t>
      </w:r>
      <w:r w:rsidR="005E6781" w:rsidRPr="00E81DCF">
        <w:rPr>
          <w:rFonts w:ascii="Noto Sans JP" w:eastAsia="Noto Sans JP" w:hAnsi="Noto Sans JP"/>
          <w:sz w:val="18"/>
          <w:szCs w:val="18"/>
          <w:lang w:eastAsia="ja-JP"/>
        </w:rPr>
        <w:t>Georg Neumann GmbH</w:t>
      </w:r>
      <w:r w:rsidRPr="00E81DCF">
        <w:rPr>
          <w:rFonts w:ascii="Noto Sans JP" w:eastAsia="Noto Sans JP" w:hAnsi="Noto Sans JP"/>
          <w:sz w:val="18"/>
          <w:szCs w:val="18"/>
          <w:lang w:eastAsia="ja-JP"/>
        </w:rPr>
        <w:t>は1991年より</w:t>
      </w:r>
      <w:r w:rsidR="005E6781" w:rsidRPr="00E81DCF">
        <w:rPr>
          <w:rFonts w:ascii="Noto Sans JP" w:eastAsia="Noto Sans JP" w:hAnsi="Noto Sans JP"/>
          <w:sz w:val="18"/>
          <w:szCs w:val="18"/>
          <w:lang w:eastAsia="ja-JP"/>
        </w:rPr>
        <w:t>Sennheiser グループ</w:t>
      </w:r>
      <w:r w:rsidRPr="00E81DCF">
        <w:rPr>
          <w:rFonts w:ascii="Noto Sans JP" w:eastAsia="Noto Sans JP" w:hAnsi="Noto Sans JP"/>
          <w:sz w:val="18"/>
          <w:szCs w:val="18"/>
          <w:lang w:eastAsia="ja-JP"/>
        </w:rPr>
        <w:t>の傘下に入り、製品は現在、</w:t>
      </w:r>
      <w:r w:rsidR="005E6781" w:rsidRPr="00E81DCF">
        <w:rPr>
          <w:rFonts w:ascii="Noto Sans JP" w:eastAsia="Noto Sans JP" w:hAnsi="Noto Sans JP"/>
          <w:sz w:val="18"/>
          <w:szCs w:val="18"/>
          <w:lang w:eastAsia="ja-JP"/>
        </w:rPr>
        <w:t>Sennheiser</w:t>
      </w:r>
      <w:r w:rsidRPr="00E81DCF">
        <w:rPr>
          <w:rFonts w:ascii="Noto Sans JP" w:eastAsia="Noto Sans JP" w:hAnsi="Noto Sans JP"/>
          <w:sz w:val="18"/>
          <w:szCs w:val="18"/>
          <w:lang w:eastAsia="ja-JP"/>
        </w:rPr>
        <w:t>が世界中で展開する拠点ネットワークのほか、長期的な関係を構築してきた販売代理店を通じて各国で販売されています。</w:t>
      </w:r>
    </w:p>
    <w:p w14:paraId="2852F4C7" w14:textId="77777777" w:rsidR="005E6781" w:rsidRPr="00E81DCF" w:rsidRDefault="005E6781" w:rsidP="0013525D">
      <w:pPr>
        <w:rPr>
          <w:rFonts w:ascii="Noto Sans JP" w:eastAsia="Noto Sans JP" w:hAnsi="Noto Sans JP"/>
          <w:sz w:val="18"/>
          <w:szCs w:val="18"/>
          <w:lang w:eastAsia="ja-JP"/>
        </w:rPr>
      </w:pPr>
    </w:p>
    <w:p w14:paraId="5194B28B" w14:textId="348F1F20" w:rsidR="00DA7B38" w:rsidRPr="00E81DCF" w:rsidRDefault="005E6781" w:rsidP="0013525D">
      <w:pPr>
        <w:pStyle w:val="NormalWeb"/>
        <w:shd w:val="clear" w:color="auto" w:fill="FFFFFF" w:themeFill="background1"/>
        <w:spacing w:before="120" w:beforeAutospacing="0" w:after="300" w:afterAutospacing="0" w:line="360" w:lineRule="auto"/>
        <w:rPr>
          <w:rFonts w:ascii="Noto Sans JP" w:eastAsia="Noto Sans JP" w:hAnsi="Noto Sans JP" w:cstheme="minorBidi"/>
          <w:b/>
          <w:bCs/>
          <w:color w:val="000000" w:themeColor="text1"/>
          <w:sz w:val="18"/>
          <w:szCs w:val="18"/>
          <w:lang w:val="en-US" w:eastAsia="ja-JP"/>
        </w:rPr>
      </w:pPr>
      <w:r w:rsidRPr="00E81DCF">
        <w:rPr>
          <w:rFonts w:ascii="Noto Sans JP" w:eastAsia="Noto Sans JP" w:hAnsi="Noto Sans JP" w:cstheme="minorBidi"/>
          <w:b/>
          <w:bCs/>
          <w:color w:val="000000" w:themeColor="text1"/>
          <w:sz w:val="18"/>
          <w:szCs w:val="18"/>
          <w:lang w:val="en-US" w:eastAsia="ja-JP"/>
        </w:rPr>
        <w:t>Merging Technologies</w:t>
      </w:r>
      <w:r w:rsidR="007C40BA" w:rsidRPr="00E81DCF">
        <w:rPr>
          <w:rFonts w:ascii="Noto Sans JP" w:eastAsia="Noto Sans JP" w:hAnsi="Noto Sans JP" w:cstheme="minorBidi"/>
          <w:b/>
          <w:bCs/>
          <w:color w:val="000000" w:themeColor="text1"/>
          <w:sz w:val="18"/>
          <w:szCs w:val="18"/>
          <w:lang w:val="en-US" w:eastAsia="ja-JP"/>
        </w:rPr>
        <w:t>について</w:t>
      </w:r>
      <w:r w:rsidR="007C40BA" w:rsidRPr="00E81DCF">
        <w:rPr>
          <w:rFonts w:ascii="Noto Sans JP" w:eastAsia="Noto Sans JP" w:hAnsi="Noto Sans JP" w:cstheme="minorBidi"/>
          <w:b/>
          <w:bCs/>
          <w:color w:val="000000" w:themeColor="text1"/>
          <w:sz w:val="18"/>
          <w:szCs w:val="18"/>
          <w:lang w:val="en-US" w:eastAsia="ja-JP"/>
        </w:rPr>
        <w:br/>
      </w:r>
      <w:r w:rsidR="007C40BA" w:rsidRPr="00E81DCF">
        <w:rPr>
          <w:rFonts w:ascii="Noto Sans JP" w:eastAsia="Noto Sans JP" w:hAnsi="Noto Sans JP" w:cstheme="minorBidi"/>
          <w:color w:val="000000" w:themeColor="text1"/>
          <w:sz w:val="18"/>
          <w:szCs w:val="18"/>
          <w:lang w:val="en-US" w:eastAsia="ja-JP"/>
        </w:rPr>
        <w:t>Merging Technologies SAは、25年以上にわたり画期的なプロフェッショナル・オーディオ＆ビデオ製品の開発に従事しているスイスのメーカーとして、多種多様なエンターテインメントおよびメディア業界に製品を提供してまいりました。現在では、音楽、映画、テレビ、マスタリング、各種パフォーマンスなどさまざまな業界の一流ユーザーの皆様に製品をご愛用いただいており、いかなる用途であれ、並ぶもののない品質と柔軟性を兼ね備えた多彩な製品の開発に絶えず務めています。お使いのオーディオ＆ビデオシステムからより多くを引き出したいと考えるユーザーの皆様のため、常に革新的なツールを開発し、限界を超え続けることを信条とし、品質第一主義を貫いています。</w:t>
      </w:r>
      <w:r w:rsidRPr="00E81DCF">
        <w:rPr>
          <w:rFonts w:ascii="Noto Sans JP" w:eastAsia="Noto Sans JP" w:hAnsi="Noto Sans JP" w:cstheme="minorBidi"/>
          <w:color w:val="000000" w:themeColor="text1"/>
          <w:sz w:val="18"/>
          <w:szCs w:val="18"/>
          <w:lang w:val="en-US" w:eastAsia="ja-JP"/>
        </w:rPr>
        <w:t>Merging Technologies</w:t>
      </w:r>
      <w:r w:rsidR="007C40BA" w:rsidRPr="00E81DCF">
        <w:rPr>
          <w:rFonts w:ascii="Noto Sans JP" w:eastAsia="Noto Sans JP" w:hAnsi="Noto Sans JP" w:cstheme="minorBidi"/>
          <w:color w:val="000000" w:themeColor="text1"/>
          <w:sz w:val="18"/>
          <w:szCs w:val="18"/>
          <w:lang w:val="en-US" w:eastAsia="ja-JP"/>
        </w:rPr>
        <w:t>の詳細はウェブサイトをご覧ください：</w:t>
      </w:r>
      <w:r w:rsidR="007C40BA" w:rsidRPr="00E81DCF">
        <w:rPr>
          <w:rFonts w:eastAsia="Noto Sans JP"/>
        </w:rPr>
        <w:fldChar w:fldCharType="begin"/>
      </w:r>
      <w:r w:rsidR="007C40BA" w:rsidRPr="00E81DCF">
        <w:rPr>
          <w:rFonts w:ascii="Noto Sans JP" w:eastAsia="Noto Sans JP" w:hAnsi="Noto Sans JP"/>
          <w:lang w:val="en-US" w:eastAsia="ja-JP"/>
        </w:rPr>
        <w:instrText xml:space="preserve"> HYPERLINK "http://www.merging.com" \h </w:instrText>
      </w:r>
      <w:r w:rsidR="007C40BA" w:rsidRPr="00E81DCF">
        <w:rPr>
          <w:rFonts w:eastAsia="Noto Sans JP"/>
        </w:rPr>
      </w:r>
      <w:r w:rsidR="007C40BA" w:rsidRPr="00E81DCF">
        <w:rPr>
          <w:rFonts w:eastAsia="Noto Sans JP"/>
        </w:rPr>
        <w:fldChar w:fldCharType="separate"/>
      </w:r>
      <w:r w:rsidR="007C40BA" w:rsidRPr="00E81DCF">
        <w:rPr>
          <w:rStyle w:val="Hyperlink"/>
          <w:rFonts w:ascii="Noto Sans JP" w:eastAsia="Noto Sans JP" w:hAnsi="Noto Sans JP" w:cstheme="minorBidi"/>
          <w:sz w:val="18"/>
          <w:szCs w:val="18"/>
          <w:lang w:val="en-US" w:eastAsia="ja-JP"/>
        </w:rPr>
        <w:t>www.merging.com</w:t>
      </w:r>
      <w:r w:rsidR="007C40BA" w:rsidRPr="00E81DCF">
        <w:rPr>
          <w:rStyle w:val="Hyperlink"/>
          <w:rFonts w:ascii="Noto Sans JP" w:eastAsia="Noto Sans JP" w:hAnsi="Noto Sans JP" w:cstheme="minorBidi"/>
          <w:sz w:val="18"/>
          <w:szCs w:val="18"/>
          <w:lang w:val="en-US"/>
        </w:rPr>
        <w:fldChar w:fldCharType="end"/>
      </w:r>
    </w:p>
    <w:p w14:paraId="4C6E8007" w14:textId="77777777" w:rsidR="002B7B1A" w:rsidRPr="002B7B1A" w:rsidRDefault="002B7B1A" w:rsidP="002B7B1A">
      <w:pPr>
        <w:pStyle w:val="Contact"/>
        <w:rPr>
          <w:rFonts w:ascii="Noto Sans JP" w:eastAsia="Noto Sans JP" w:hAnsi="Noto Sans JP" w:cstheme="minorHAnsi"/>
          <w:b/>
          <w:color w:val="000000" w:themeColor="text1"/>
          <w:sz w:val="18"/>
          <w:szCs w:val="18"/>
          <w:lang w:val="en-US" w:eastAsia="ja-JP"/>
        </w:rPr>
      </w:pPr>
      <w:r w:rsidRPr="002B7B1A">
        <w:rPr>
          <w:rFonts w:ascii="Noto Sans JP" w:eastAsia="Noto Sans JP" w:hAnsi="Noto Sans JP" w:cstheme="minorHAnsi" w:hint="eastAsia"/>
          <w:b/>
          <w:color w:val="000000" w:themeColor="text1"/>
          <w:sz w:val="18"/>
          <w:szCs w:val="18"/>
          <w:lang w:val="en-US" w:eastAsia="ja-JP"/>
        </w:rPr>
        <w:t>当プレスリリースに関するお問い合わせ：</w:t>
      </w:r>
    </w:p>
    <w:p w14:paraId="463279DD"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hint="eastAsia"/>
          <w:bCs/>
          <w:color w:val="000000" w:themeColor="text1"/>
          <w:sz w:val="18"/>
          <w:szCs w:val="18"/>
          <w:lang w:val="en-US" w:eastAsia="ja-JP"/>
        </w:rPr>
        <w:t>ゼンハイザージャパン株式会社</w:t>
      </w:r>
    </w:p>
    <w:p w14:paraId="1979EDA7"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hint="eastAsia"/>
          <w:bCs/>
          <w:color w:val="000000" w:themeColor="text1"/>
          <w:sz w:val="18"/>
          <w:szCs w:val="18"/>
          <w:lang w:val="en-US" w:eastAsia="ja-JP"/>
        </w:rPr>
        <w:t>永富</w:t>
      </w:r>
    </w:p>
    <w:p w14:paraId="759ED563"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bCs/>
          <w:color w:val="000000" w:themeColor="text1"/>
          <w:sz w:val="18"/>
          <w:szCs w:val="18"/>
          <w:lang w:val="en-US" w:eastAsia="ja-JP"/>
        </w:rPr>
        <w:t>teruishi.nagatomi@sennheiser.com</w:t>
      </w:r>
    </w:p>
    <w:p w14:paraId="696D403B"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bCs/>
          <w:color w:val="000000" w:themeColor="text1"/>
          <w:sz w:val="18"/>
          <w:szCs w:val="18"/>
          <w:lang w:val="en-US" w:eastAsia="ja-JP"/>
        </w:rPr>
        <w:t>03-6406-8911</w:t>
      </w:r>
    </w:p>
    <w:p w14:paraId="1F460EA6"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p>
    <w:p w14:paraId="5DACA968"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hint="eastAsia"/>
          <w:bCs/>
          <w:color w:val="000000" w:themeColor="text1"/>
          <w:sz w:val="18"/>
          <w:szCs w:val="18"/>
          <w:lang w:val="en-US" w:eastAsia="ja-JP"/>
        </w:rPr>
        <w:t>ゼンハイザージャパンPR事務局</w:t>
      </w:r>
    </w:p>
    <w:p w14:paraId="43EBCFFA"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hint="eastAsia"/>
          <w:bCs/>
          <w:color w:val="000000" w:themeColor="text1"/>
          <w:sz w:val="18"/>
          <w:szCs w:val="18"/>
          <w:lang w:val="en-US" w:eastAsia="ja-JP"/>
        </w:rPr>
        <w:t>中村</w:t>
      </w:r>
    </w:p>
    <w:p w14:paraId="48967174" w14:textId="77777777" w:rsidR="002B7B1A" w:rsidRPr="002B7B1A" w:rsidRDefault="002B7B1A" w:rsidP="002B7B1A">
      <w:pPr>
        <w:pStyle w:val="Contact"/>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bCs/>
          <w:color w:val="000000" w:themeColor="text1"/>
          <w:sz w:val="18"/>
          <w:szCs w:val="18"/>
          <w:lang w:val="en-US" w:eastAsia="ja-JP"/>
        </w:rPr>
        <w:t>sennheiser@pjbc.co.jp</w:t>
      </w:r>
    </w:p>
    <w:p w14:paraId="0B127309" w14:textId="4E8B3B7E" w:rsidR="00DA7B38" w:rsidRPr="002B7B1A" w:rsidRDefault="002B7B1A" w:rsidP="002B7B1A">
      <w:pPr>
        <w:pStyle w:val="Contact"/>
        <w:spacing w:line="360" w:lineRule="auto"/>
        <w:rPr>
          <w:rFonts w:ascii="Noto Sans JP" w:eastAsia="Noto Sans JP" w:hAnsi="Noto Sans JP" w:cstheme="minorHAnsi"/>
          <w:bCs/>
          <w:color w:val="000000" w:themeColor="text1"/>
          <w:sz w:val="18"/>
          <w:szCs w:val="18"/>
          <w:lang w:val="en-US" w:eastAsia="ja-JP"/>
        </w:rPr>
      </w:pPr>
      <w:r w:rsidRPr="002B7B1A">
        <w:rPr>
          <w:rFonts w:ascii="Noto Sans JP" w:eastAsia="Noto Sans JP" w:hAnsi="Noto Sans JP" w:cstheme="minorHAnsi"/>
          <w:bCs/>
          <w:color w:val="000000" w:themeColor="text1"/>
          <w:sz w:val="18"/>
          <w:szCs w:val="18"/>
          <w:lang w:val="en-US" w:eastAsia="ja-JP"/>
        </w:rPr>
        <w:t>03-4580-9156</w:t>
      </w:r>
    </w:p>
    <w:p w14:paraId="3C835E9C" w14:textId="77777777" w:rsidR="00D73D42" w:rsidRPr="00E81DCF" w:rsidRDefault="00D73D42" w:rsidP="0013525D">
      <w:pPr>
        <w:pStyle w:val="Contact"/>
        <w:spacing w:line="360" w:lineRule="auto"/>
        <w:rPr>
          <w:rFonts w:ascii="Noto Sans JP" w:eastAsia="Noto Sans JP" w:hAnsi="Noto Sans JP" w:cstheme="minorBidi"/>
          <w:color w:val="000000" w:themeColor="text1"/>
          <w:szCs w:val="15"/>
          <w:lang w:val="fr-FR"/>
        </w:rPr>
      </w:pPr>
    </w:p>
    <w:p w14:paraId="5DD3DEFC" w14:textId="2DCBF5F0" w:rsidR="00DA7B38" w:rsidRPr="00E81DCF" w:rsidRDefault="007C40BA" w:rsidP="0013525D">
      <w:pPr>
        <w:pStyle w:val="Contact"/>
        <w:spacing w:line="360" w:lineRule="auto"/>
        <w:rPr>
          <w:rFonts w:ascii="Noto Sans JP" w:eastAsia="Noto Sans JP" w:hAnsi="Noto Sans JP" w:cstheme="minorBidi"/>
          <w:b/>
          <w:bCs/>
          <w:color w:val="000000" w:themeColor="text1"/>
          <w:sz w:val="18"/>
          <w:szCs w:val="18"/>
          <w:lang w:val="fr-FR"/>
        </w:rPr>
      </w:pPr>
      <w:r w:rsidRPr="00E81DCF">
        <w:rPr>
          <w:rFonts w:ascii="Noto Sans JP" w:eastAsia="Noto Sans JP" w:hAnsi="Noto Sans JP" w:cstheme="minorBidi"/>
          <w:b/>
          <w:bCs/>
          <w:color w:val="000000" w:themeColor="text1"/>
          <w:sz w:val="18"/>
          <w:szCs w:val="18"/>
          <w:lang w:val="fr-FR" w:eastAsia="ja-JP"/>
        </w:rPr>
        <w:t>プレス関連のお問い合わせ（</w:t>
      </w:r>
      <w:proofErr w:type="spellStart"/>
      <w:r w:rsidR="005E6781" w:rsidRPr="00E81DCF">
        <w:rPr>
          <w:rFonts w:ascii="Noto Sans JP" w:eastAsia="Noto Sans JP" w:hAnsi="Noto Sans JP" w:cstheme="minorBidi"/>
          <w:b/>
          <w:bCs/>
          <w:color w:val="000000" w:themeColor="text1"/>
          <w:sz w:val="18"/>
          <w:szCs w:val="18"/>
          <w:lang w:val="fr-FR" w:eastAsia="ja-JP"/>
        </w:rPr>
        <w:t>Merging</w:t>
      </w:r>
      <w:proofErr w:type="spellEnd"/>
      <w:r w:rsidR="005E6781" w:rsidRPr="00E81DCF">
        <w:rPr>
          <w:rFonts w:ascii="Noto Sans JP" w:eastAsia="Noto Sans JP" w:hAnsi="Noto Sans JP" w:cstheme="minorBidi"/>
          <w:b/>
          <w:bCs/>
          <w:color w:val="000000" w:themeColor="text1"/>
          <w:sz w:val="18"/>
          <w:szCs w:val="18"/>
          <w:lang w:val="fr-FR" w:eastAsia="ja-JP"/>
        </w:rPr>
        <w:t xml:space="preserve"> Technologies</w:t>
      </w:r>
      <w:r w:rsidRPr="00E81DCF">
        <w:rPr>
          <w:rFonts w:ascii="Noto Sans JP" w:eastAsia="Noto Sans JP" w:hAnsi="Noto Sans JP" w:cstheme="minorBidi"/>
          <w:b/>
          <w:bCs/>
          <w:color w:val="000000" w:themeColor="text1"/>
          <w:sz w:val="18"/>
          <w:szCs w:val="18"/>
          <w:lang w:val="fr-FR" w:eastAsia="ja-JP"/>
        </w:rPr>
        <w:t>）：</w:t>
      </w:r>
      <w:r w:rsidRPr="00E81DCF">
        <w:rPr>
          <w:rFonts w:ascii="Noto Sans JP" w:eastAsia="Noto Sans JP" w:hAnsi="Noto Sans JP" w:cstheme="minorBidi"/>
          <w:color w:val="000000" w:themeColor="text1"/>
          <w:szCs w:val="15"/>
          <w:lang w:val="fr-FR"/>
        </w:rPr>
        <w:t xml:space="preserve"> </w:t>
      </w:r>
    </w:p>
    <w:p w14:paraId="241E44A9" w14:textId="2BBE936A" w:rsidR="00DA7B38" w:rsidRPr="00E81DCF" w:rsidRDefault="007C40BA" w:rsidP="0013525D">
      <w:pPr>
        <w:pStyle w:val="Contact"/>
        <w:spacing w:line="360" w:lineRule="auto"/>
        <w:rPr>
          <w:rFonts w:ascii="Noto Sans JP" w:eastAsia="Noto Sans JP" w:hAnsi="Noto Sans JP" w:cstheme="minorBidi"/>
          <w:color w:val="000000" w:themeColor="text1"/>
          <w:sz w:val="18"/>
          <w:szCs w:val="18"/>
        </w:rPr>
      </w:pPr>
      <w:r w:rsidRPr="00E81DCF">
        <w:rPr>
          <w:rFonts w:ascii="Noto Sans JP" w:eastAsia="Noto Sans JP" w:hAnsi="Noto Sans JP" w:cstheme="minorBidi"/>
          <w:color w:val="000000" w:themeColor="text1"/>
          <w:sz w:val="18"/>
          <w:szCs w:val="18"/>
        </w:rPr>
        <w:t>Chris Hollebone</w:t>
      </w:r>
      <w:r w:rsidRPr="00E81DCF">
        <w:rPr>
          <w:rFonts w:ascii="Noto Sans JP" w:eastAsia="Noto Sans JP" w:hAnsi="Noto Sans JP"/>
        </w:rPr>
        <w:br/>
      </w:r>
      <w:r w:rsidRPr="00E81DCF">
        <w:rPr>
          <w:rFonts w:ascii="Noto Sans JP" w:eastAsia="Noto Sans JP" w:hAnsi="Noto Sans JP" w:cstheme="minorBidi"/>
          <w:color w:val="000000" w:themeColor="text1"/>
          <w:sz w:val="18"/>
          <w:szCs w:val="18"/>
        </w:rPr>
        <w:t>T  +44 (0)7785 237333</w:t>
      </w:r>
    </w:p>
    <w:p w14:paraId="383CDC70" w14:textId="77777777" w:rsidR="00DA7B38" w:rsidRPr="00E81DCF" w:rsidRDefault="007C40BA" w:rsidP="0013525D">
      <w:pPr>
        <w:pStyle w:val="Contact"/>
        <w:spacing w:line="360" w:lineRule="auto"/>
        <w:rPr>
          <w:rFonts w:ascii="Noto Sans JP" w:eastAsia="Noto Sans JP" w:hAnsi="Noto Sans JP" w:cstheme="minorBidi"/>
          <w:color w:val="000000" w:themeColor="text1"/>
          <w:sz w:val="18"/>
          <w:szCs w:val="18"/>
          <w:u w:val="single"/>
          <w:lang w:eastAsia="ja-JP"/>
        </w:rPr>
      </w:pPr>
      <w:r w:rsidRPr="00E81DCF">
        <w:rPr>
          <w:rFonts w:ascii="Noto Sans JP" w:eastAsia="Noto Sans JP" w:hAnsi="Noto Sans JP" w:cstheme="minorBidi"/>
          <w:color w:val="000000" w:themeColor="text1"/>
          <w:sz w:val="18"/>
          <w:szCs w:val="18"/>
          <w:u w:val="single"/>
        </w:rPr>
        <w:t>chollebone@merging.com</w:t>
      </w:r>
    </w:p>
    <w:sectPr w:rsidR="00DA7B38" w:rsidRPr="00E81DCF">
      <w:headerReference w:type="default" r:id="rId11"/>
      <w:headerReference w:type="first" r:id="rId12"/>
      <w:pgSz w:w="11906" w:h="16838" w:code="9"/>
      <w:pgMar w:top="2838" w:right="2408" w:bottom="793"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A340" w14:textId="77777777" w:rsidR="00E22995" w:rsidRDefault="00E22995">
      <w:pPr>
        <w:spacing w:line="240" w:lineRule="auto"/>
      </w:pPr>
      <w:r>
        <w:separator/>
      </w:r>
    </w:p>
  </w:endnote>
  <w:endnote w:type="continuationSeparator" w:id="0">
    <w:p w14:paraId="1279304D" w14:textId="77777777" w:rsidR="00E22995" w:rsidRDefault="00E22995">
      <w:pPr>
        <w:spacing w:line="240" w:lineRule="auto"/>
      </w:pPr>
      <w:r>
        <w:continuationSeparator/>
      </w:r>
    </w:p>
  </w:endnote>
  <w:endnote w:type="continuationNotice" w:id="1">
    <w:p w14:paraId="591D3D95" w14:textId="77777777" w:rsidR="00E22995" w:rsidRDefault="00E229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nnheiser Office">
    <w:altName w:val="Arial"/>
    <w:panose1 w:val="020B0504020101010102"/>
    <w:charset w:val="00"/>
    <w:family w:val="swiss"/>
    <w:pitch w:val="variable"/>
    <w:sig w:usb0="A00000AF" w:usb1="500020DB" w:usb2="00000000" w:usb3="00000000" w:csb0="00000093" w:csb1="00000000"/>
    <w:embedRegular r:id="rId1" w:fontKey="{11101D77-1216-4A7A-BABB-CD539E7524D7}"/>
    <w:embedBold r:id="rId2" w:fontKey="{4F6D567E-10EF-4D29-96BE-6F2A1BBA1886}"/>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fontKey="{56AD331F-C808-41C9-9A2E-8E6C69CAF861}"/>
  </w:font>
  <w:font w:name="Avenir Next Condensed Regular">
    <w:altName w:val="Calibri"/>
    <w:charset w:val="00"/>
    <w:family w:val="swiss"/>
    <w:pitch w:val="variable"/>
    <w:sig w:usb0="8000002F" w:usb1="5000204A" w:usb2="00000000" w:usb3="00000000" w:csb0="0000009B"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4" w:fontKey="{597EABE0-B08B-48C2-AA8F-45F6915CB3B5}"/>
  </w:font>
  <w:font w:name="Noto Sans JP">
    <w:altName w:val="游ゴシック"/>
    <w:panose1 w:val="00000000000000000000"/>
    <w:charset w:val="80"/>
    <w:family w:val="swiss"/>
    <w:notTrueType/>
    <w:pitch w:val="variable"/>
    <w:sig w:usb0="20000287" w:usb1="2ADF3C10" w:usb2="00000016" w:usb3="00000000" w:csb0="00060107" w:csb1="00000000"/>
  </w:font>
  <w:font w:name="UnitPro">
    <w:altName w:val="Calibri"/>
    <w:panose1 w:val="00000000000000000000"/>
    <w:charset w:val="00"/>
    <w:family w:val="swiss"/>
    <w:notTrueType/>
    <w:pitch w:val="variable"/>
    <w:sig w:usb0="A00002FF" w:usb1="5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1C76" w14:textId="77777777" w:rsidR="00E22995" w:rsidRDefault="00E22995">
      <w:pPr>
        <w:spacing w:line="240" w:lineRule="auto"/>
      </w:pPr>
      <w:r>
        <w:separator/>
      </w:r>
    </w:p>
  </w:footnote>
  <w:footnote w:type="continuationSeparator" w:id="0">
    <w:p w14:paraId="7DC40DCF" w14:textId="77777777" w:rsidR="00E22995" w:rsidRDefault="00E22995">
      <w:pPr>
        <w:spacing w:line="240" w:lineRule="auto"/>
      </w:pPr>
      <w:r>
        <w:continuationSeparator/>
      </w:r>
    </w:p>
  </w:footnote>
  <w:footnote w:type="continuationNotice" w:id="1">
    <w:p w14:paraId="315C92CE" w14:textId="77777777" w:rsidR="00E22995" w:rsidRDefault="00E229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9E87" w14:textId="77777777" w:rsidR="00DA7B38" w:rsidRDefault="007C40BA">
    <w:pPr>
      <w:pStyle w:val="Header"/>
      <w:rPr>
        <w:rFonts w:ascii="Arial" w:hAnsi="Arial" w:cs="Arial"/>
      </w:rPr>
    </w:pPr>
    <w:r>
      <w:rPr>
        <w:noProof/>
        <w:lang w:val="en-US" w:eastAsia="ja-JP"/>
      </w:rPr>
      <w:drawing>
        <wp:anchor distT="0" distB="0" distL="114300" distR="114300" simplePos="0" relativeHeight="251658241" behindDoc="0" locked="1" layoutInCell="1" allowOverlap="1" wp14:anchorId="70058C5D" wp14:editId="1FE6ACF8">
          <wp:simplePos x="0" y="0"/>
          <wp:positionH relativeFrom="page">
            <wp:posOffset>900430</wp:posOffset>
          </wp:positionH>
          <wp:positionV relativeFrom="page">
            <wp:posOffset>398780</wp:posOffset>
          </wp:positionV>
          <wp:extent cx="3153410" cy="694690"/>
          <wp:effectExtent l="0" t="0" r="0" b="0"/>
          <wp:wrapNone/>
          <wp:docPr id="4" name="Grafik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5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41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Pr>
        <w:rFonts w:ascii="Arial" w:hAnsi="Arial" w:cs="Arial"/>
        <w:noProof/>
      </w:rPr>
      <w:t>3</w:t>
    </w:r>
    <w:r>
      <w:rPr>
        <w:rFonts w:ascii="Arial" w:hAnsi="Arial" w:cs="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6E85" w14:textId="77777777" w:rsidR="00DA7B38" w:rsidRDefault="007C40BA">
    <w:pPr>
      <w:pStyle w:val="Header"/>
      <w:rPr>
        <w:rFonts w:ascii="Arial" w:hAnsi="Arial" w:cs="Arial"/>
        <w:color w:val="414141"/>
      </w:rPr>
    </w:pPr>
    <w:r>
      <w:rPr>
        <w:rFonts w:ascii="Arial" w:hAnsi="Arial" w:cs="Arial" w:hint="eastAsia"/>
        <w:color w:val="414141"/>
        <w:lang w:val="en-US" w:eastAsia="ja-JP"/>
      </w:rPr>
      <w:t>プレスリリース</w:t>
    </w:r>
    <w:r>
      <w:rPr>
        <w:noProof/>
        <w:lang w:val="en-US" w:eastAsia="ja-JP"/>
      </w:rPr>
      <w:drawing>
        <wp:anchor distT="0" distB="0" distL="114300" distR="114300" simplePos="0" relativeHeight="251658240" behindDoc="0" locked="1" layoutInCell="1" allowOverlap="1" wp14:anchorId="6F867032" wp14:editId="138B20A8">
          <wp:simplePos x="0" y="0"/>
          <wp:positionH relativeFrom="page">
            <wp:posOffset>900430</wp:posOffset>
          </wp:positionH>
          <wp:positionV relativeFrom="page">
            <wp:posOffset>398780</wp:posOffset>
          </wp:positionV>
          <wp:extent cx="3153410" cy="694690"/>
          <wp:effectExtent l="0" t="0" r="0" b="0"/>
          <wp:wrapNone/>
          <wp:docPr id="5" name="Grafik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5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41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FC426" w14:textId="77777777" w:rsidR="00DA7B38" w:rsidRDefault="007C40BA">
    <w:pPr>
      <w:pStyle w:val="Header"/>
      <w:rPr>
        <w:rFonts w:ascii="UnitPro" w:hAnsi="UnitPro" w:cs="UnitPro"/>
        <w:color w:val="414141"/>
      </w:rPr>
    </w:pPr>
    <w:r>
      <w:rPr>
        <w:rFonts w:ascii="Arial" w:hAnsi="Arial" w:cs="Arial"/>
        <w:color w:val="414141"/>
      </w:rPr>
      <w:fldChar w:fldCharType="begin"/>
    </w:r>
    <w:r>
      <w:rPr>
        <w:rFonts w:ascii="Arial" w:hAnsi="Arial" w:cs="Arial"/>
        <w:color w:val="414141"/>
      </w:rPr>
      <w:instrText xml:space="preserve"> PAGE  \* Arabic  \* MERGEFORMAT </w:instrText>
    </w:r>
    <w:r>
      <w:rPr>
        <w:rFonts w:ascii="Arial" w:hAnsi="Arial" w:cs="Arial"/>
        <w:color w:val="414141"/>
      </w:rPr>
      <w:fldChar w:fldCharType="separate"/>
    </w:r>
    <w:r>
      <w:rPr>
        <w:rFonts w:ascii="Arial" w:hAnsi="Arial" w:cs="Arial"/>
        <w:noProof/>
        <w:color w:val="414141"/>
      </w:rPr>
      <w:t>1</w:t>
    </w:r>
    <w:r>
      <w:rPr>
        <w:rFonts w:ascii="Arial" w:hAnsi="Arial" w:cs="Arial"/>
        <w:color w:val="414141"/>
      </w:rPr>
      <w:fldChar w:fldCharType="end"/>
    </w:r>
    <w:r>
      <w:rPr>
        <w:rFonts w:ascii="Arial" w:hAnsi="Arial" w:cs="Arial"/>
        <w:color w:val="414141"/>
      </w:rPr>
      <w:t>/</w:t>
    </w:r>
    <w:r>
      <w:rPr>
        <w:rFonts w:ascii="Arial" w:hAnsi="Arial" w:cs="Arial"/>
        <w:color w:val="414141"/>
      </w:rPr>
      <w:fldChar w:fldCharType="begin"/>
    </w:r>
    <w:r>
      <w:rPr>
        <w:rFonts w:ascii="Arial" w:hAnsi="Arial" w:cs="Arial"/>
        <w:color w:val="414141"/>
      </w:rPr>
      <w:instrText xml:space="preserve"> NUMPAGES  \* Arabic  \* MERGEFORMAT </w:instrText>
    </w:r>
    <w:r>
      <w:rPr>
        <w:rFonts w:ascii="Arial" w:hAnsi="Arial" w:cs="Arial"/>
        <w:color w:val="414141"/>
      </w:rPr>
      <w:fldChar w:fldCharType="separate"/>
    </w:r>
    <w:r>
      <w:rPr>
        <w:rFonts w:ascii="Arial" w:hAnsi="Arial" w:cs="Arial"/>
        <w:noProof/>
        <w:color w:val="414141"/>
      </w:rPr>
      <w:t>1</w:t>
    </w:r>
    <w:r>
      <w:rPr>
        <w:rFonts w:ascii="Arial" w:hAnsi="Arial" w:cs="Arial"/>
        <w:color w:val="41414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136671"/>
    <w:multiLevelType w:val="hybridMultilevel"/>
    <w:tmpl w:val="9CC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E6641"/>
    <w:multiLevelType w:val="hybridMultilevel"/>
    <w:tmpl w:val="22A44048"/>
    <w:lvl w:ilvl="0" w:tplc="40182C3E">
      <w:numFmt w:val="bullet"/>
      <w:lvlText w:val=""/>
      <w:lvlJc w:val="left"/>
      <w:pPr>
        <w:ind w:left="720" w:hanging="360"/>
      </w:pPr>
      <w:rPr>
        <w:rFonts w:ascii="Symbol" w:eastAsia="ＭＳ Ｐゴシック"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446D00"/>
    <w:multiLevelType w:val="hybridMultilevel"/>
    <w:tmpl w:val="E1007E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D41163F"/>
    <w:multiLevelType w:val="hybridMultilevel"/>
    <w:tmpl w:val="3B62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0F061E"/>
    <w:multiLevelType w:val="hybridMultilevel"/>
    <w:tmpl w:val="CEC0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CA7F59"/>
    <w:multiLevelType w:val="hybridMultilevel"/>
    <w:tmpl w:val="860C1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491BDF"/>
    <w:multiLevelType w:val="hybridMultilevel"/>
    <w:tmpl w:val="E5F0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2F0A9F"/>
    <w:multiLevelType w:val="hybridMultilevel"/>
    <w:tmpl w:val="3B885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D21B4D"/>
    <w:multiLevelType w:val="hybridMultilevel"/>
    <w:tmpl w:val="00E47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5852022">
    <w:abstractNumId w:val="0"/>
  </w:num>
  <w:num w:numId="2" w16cid:durableId="880749451">
    <w:abstractNumId w:val="1"/>
  </w:num>
  <w:num w:numId="3" w16cid:durableId="1041712746">
    <w:abstractNumId w:val="5"/>
  </w:num>
  <w:num w:numId="4" w16cid:durableId="1065376258">
    <w:abstractNumId w:val="2"/>
  </w:num>
  <w:num w:numId="5" w16cid:durableId="1428160989">
    <w:abstractNumId w:val="4"/>
  </w:num>
  <w:num w:numId="6" w16cid:durableId="1403261471">
    <w:abstractNumId w:val="6"/>
  </w:num>
  <w:num w:numId="7" w16cid:durableId="766920965">
    <w:abstractNumId w:val="3"/>
  </w:num>
  <w:num w:numId="8" w16cid:durableId="1136678528">
    <w:abstractNumId w:val="8"/>
  </w:num>
  <w:num w:numId="9" w16cid:durableId="1642809807">
    <w:abstractNumId w:val="10"/>
  </w:num>
  <w:num w:numId="10" w16cid:durableId="572742822">
    <w:abstractNumId w:val="7"/>
  </w:num>
  <w:num w:numId="11" w16cid:durableId="52125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fr-FR"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B38"/>
    <w:rsid w:val="0007264A"/>
    <w:rsid w:val="000B0D87"/>
    <w:rsid w:val="0013525D"/>
    <w:rsid w:val="002B7B1A"/>
    <w:rsid w:val="002C6469"/>
    <w:rsid w:val="0030290E"/>
    <w:rsid w:val="00340C39"/>
    <w:rsid w:val="005E6781"/>
    <w:rsid w:val="0067621D"/>
    <w:rsid w:val="007C40BA"/>
    <w:rsid w:val="008652DA"/>
    <w:rsid w:val="00AB5299"/>
    <w:rsid w:val="00D73D42"/>
    <w:rsid w:val="00DA7B38"/>
    <w:rsid w:val="00E22995"/>
    <w:rsid w:val="00E81DCF"/>
    <w:rsid w:val="1984D8C4"/>
    <w:rsid w:val="341C796A"/>
    <w:rsid w:val="35B849CB"/>
    <w:rsid w:val="38EFEA8D"/>
    <w:rsid w:val="3DC35BB0"/>
    <w:rsid w:val="4C459C9F"/>
    <w:rsid w:val="5EEB53BD"/>
    <w:rsid w:val="638F36AD"/>
    <w:rsid w:val="67769F92"/>
    <w:rsid w:val="68790DA6"/>
    <w:rsid w:val="6D4C7EC9"/>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23A8B1"/>
  <w15:docId w15:val="{7FB35980-F70F-4A1D-AF01-50C08EB3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nheiser Office" w:eastAsiaTheme="minorEastAsia" w:hAnsi="Sennheiser Office"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style>
  <w:style w:type="paragraph" w:styleId="Heading1">
    <w:name w:val="heading 1"/>
    <w:basedOn w:val="Normal"/>
    <w:next w:val="Normal"/>
    <w:link w:val="Heading1Char"/>
    <w:uiPriority w:val="9"/>
    <w:qFormat/>
    <w:pPr>
      <w:outlineLvl w:val="0"/>
    </w:pPr>
    <w:rPr>
      <w:b/>
      <w:caps/>
      <w:color w:val="0095D5"/>
      <w:lang w:eastAsia="x-none"/>
    </w:rPr>
  </w:style>
  <w:style w:type="paragraph" w:styleId="Heading2">
    <w:name w:val="heading 2"/>
    <w:basedOn w:val="Normal"/>
    <w:next w:val="Normal"/>
    <w:link w:val="Heading2Char"/>
    <w:uiPriority w:val="9"/>
    <w:qFormat/>
    <w:pPr>
      <w:outlineLvl w:val="1"/>
    </w:pPr>
    <w:rPr>
      <w:b/>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195" w:lineRule="atLeast"/>
      <w:ind w:right="-1737"/>
      <w:jc w:val="right"/>
    </w:pPr>
    <w:rPr>
      <w:caps/>
      <w:spacing w:val="12"/>
      <w:sz w:val="15"/>
      <w:lang w:eastAsia="x-none"/>
    </w:rPr>
  </w:style>
  <w:style w:type="character" w:customStyle="1" w:styleId="HeaderChar">
    <w:name w:val="Header Char"/>
    <w:link w:val="Header"/>
    <w:uiPriority w:val="99"/>
    <w:rPr>
      <w:caps/>
      <w:spacing w:val="12"/>
      <w:sz w:val="15"/>
      <w:lang w:val="en-GB"/>
    </w:rPr>
  </w:style>
  <w:style w:type="paragraph" w:styleId="Footer">
    <w:name w:val="footer"/>
    <w:basedOn w:val="Normal"/>
    <w:link w:val="FooterChar"/>
    <w:uiPriority w:val="99"/>
    <w:unhideWhenUsed/>
    <w:pPr>
      <w:spacing w:line="180" w:lineRule="atLeast"/>
    </w:pPr>
    <w:rPr>
      <w:sz w:val="12"/>
      <w:lang w:eastAsia="x-none"/>
    </w:rPr>
  </w:style>
  <w:style w:type="character" w:customStyle="1" w:styleId="FooterChar">
    <w:name w:val="Footer Char"/>
    <w:link w:val="Footer"/>
    <w:uiPriority w:val="99"/>
    <w:rPr>
      <w:sz w:val="12"/>
      <w:lang w:val="en-GB"/>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pPr>
      <w:spacing w:line="180" w:lineRule="atLeast"/>
    </w:pPr>
    <w:rPr>
      <w:sz w:val="12"/>
    </w:rPr>
  </w:style>
  <w:style w:type="paragraph" w:styleId="Title">
    <w:name w:val="Title"/>
    <w:basedOn w:val="Normal"/>
    <w:next w:val="Normal"/>
    <w:link w:val="TitleChar"/>
    <w:uiPriority w:val="10"/>
    <w:qFormat/>
    <w:pPr>
      <w:spacing w:before="440" w:after="200"/>
      <w:contextualSpacing/>
    </w:pPr>
    <w:rPr>
      <w:sz w:val="24"/>
      <w:lang w:eastAsia="x-none"/>
    </w:rPr>
  </w:style>
  <w:style w:type="character" w:customStyle="1" w:styleId="TitleChar">
    <w:name w:val="Title Char"/>
    <w:link w:val="Title"/>
    <w:uiPriority w:val="10"/>
    <w:rPr>
      <w:sz w:val="24"/>
      <w:lang w:val="en-GB"/>
    </w:rPr>
  </w:style>
  <w:style w:type="character" w:customStyle="1" w:styleId="Heading1Char">
    <w:name w:val="Heading 1 Char"/>
    <w:link w:val="Heading1"/>
    <w:uiPriority w:val="9"/>
    <w:rPr>
      <w:b/>
      <w:caps/>
      <w:color w:val="0095D5"/>
      <w:sz w:val="18"/>
      <w:lang w:val="en-GB"/>
    </w:rPr>
  </w:style>
  <w:style w:type="paragraph" w:customStyle="1" w:styleId="Marginalnote">
    <w:name w:val="Marginal note"/>
    <w:basedOn w:val="Normal"/>
    <w:qFormat/>
    <w:pPr>
      <w:framePr w:w="1418" w:wrap="around" w:vAnchor="text" w:hAnchor="text" w:x="8194" w:y="41"/>
      <w:spacing w:line="195" w:lineRule="atLeast"/>
    </w:pPr>
    <w:rPr>
      <w:sz w:val="15"/>
    </w:rPr>
  </w:style>
  <w:style w:type="character" w:customStyle="1" w:styleId="Heading2Char">
    <w:name w:val="Heading 2 Char"/>
    <w:link w:val="Heading2"/>
    <w:uiPriority w:val="9"/>
    <w:rPr>
      <w:b/>
      <w:sz w:val="18"/>
      <w:lang w:val="en-GB"/>
    </w:rPr>
  </w:style>
  <w:style w:type="paragraph" w:customStyle="1" w:styleId="Contact">
    <w:name w:val="Contact"/>
    <w:basedOn w:val="Normal"/>
    <w:qFormat/>
    <w:pPr>
      <w:tabs>
        <w:tab w:val="left" w:pos="4111"/>
      </w:tabs>
      <w:spacing w:line="210" w:lineRule="atLeast"/>
    </w:pPr>
    <w:rPr>
      <w:sz w:val="15"/>
    </w:rPr>
  </w:style>
  <w:style w:type="character" w:styleId="Hyperlink">
    <w:name w:val="Hyperlink"/>
    <w:uiPriority w:val="99"/>
    <w:unhideWhenUsed/>
    <w:rPr>
      <w:color w:val="000000"/>
      <w:u w:val="single"/>
    </w:rPr>
  </w:style>
  <w:style w:type="paragraph" w:customStyle="1" w:styleId="Embargo">
    <w:name w:val="Embargo"/>
    <w:basedOn w:val="Normal"/>
    <w:qFormat/>
    <w:pPr>
      <w:spacing w:after="240"/>
    </w:pPr>
    <w:rPr>
      <w:b/>
      <w:color w:val="FF0A14"/>
    </w:rPr>
  </w:style>
  <w:style w:type="paragraph" w:styleId="Caption">
    <w:name w:val="caption"/>
    <w:basedOn w:val="Normal"/>
    <w:next w:val="Normal"/>
    <w:uiPriority w:val="35"/>
    <w:qFormat/>
    <w:pPr>
      <w:spacing w:line="210" w:lineRule="atLeast"/>
    </w:pPr>
    <w:rPr>
      <w:sz w:val="15"/>
    </w:rPr>
  </w:style>
  <w:style w:type="paragraph" w:customStyle="1" w:styleId="About">
    <w:name w:val="About"/>
    <w:basedOn w:val="Normal"/>
    <w:qFormat/>
    <w:pPr>
      <w:spacing w:line="240" w:lineRule="auto"/>
    </w:pPr>
  </w:style>
  <w:style w:type="character" w:styleId="CommentReference">
    <w:name w:val="annotation reference"/>
    <w:rPr>
      <w:sz w:val="16"/>
      <w:szCs w:val="16"/>
    </w:rPr>
  </w:style>
  <w:style w:type="paragraph" w:styleId="CommentText">
    <w:name w:val="annotation text"/>
    <w:basedOn w:val="Normal"/>
    <w:link w:val="CommentTextChar"/>
    <w:rPr>
      <w:lang w:val="x-none"/>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alloonText">
    <w:name w:val="Balloon Text"/>
    <w:basedOn w:val="Normal"/>
    <w:link w:val="BalloonTextChar"/>
    <w:pPr>
      <w:spacing w:line="240" w:lineRule="auto"/>
    </w:pPr>
    <w:rPr>
      <w:rFonts w:ascii="Arial" w:hAnsi="Arial"/>
      <w:szCs w:val="18"/>
      <w:lang w:val="x-none"/>
    </w:rPr>
  </w:style>
  <w:style w:type="character" w:customStyle="1" w:styleId="BalloonTextChar">
    <w:name w:val="Balloon Text Char"/>
    <w:link w:val="BalloonText"/>
    <w:rPr>
      <w:rFonts w:ascii="Arial" w:hAnsi="Arial" w:cs="Segoe UI"/>
      <w:sz w:val="18"/>
      <w:szCs w:val="18"/>
      <w:lang w:eastAsia="en-US"/>
    </w:rPr>
  </w:style>
  <w:style w:type="character" w:styleId="FollowedHyperlink">
    <w:name w:val="FollowedHyperlink"/>
    <w:semiHidden/>
    <w:unhideWhenUsed/>
    <w:rPr>
      <w:color w:val="000000"/>
      <w:u w:val="single"/>
    </w:rPr>
  </w:style>
  <w:style w:type="paragraph" w:customStyle="1" w:styleId="NeumannTabelle9pt">
    <w:name w:val="Neumann Tabelle 9 pt"/>
    <w:basedOn w:val="Normal"/>
    <w:pPr>
      <w:spacing w:line="240" w:lineRule="auto"/>
    </w:pPr>
    <w:rPr>
      <w:rFonts w:ascii="Avenir Next Condensed Regular" w:eastAsia="ＭＳ 明朝" w:hAnsi="Avenir Next Condensed Regular"/>
      <w:sz w:val="18"/>
      <w:szCs w:val="18"/>
      <w:lang w:val="en-US"/>
    </w:rPr>
  </w:style>
  <w:style w:type="character" w:customStyle="1" w:styleId="apple-converted-space">
    <w:name w:val="apple-converted-space"/>
    <w:basedOn w:val="DefaultParagraphFont"/>
  </w:style>
  <w:style w:type="paragraph" w:customStyle="1" w:styleId="p1">
    <w:name w:val="p1"/>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NichtaufgelsteErwhnung1">
    <w:name w:val="Nicht aufgelöste Erwähnung1"/>
    <w:rPr>
      <w:color w:val="605E5C"/>
      <w:shd w:val="clear" w:color="auto" w:fill="E1DFDD"/>
    </w:rPr>
  </w:style>
  <w:style w:type="paragraph" w:customStyle="1" w:styleId="BildunterschriftHau">
    <w:name w:val="Bildunterschrift Hau"/>
    <w:basedOn w:val="Normal"/>
    <w:pPr>
      <w:spacing w:line="240" w:lineRule="auto"/>
    </w:pPr>
    <w:rPr>
      <w:rFonts w:ascii="Arial Narrow" w:eastAsia="ＭＳ 明朝" w:hAnsi="Arial Narrow"/>
      <w:b/>
      <w:szCs w:val="24"/>
    </w:rPr>
  </w:style>
  <w:style w:type="paragraph" w:styleId="ListParagraph">
    <w:name w:val="List Paragraph"/>
    <w:basedOn w:val="Normal"/>
    <w:uiPriority w:val="34"/>
    <w:qFormat/>
    <w:pPr>
      <w:ind w:left="720"/>
      <w:contextualSpacing/>
    </w:pPr>
  </w:style>
  <w:style w:type="character" w:customStyle="1" w:styleId="1">
    <w:name w:val="未解決のメンション1"/>
    <w:uiPriority w:val="99"/>
    <w:semiHidden/>
    <w:unhideWhenUsed/>
    <w:rPr>
      <w:color w:val="605E5C"/>
      <w:shd w:val="clear" w:color="auto" w:fill="E1DFDD"/>
    </w:rPr>
  </w:style>
  <w:style w:type="paragraph" w:styleId="Revision">
    <w:name w:val="Revision"/>
    <w:hidden/>
    <w:semiHidden/>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49526941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006786725">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454209258">
      <w:bodyDiv w:val="1"/>
      <w:marLeft w:val="0"/>
      <w:marRight w:val="0"/>
      <w:marTop w:val="0"/>
      <w:marBottom w:val="0"/>
      <w:divBdr>
        <w:top w:val="none" w:sz="0" w:space="0" w:color="auto"/>
        <w:left w:val="none" w:sz="0" w:space="0" w:color="auto"/>
        <w:bottom w:val="none" w:sz="0" w:space="0" w:color="auto"/>
        <w:right w:val="none" w:sz="0" w:space="0" w:color="auto"/>
      </w:divBdr>
    </w:div>
    <w:div w:id="1471244154">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666086997">
      <w:bodyDiv w:val="1"/>
      <w:marLeft w:val="0"/>
      <w:marRight w:val="0"/>
      <w:marTop w:val="0"/>
      <w:marBottom w:val="0"/>
      <w:divBdr>
        <w:top w:val="none" w:sz="0" w:space="0" w:color="auto"/>
        <w:left w:val="none" w:sz="0" w:space="0" w:color="auto"/>
        <w:bottom w:val="none" w:sz="0" w:space="0" w:color="auto"/>
        <w:right w:val="none" w:sz="0" w:space="0" w:color="auto"/>
      </w:divBdr>
    </w:div>
    <w:div w:id="1757630988">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 w:id="214415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4" ma:contentTypeDescription="Create a new document." ma:contentTypeScope="" ma:versionID="69519bb38c0c29492f5efa0b7f5c12b1">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c893543534295f11f3cd3e7564bb3682"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5b53d1-3ee2-496c-b7ed-69a8683de030}"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e5b64-9eed-4a48-b14c-1c28240562d1">
      <Terms xmlns="http://schemas.microsoft.com/office/infopath/2007/PartnerControls"/>
    </lcf76f155ced4ddcb4097134ff3c332f>
    <TaxCatchAll xmlns="ef733840-a030-407a-81fd-8542cf7176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FA3BB-2E80-4453-9421-3604CF1E8D27}">
  <ds:schemaRefs>
    <ds:schemaRef ds:uri="http://schemas.openxmlformats.org/officeDocument/2006/bibliography"/>
  </ds:schemaRefs>
</ds:datastoreItem>
</file>

<file path=customXml/itemProps2.xml><?xml version="1.0" encoding="utf-8"?>
<ds:datastoreItem xmlns:ds="http://schemas.openxmlformats.org/officeDocument/2006/customXml" ds:itemID="{FD8DACD9-14AF-4DF0-A11C-BE33D2D8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9BFD8-E27F-4B1D-B1AE-8FEB68404CB0}">
  <ds:schemaRefs>
    <ds:schemaRef ds:uri="http://schemas.microsoft.com/office/2006/metadata/properties"/>
    <ds:schemaRef ds:uri="http://schemas.microsoft.com/office/infopath/2007/PartnerControls"/>
    <ds:schemaRef ds:uri="4f0e5b64-9eed-4a48-b14c-1c28240562d1"/>
    <ds:schemaRef ds:uri="ef733840-a030-407a-81fd-8542cf71766b"/>
  </ds:schemaRefs>
</ds:datastoreItem>
</file>

<file path=customXml/itemProps4.xml><?xml version="1.0" encoding="utf-8"?>
<ds:datastoreItem xmlns:ds="http://schemas.openxmlformats.org/officeDocument/2006/customXml" ds:itemID="{658A8B1D-3AE9-4E2C-A21D-580CC74F3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432</Words>
  <Characters>2465</Characters>
  <Application>Microsoft Office Word</Application>
  <DocSecurity>0</DocSecurity>
  <Lines>20</Lines>
  <Paragraphs>5</Paragraphs>
  <ScaleCrop>false</ScaleCrop>
  <Company>Sennheiser electronic GmbH &amp; Co. KG</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Nagatomi, Teruishi</cp:lastModifiedBy>
  <cp:revision>11</cp:revision>
  <cp:lastPrinted>2022-07-06T06:24:00Z</cp:lastPrinted>
  <dcterms:created xsi:type="dcterms:W3CDTF">2022-07-07T01:15:00Z</dcterms:created>
  <dcterms:modified xsi:type="dcterms:W3CDTF">2024-03-18T07:50:00Z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