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04BC8" w14:textId="77777777" w:rsidR="009D3206" w:rsidRPr="002B6E13" w:rsidRDefault="009D3206" w:rsidP="009D3206">
      <w:pPr>
        <w:pStyle w:val="Koptekst"/>
        <w:tabs>
          <w:tab w:val="clear" w:pos="4320"/>
          <w:tab w:val="clear" w:pos="8640"/>
        </w:tabs>
        <w:spacing w:line="360" w:lineRule="auto"/>
        <w:ind w:right="-180"/>
        <w:jc w:val="center"/>
        <w:rPr>
          <w:rFonts w:ascii="Calibri" w:eastAsia="SimSun" w:hAnsi="Calibri"/>
          <w:b/>
          <w:kern w:val="1"/>
          <w:sz w:val="28"/>
          <w:szCs w:val="28"/>
          <w:lang w:val="fr-FR" w:eastAsia="zh-CN" w:bidi="hi-IN"/>
        </w:rPr>
      </w:pPr>
      <w:proofErr w:type="spellStart"/>
      <w:r w:rsidRPr="002B6E13">
        <w:rPr>
          <w:rFonts w:ascii="Calibri" w:eastAsia="SimSun" w:hAnsi="Calibri"/>
          <w:b/>
          <w:kern w:val="1"/>
          <w:sz w:val="28"/>
          <w:szCs w:val="28"/>
          <w:lang w:val="fr-FR" w:eastAsia="zh-CN" w:bidi="hi-IN"/>
        </w:rPr>
        <w:t>Sophos</w:t>
      </w:r>
      <w:proofErr w:type="spellEnd"/>
      <w:r w:rsidRPr="002B6E13">
        <w:rPr>
          <w:rFonts w:ascii="Calibri" w:eastAsia="SimSun" w:hAnsi="Calibri"/>
          <w:b/>
          <w:kern w:val="1"/>
          <w:sz w:val="28"/>
          <w:szCs w:val="28"/>
          <w:lang w:val="fr-FR" w:eastAsia="zh-CN" w:bidi="hi-IN"/>
        </w:rPr>
        <w:t xml:space="preserve"> est salué comme Leader dans un rapport sur les Suites de Sécurité </w:t>
      </w:r>
      <w:proofErr w:type="spellStart"/>
      <w:r w:rsidRPr="002B6E13">
        <w:rPr>
          <w:rFonts w:ascii="Calibri" w:eastAsia="SimSun" w:hAnsi="Calibri"/>
          <w:b/>
          <w:kern w:val="1"/>
          <w:sz w:val="28"/>
          <w:szCs w:val="28"/>
          <w:lang w:val="fr-FR" w:eastAsia="zh-CN" w:bidi="hi-IN"/>
        </w:rPr>
        <w:t>Endpoint</w:t>
      </w:r>
      <w:proofErr w:type="spellEnd"/>
      <w:r w:rsidRPr="002B6E13">
        <w:rPr>
          <w:rFonts w:ascii="Calibri" w:eastAsia="SimSun" w:hAnsi="Calibri"/>
          <w:b/>
          <w:kern w:val="1"/>
          <w:sz w:val="28"/>
          <w:szCs w:val="28"/>
          <w:lang w:val="fr-FR" w:eastAsia="zh-CN" w:bidi="hi-IN"/>
        </w:rPr>
        <w:t xml:space="preserve"> par un analyste majeur du marché</w:t>
      </w:r>
    </w:p>
    <w:p w14:paraId="42681A30" w14:textId="77777777" w:rsidR="009D3206" w:rsidRPr="002B6E13" w:rsidRDefault="009D3206" w:rsidP="009D3206">
      <w:pPr>
        <w:pStyle w:val="Koptekst"/>
        <w:tabs>
          <w:tab w:val="clear" w:pos="4320"/>
          <w:tab w:val="clear" w:pos="8640"/>
        </w:tabs>
        <w:spacing w:line="360" w:lineRule="auto"/>
        <w:ind w:right="-180"/>
        <w:jc w:val="center"/>
        <w:rPr>
          <w:rFonts w:ascii="Calibri" w:eastAsia="SimSun" w:hAnsi="Calibri"/>
          <w:i/>
          <w:kern w:val="1"/>
          <w:sz w:val="24"/>
          <w:szCs w:val="24"/>
          <w:lang w:val="fr-FR" w:eastAsia="zh-CN" w:bidi="hi-IN"/>
        </w:rPr>
      </w:pPr>
      <w:proofErr w:type="spellStart"/>
      <w:r w:rsidRPr="002B6E13">
        <w:rPr>
          <w:rFonts w:ascii="Calibri" w:eastAsia="SimSun" w:hAnsi="Calibri"/>
          <w:i/>
          <w:kern w:val="1"/>
          <w:sz w:val="24"/>
          <w:szCs w:val="24"/>
          <w:lang w:val="fr-FR" w:eastAsia="zh-CN" w:bidi="hi-IN"/>
        </w:rPr>
        <w:t>Sophos</w:t>
      </w:r>
      <w:proofErr w:type="spellEnd"/>
      <w:r w:rsidRPr="002B6E13">
        <w:rPr>
          <w:rFonts w:ascii="Calibri" w:eastAsia="SimSun" w:hAnsi="Calibri"/>
          <w:i/>
          <w:kern w:val="1"/>
          <w:sz w:val="24"/>
          <w:szCs w:val="24"/>
          <w:lang w:val="fr-FR" w:eastAsia="zh-CN" w:bidi="hi-IN"/>
        </w:rPr>
        <w:t xml:space="preserve"> a reçu la note la plus élevée dans la catégorie Stratégie</w:t>
      </w:r>
    </w:p>
    <w:p w14:paraId="2EC177CF" w14:textId="77777777" w:rsidR="009D3206" w:rsidRPr="002B6E13" w:rsidRDefault="009D3206" w:rsidP="009D3206">
      <w:pPr>
        <w:pStyle w:val="Koptekst"/>
        <w:tabs>
          <w:tab w:val="clear" w:pos="4320"/>
          <w:tab w:val="clear" w:pos="8640"/>
        </w:tabs>
        <w:spacing w:line="360" w:lineRule="auto"/>
        <w:ind w:right="-180"/>
        <w:rPr>
          <w:rFonts w:ascii="Calibri" w:hAnsi="Calibri"/>
          <w:sz w:val="22"/>
          <w:szCs w:val="22"/>
          <w:lang w:val="fr-FR"/>
        </w:rPr>
      </w:pPr>
    </w:p>
    <w:p w14:paraId="4F1E07E8" w14:textId="77777777" w:rsidR="009D3206" w:rsidRPr="00FE69C6" w:rsidRDefault="009D3206" w:rsidP="009D3206">
      <w:pPr>
        <w:spacing w:line="360" w:lineRule="auto"/>
        <w:ind w:right="-180"/>
        <w:rPr>
          <w:sz w:val="20"/>
          <w:szCs w:val="20"/>
          <w:lang w:val="fr-FR"/>
        </w:rPr>
      </w:pPr>
      <w:r w:rsidRPr="00FE69C6">
        <w:rPr>
          <w:b/>
          <w:sz w:val="20"/>
          <w:szCs w:val="20"/>
          <w:lang w:val="fr-FR"/>
        </w:rPr>
        <w:t>Bruxelles – le 21 octobre 2016 –</w:t>
      </w:r>
      <w:r w:rsidRPr="00FE69C6">
        <w:rPr>
          <w:sz w:val="20"/>
          <w:szCs w:val="20"/>
          <w:lang w:val="fr-FR"/>
        </w:rPr>
        <w:t xml:space="preserve"> </w:t>
      </w:r>
      <w:hyperlink r:id="rId5" w:history="1">
        <w:proofErr w:type="spellStart"/>
        <w:r w:rsidRPr="00FE69C6">
          <w:rPr>
            <w:rStyle w:val="Hyperlink"/>
            <w:sz w:val="20"/>
            <w:szCs w:val="20"/>
            <w:lang w:val="fr-FR"/>
          </w:rPr>
          <w:t>Sophos</w:t>
        </w:r>
        <w:proofErr w:type="spellEnd"/>
      </w:hyperlink>
      <w:r w:rsidRPr="00FE69C6">
        <w:rPr>
          <w:sz w:val="20"/>
          <w:szCs w:val="20"/>
          <w:lang w:val="fr-FR"/>
        </w:rPr>
        <w:t xml:space="preserve"> (LSE: SOPH) annonce aujourd’hui sa position de Leader dans le nouveau rapport « The </w:t>
      </w:r>
      <w:proofErr w:type="spellStart"/>
      <w:r w:rsidRPr="00FE69C6">
        <w:rPr>
          <w:sz w:val="20"/>
          <w:szCs w:val="20"/>
          <w:lang w:val="fr-FR"/>
        </w:rPr>
        <w:t>Forrester</w:t>
      </w:r>
      <w:proofErr w:type="spellEnd"/>
      <w:r w:rsidRPr="00FE69C6">
        <w:rPr>
          <w:sz w:val="20"/>
          <w:szCs w:val="20"/>
          <w:lang w:val="fr-FR"/>
        </w:rPr>
        <w:t xml:space="preserve"> </w:t>
      </w:r>
      <w:proofErr w:type="spellStart"/>
      <w:r w:rsidRPr="00FE69C6">
        <w:rPr>
          <w:sz w:val="20"/>
          <w:szCs w:val="20"/>
          <w:lang w:val="fr-FR"/>
        </w:rPr>
        <w:t>Wave</w:t>
      </w:r>
      <w:proofErr w:type="spellEnd"/>
      <w:r w:rsidRPr="00FE69C6">
        <w:rPr>
          <w:sz w:val="20"/>
          <w:szCs w:val="20"/>
          <w:lang w:val="fr-FR"/>
        </w:rPr>
        <w:t xml:space="preserve">™: </w:t>
      </w:r>
      <w:proofErr w:type="spellStart"/>
      <w:r w:rsidRPr="00FE69C6">
        <w:rPr>
          <w:sz w:val="20"/>
          <w:szCs w:val="20"/>
          <w:lang w:val="fr-FR"/>
        </w:rPr>
        <w:t>Endpoint</w:t>
      </w:r>
      <w:proofErr w:type="spellEnd"/>
      <w:r w:rsidRPr="00FE69C6">
        <w:rPr>
          <w:sz w:val="20"/>
          <w:szCs w:val="20"/>
          <w:lang w:val="fr-FR"/>
        </w:rPr>
        <w:t xml:space="preserve"> Security Suites, Q4 2016 » du cabinet d’analystes </w:t>
      </w:r>
      <w:hyperlink r:id="rId6" w:history="1">
        <w:proofErr w:type="spellStart"/>
        <w:r w:rsidRPr="00FE69C6">
          <w:rPr>
            <w:rStyle w:val="Hyperlink"/>
            <w:sz w:val="20"/>
            <w:szCs w:val="20"/>
            <w:lang w:val="fr-FR"/>
          </w:rPr>
          <w:t>Forrester</w:t>
        </w:r>
        <w:proofErr w:type="spellEnd"/>
        <w:r w:rsidRPr="00FE69C6">
          <w:rPr>
            <w:rStyle w:val="Hyperlink"/>
            <w:sz w:val="20"/>
            <w:szCs w:val="20"/>
            <w:lang w:val="fr-FR"/>
          </w:rPr>
          <w:t xml:space="preserve"> </w:t>
        </w:r>
        <w:proofErr w:type="spellStart"/>
        <w:r w:rsidRPr="00FE69C6">
          <w:rPr>
            <w:rStyle w:val="Hyperlink"/>
            <w:sz w:val="20"/>
            <w:szCs w:val="20"/>
            <w:lang w:val="fr-FR"/>
          </w:rPr>
          <w:t>Research</w:t>
        </w:r>
        <w:proofErr w:type="spellEnd"/>
      </w:hyperlink>
      <w:r w:rsidRPr="00FE69C6">
        <w:rPr>
          <w:sz w:val="20"/>
          <w:szCs w:val="20"/>
          <w:lang w:val="fr-FR"/>
        </w:rPr>
        <w:t xml:space="preserve">, Inc. En saluant la meilleure note obtenue par </w:t>
      </w:r>
      <w:proofErr w:type="spellStart"/>
      <w:r w:rsidRPr="00FE69C6">
        <w:rPr>
          <w:sz w:val="20"/>
          <w:szCs w:val="20"/>
          <w:lang w:val="fr-FR"/>
        </w:rPr>
        <w:t>Sophos</w:t>
      </w:r>
      <w:proofErr w:type="spellEnd"/>
      <w:r w:rsidRPr="00FE69C6">
        <w:rPr>
          <w:sz w:val="20"/>
          <w:szCs w:val="20"/>
          <w:lang w:val="fr-FR"/>
        </w:rPr>
        <w:t xml:space="preserve"> dans la catégorie Stratégie, </w:t>
      </w:r>
      <w:proofErr w:type="spellStart"/>
      <w:r w:rsidRPr="00FE69C6">
        <w:rPr>
          <w:sz w:val="20"/>
          <w:szCs w:val="20"/>
          <w:lang w:val="fr-FR"/>
        </w:rPr>
        <w:t>Forrester</w:t>
      </w:r>
      <w:proofErr w:type="spellEnd"/>
      <w:r w:rsidRPr="00FE69C6">
        <w:rPr>
          <w:sz w:val="20"/>
          <w:szCs w:val="20"/>
          <w:lang w:val="fr-FR"/>
        </w:rPr>
        <w:t xml:space="preserve"> met en avant la solution </w:t>
      </w:r>
      <w:proofErr w:type="spellStart"/>
      <w:r w:rsidRPr="00FE69C6">
        <w:rPr>
          <w:sz w:val="20"/>
          <w:szCs w:val="20"/>
          <w:lang w:val="fr-FR"/>
        </w:rPr>
        <w:t>Sophos</w:t>
      </w:r>
      <w:proofErr w:type="spellEnd"/>
      <w:r w:rsidRPr="00FE69C6">
        <w:rPr>
          <w:sz w:val="20"/>
          <w:szCs w:val="20"/>
          <w:lang w:val="fr-FR"/>
        </w:rPr>
        <w:t xml:space="preserve"> </w:t>
      </w:r>
      <w:proofErr w:type="spellStart"/>
      <w:r w:rsidRPr="00FE69C6">
        <w:rPr>
          <w:sz w:val="20"/>
          <w:szCs w:val="20"/>
          <w:lang w:val="fr-FR"/>
        </w:rPr>
        <w:t>Endpoint</w:t>
      </w:r>
      <w:proofErr w:type="spellEnd"/>
      <w:r w:rsidRPr="00FE69C6">
        <w:rPr>
          <w:sz w:val="20"/>
          <w:szCs w:val="20"/>
          <w:lang w:val="fr-FR"/>
        </w:rPr>
        <w:t xml:space="preserve"> Protection comme étant « la suite de sécurité </w:t>
      </w:r>
      <w:proofErr w:type="spellStart"/>
      <w:r w:rsidRPr="00FE69C6">
        <w:rPr>
          <w:sz w:val="20"/>
          <w:szCs w:val="20"/>
          <w:lang w:val="fr-FR"/>
        </w:rPr>
        <w:t>Endpoint</w:t>
      </w:r>
      <w:proofErr w:type="spellEnd"/>
      <w:r w:rsidRPr="00FE69C6">
        <w:rPr>
          <w:sz w:val="20"/>
          <w:szCs w:val="20"/>
          <w:lang w:val="fr-FR"/>
        </w:rPr>
        <w:t xml:space="preserve"> en mode </w:t>
      </w:r>
      <w:proofErr w:type="spellStart"/>
      <w:r w:rsidRPr="00FE69C6">
        <w:rPr>
          <w:sz w:val="20"/>
          <w:szCs w:val="20"/>
          <w:lang w:val="fr-FR"/>
        </w:rPr>
        <w:t>SaaS</w:t>
      </w:r>
      <w:proofErr w:type="spellEnd"/>
      <w:r w:rsidRPr="00FE69C6">
        <w:rPr>
          <w:sz w:val="20"/>
          <w:szCs w:val="20"/>
          <w:lang w:val="fr-FR"/>
        </w:rPr>
        <w:t xml:space="preserve"> la mieux conçue pour les entreprises ». Le rapport mentionne que les « clients apprécieront son interface intuitive ainsi que sa flexibilité et son extensibilité, adaptées pour la plupart des déploiements d’entreprises, petites ou grandes. » </w:t>
      </w:r>
    </w:p>
    <w:p w14:paraId="4E22229A" w14:textId="77777777" w:rsidR="009D3206" w:rsidRPr="00FE69C6" w:rsidRDefault="009D3206" w:rsidP="009D3206">
      <w:pPr>
        <w:spacing w:line="360" w:lineRule="auto"/>
        <w:ind w:right="-180"/>
        <w:rPr>
          <w:sz w:val="20"/>
          <w:szCs w:val="20"/>
          <w:lang w:val="fr-FR"/>
        </w:rPr>
      </w:pPr>
      <w:proofErr w:type="spellStart"/>
      <w:r w:rsidRPr="00FE69C6">
        <w:rPr>
          <w:sz w:val="20"/>
          <w:szCs w:val="20"/>
          <w:lang w:val="fr-FR"/>
        </w:rPr>
        <w:t>Forrester</w:t>
      </w:r>
      <w:proofErr w:type="spellEnd"/>
      <w:r w:rsidRPr="00FE69C6">
        <w:rPr>
          <w:sz w:val="20"/>
          <w:szCs w:val="20"/>
          <w:lang w:val="fr-FR"/>
        </w:rPr>
        <w:t xml:space="preserve"> a évalué 15 éditeurs selon 25 critères et regroupé leurs capacités en trois classes de besoins : prévention des attaques, détection et remédiation.  Le rapport recommande aux clients d’examiner tout particulièrement les capacités suivantes avant d’acheter une solution :</w:t>
      </w:r>
    </w:p>
    <w:p w14:paraId="0E964730" w14:textId="77777777" w:rsidR="009D3206" w:rsidRPr="00FE69C6" w:rsidRDefault="009D3206" w:rsidP="009D3206">
      <w:pPr>
        <w:pStyle w:val="Lijstalinea"/>
        <w:numPr>
          <w:ilvl w:val="0"/>
          <w:numId w:val="1"/>
        </w:numPr>
        <w:spacing w:line="360" w:lineRule="auto"/>
        <w:ind w:right="-180"/>
        <w:rPr>
          <w:sz w:val="20"/>
          <w:szCs w:val="20"/>
          <w:lang w:val="fr-FR"/>
        </w:rPr>
      </w:pPr>
      <w:r w:rsidRPr="00FE69C6">
        <w:rPr>
          <w:sz w:val="20"/>
          <w:szCs w:val="20"/>
          <w:lang w:val="fr-FR"/>
        </w:rPr>
        <w:t>Prévention de l’exécution des malwares et des Exploits</w:t>
      </w:r>
    </w:p>
    <w:p w14:paraId="3635BCBA" w14:textId="77777777" w:rsidR="009D3206" w:rsidRPr="00FE69C6" w:rsidRDefault="009D3206" w:rsidP="009D3206">
      <w:pPr>
        <w:pStyle w:val="Lijstalinea"/>
        <w:numPr>
          <w:ilvl w:val="0"/>
          <w:numId w:val="1"/>
        </w:numPr>
        <w:spacing w:line="360" w:lineRule="auto"/>
        <w:ind w:right="-180"/>
        <w:rPr>
          <w:sz w:val="20"/>
          <w:szCs w:val="20"/>
          <w:lang w:val="fr-FR"/>
        </w:rPr>
      </w:pPr>
      <w:r w:rsidRPr="00FE69C6">
        <w:rPr>
          <w:sz w:val="20"/>
          <w:szCs w:val="20"/>
          <w:lang w:val="fr-FR"/>
        </w:rPr>
        <w:t>Détection des activités malveillantes après le début d’exécution</w:t>
      </w:r>
    </w:p>
    <w:p w14:paraId="4695FF91" w14:textId="77777777" w:rsidR="009D3206" w:rsidRPr="00FE69C6" w:rsidRDefault="009D3206" w:rsidP="009D3206">
      <w:pPr>
        <w:pStyle w:val="Lijstalinea"/>
        <w:numPr>
          <w:ilvl w:val="0"/>
          <w:numId w:val="1"/>
        </w:numPr>
        <w:spacing w:line="360" w:lineRule="auto"/>
        <w:ind w:right="-180"/>
        <w:rPr>
          <w:sz w:val="20"/>
          <w:szCs w:val="20"/>
          <w:lang w:val="fr-FR"/>
        </w:rPr>
      </w:pPr>
      <w:r w:rsidRPr="00FE69C6">
        <w:rPr>
          <w:sz w:val="20"/>
          <w:szCs w:val="20"/>
          <w:lang w:val="fr-FR"/>
        </w:rPr>
        <w:t>Remédiation des activités malveillantes et des vulnérabilités potentielles</w:t>
      </w:r>
    </w:p>
    <w:p w14:paraId="037A28E8" w14:textId="77777777" w:rsidR="009D3206" w:rsidRPr="00FE69C6" w:rsidRDefault="009D3206" w:rsidP="009D3206">
      <w:pPr>
        <w:spacing w:line="360" w:lineRule="auto"/>
        <w:ind w:right="-180"/>
        <w:rPr>
          <w:sz w:val="20"/>
          <w:szCs w:val="20"/>
          <w:lang w:val="fr-FR"/>
        </w:rPr>
      </w:pPr>
      <w:r w:rsidRPr="00FE69C6">
        <w:rPr>
          <w:sz w:val="20"/>
          <w:szCs w:val="20"/>
          <w:lang w:val="fr-FR"/>
        </w:rPr>
        <w:t>Le rapport inclut les éditeurs dont les produits répondent aux exigences ci-dessus, qui font preuve d’une présence significative sur le marché et qui suscitent un intérêt fort des entreprises pour leurs solutions.</w:t>
      </w:r>
    </w:p>
    <w:p w14:paraId="00800DD9" w14:textId="77777777" w:rsidR="009D3206" w:rsidRPr="00FE69C6" w:rsidRDefault="009D3206" w:rsidP="009D3206">
      <w:pPr>
        <w:spacing w:line="360" w:lineRule="auto"/>
        <w:ind w:right="-180"/>
        <w:rPr>
          <w:sz w:val="20"/>
          <w:szCs w:val="20"/>
          <w:lang w:val="fr-FR"/>
        </w:rPr>
      </w:pPr>
      <w:r w:rsidRPr="00FE69C6">
        <w:rPr>
          <w:sz w:val="20"/>
          <w:szCs w:val="20"/>
          <w:lang w:val="fr-FR"/>
        </w:rPr>
        <w:t xml:space="preserve">Dans son rapport, </w:t>
      </w:r>
      <w:proofErr w:type="spellStart"/>
      <w:r w:rsidRPr="00FE69C6">
        <w:rPr>
          <w:sz w:val="20"/>
          <w:szCs w:val="20"/>
          <w:lang w:val="fr-FR"/>
        </w:rPr>
        <w:t>Forrester</w:t>
      </w:r>
      <w:proofErr w:type="spellEnd"/>
      <w:r w:rsidRPr="00FE69C6">
        <w:rPr>
          <w:sz w:val="20"/>
          <w:szCs w:val="20"/>
          <w:lang w:val="fr-FR"/>
        </w:rPr>
        <w:t xml:space="preserve"> évalue également la stratégie des éditeurs. Dans cette catégorie, </w:t>
      </w:r>
      <w:proofErr w:type="spellStart"/>
      <w:r w:rsidRPr="00FE69C6">
        <w:rPr>
          <w:sz w:val="20"/>
          <w:szCs w:val="20"/>
          <w:lang w:val="fr-FR"/>
        </w:rPr>
        <w:t>Sophos</w:t>
      </w:r>
      <w:proofErr w:type="spellEnd"/>
      <w:r w:rsidRPr="00FE69C6">
        <w:rPr>
          <w:sz w:val="20"/>
          <w:szCs w:val="20"/>
          <w:lang w:val="fr-FR"/>
        </w:rPr>
        <w:t xml:space="preserve"> s’est vu décerner la note la plus élevée, attribuée au regard de sa roadmap produit, son modèle de coût et de licence et sa stratégie de commercialisation. Le rapport de </w:t>
      </w:r>
      <w:proofErr w:type="spellStart"/>
      <w:r w:rsidRPr="00FE69C6">
        <w:rPr>
          <w:sz w:val="20"/>
          <w:szCs w:val="20"/>
          <w:lang w:val="fr-FR"/>
        </w:rPr>
        <w:t>Forrester</w:t>
      </w:r>
      <w:proofErr w:type="spellEnd"/>
      <w:r w:rsidRPr="00FE69C6">
        <w:rPr>
          <w:sz w:val="20"/>
          <w:szCs w:val="20"/>
          <w:lang w:val="fr-FR"/>
        </w:rPr>
        <w:t xml:space="preserve"> mentionne : « Dans un marché où se bousculent des technologies </w:t>
      </w:r>
      <w:proofErr w:type="spellStart"/>
      <w:r w:rsidRPr="00FE69C6">
        <w:rPr>
          <w:sz w:val="20"/>
          <w:szCs w:val="20"/>
          <w:lang w:val="fr-FR"/>
        </w:rPr>
        <w:t>Endpoint</w:t>
      </w:r>
      <w:proofErr w:type="spellEnd"/>
      <w:r w:rsidRPr="00FE69C6">
        <w:rPr>
          <w:sz w:val="20"/>
          <w:szCs w:val="20"/>
          <w:lang w:val="fr-FR"/>
        </w:rPr>
        <w:t xml:space="preserve"> aussi bien nouvelles que classiques, la roadmap de </w:t>
      </w:r>
      <w:proofErr w:type="spellStart"/>
      <w:r w:rsidRPr="00FE69C6">
        <w:rPr>
          <w:sz w:val="20"/>
          <w:szCs w:val="20"/>
          <w:lang w:val="fr-FR"/>
        </w:rPr>
        <w:t>Sophos</w:t>
      </w:r>
      <w:proofErr w:type="spellEnd"/>
      <w:r w:rsidRPr="00FE69C6">
        <w:rPr>
          <w:sz w:val="20"/>
          <w:szCs w:val="20"/>
          <w:lang w:val="fr-FR"/>
        </w:rPr>
        <w:t xml:space="preserve"> pour développer de </w:t>
      </w:r>
      <w:proofErr w:type="gramStart"/>
      <w:r w:rsidRPr="00FE69C6">
        <w:rPr>
          <w:sz w:val="20"/>
          <w:szCs w:val="20"/>
          <w:lang w:val="fr-FR"/>
        </w:rPr>
        <w:t>fortes  capacités</w:t>
      </w:r>
      <w:proofErr w:type="gramEnd"/>
      <w:r w:rsidRPr="00FE69C6">
        <w:rPr>
          <w:sz w:val="20"/>
          <w:szCs w:val="20"/>
          <w:lang w:val="fr-FR"/>
        </w:rPr>
        <w:t xml:space="preserve"> de prévention et de détection sans signature … devraient rendre le produit hautement compétitif sur le long terme. »  </w:t>
      </w:r>
    </w:p>
    <w:p w14:paraId="4B9FEED6" w14:textId="77777777" w:rsidR="009D3206" w:rsidRPr="00FE69C6" w:rsidRDefault="009D3206" w:rsidP="009D3206">
      <w:pPr>
        <w:spacing w:line="360" w:lineRule="auto"/>
        <w:ind w:right="-180"/>
        <w:rPr>
          <w:sz w:val="20"/>
          <w:szCs w:val="20"/>
          <w:lang w:val="fr-FR"/>
        </w:rPr>
      </w:pPr>
      <w:proofErr w:type="spellStart"/>
      <w:r w:rsidRPr="00FE69C6">
        <w:rPr>
          <w:sz w:val="20"/>
          <w:szCs w:val="20"/>
          <w:lang w:val="fr-FR"/>
        </w:rPr>
        <w:t>Sophos</w:t>
      </w:r>
      <w:proofErr w:type="spellEnd"/>
      <w:r w:rsidRPr="00FE69C6">
        <w:rPr>
          <w:sz w:val="20"/>
          <w:szCs w:val="20"/>
          <w:lang w:val="fr-FR"/>
        </w:rPr>
        <w:t xml:space="preserve"> </w:t>
      </w:r>
      <w:proofErr w:type="spellStart"/>
      <w:r w:rsidRPr="00FE69C6">
        <w:rPr>
          <w:sz w:val="20"/>
          <w:szCs w:val="20"/>
          <w:lang w:val="fr-FR"/>
        </w:rPr>
        <w:t>Intercept</w:t>
      </w:r>
      <w:proofErr w:type="spellEnd"/>
      <w:r w:rsidRPr="00FE69C6">
        <w:rPr>
          <w:sz w:val="20"/>
          <w:szCs w:val="20"/>
          <w:lang w:val="fr-FR"/>
        </w:rPr>
        <w:t xml:space="preserve"> X est une solution de protection </w:t>
      </w:r>
      <w:proofErr w:type="spellStart"/>
      <w:r w:rsidRPr="00FE69C6">
        <w:rPr>
          <w:sz w:val="20"/>
          <w:szCs w:val="20"/>
          <w:lang w:val="fr-FR"/>
        </w:rPr>
        <w:t>Endpoint</w:t>
      </w:r>
      <w:proofErr w:type="spellEnd"/>
      <w:r w:rsidRPr="00FE69C6">
        <w:rPr>
          <w:sz w:val="20"/>
          <w:szCs w:val="20"/>
          <w:lang w:val="fr-FR"/>
        </w:rPr>
        <w:t xml:space="preserve"> </w:t>
      </w:r>
      <w:proofErr w:type="spellStart"/>
      <w:r w:rsidRPr="00FE69C6">
        <w:rPr>
          <w:sz w:val="20"/>
          <w:szCs w:val="20"/>
          <w:lang w:val="fr-FR"/>
        </w:rPr>
        <w:t>Next-Gen</w:t>
      </w:r>
      <w:proofErr w:type="spellEnd"/>
      <w:r w:rsidRPr="00FE69C6">
        <w:rPr>
          <w:sz w:val="20"/>
          <w:szCs w:val="20"/>
          <w:lang w:val="fr-FR"/>
        </w:rPr>
        <w:t xml:space="preserve"> qui bloque les malwares </w:t>
      </w:r>
      <w:proofErr w:type="spellStart"/>
      <w:r w:rsidRPr="00FE69C6">
        <w:rPr>
          <w:sz w:val="20"/>
          <w:szCs w:val="20"/>
          <w:lang w:val="fr-FR"/>
        </w:rPr>
        <w:t>Zero</w:t>
      </w:r>
      <w:proofErr w:type="spellEnd"/>
      <w:r w:rsidRPr="00FE69C6">
        <w:rPr>
          <w:sz w:val="20"/>
          <w:szCs w:val="20"/>
          <w:lang w:val="fr-FR"/>
        </w:rPr>
        <w:t>-Day, les variantes d’Exploits inconnus et les attaques furtives, avec en particulier une fonction anti-</w:t>
      </w:r>
      <w:proofErr w:type="spellStart"/>
      <w:r w:rsidRPr="00FE69C6">
        <w:rPr>
          <w:sz w:val="20"/>
          <w:szCs w:val="20"/>
          <w:lang w:val="fr-FR"/>
        </w:rPr>
        <w:t>ransomware</w:t>
      </w:r>
      <w:proofErr w:type="spellEnd"/>
      <w:r w:rsidRPr="00FE69C6">
        <w:rPr>
          <w:sz w:val="20"/>
          <w:szCs w:val="20"/>
          <w:lang w:val="fr-FR"/>
        </w:rPr>
        <w:t xml:space="preserve"> capable de détecter les attaques de </w:t>
      </w:r>
      <w:proofErr w:type="spellStart"/>
      <w:r w:rsidRPr="00FE69C6">
        <w:rPr>
          <w:sz w:val="20"/>
          <w:szCs w:val="20"/>
          <w:lang w:val="fr-FR"/>
        </w:rPr>
        <w:t>ransomwares</w:t>
      </w:r>
      <w:proofErr w:type="spellEnd"/>
      <w:r w:rsidRPr="00FE69C6">
        <w:rPr>
          <w:sz w:val="20"/>
          <w:szCs w:val="20"/>
          <w:lang w:val="fr-FR"/>
        </w:rPr>
        <w:t xml:space="preserve"> inconnus. </w:t>
      </w:r>
      <w:proofErr w:type="spellStart"/>
      <w:r w:rsidRPr="00FE69C6">
        <w:rPr>
          <w:sz w:val="20"/>
          <w:szCs w:val="20"/>
          <w:lang w:val="fr-FR"/>
        </w:rPr>
        <w:t>Sophos</w:t>
      </w:r>
      <w:proofErr w:type="spellEnd"/>
      <w:r w:rsidRPr="00FE69C6">
        <w:rPr>
          <w:sz w:val="20"/>
          <w:szCs w:val="20"/>
          <w:lang w:val="fr-FR"/>
        </w:rPr>
        <w:t xml:space="preserve"> </w:t>
      </w:r>
      <w:proofErr w:type="spellStart"/>
      <w:r w:rsidRPr="00FE69C6">
        <w:rPr>
          <w:sz w:val="20"/>
          <w:szCs w:val="20"/>
          <w:lang w:val="fr-FR"/>
        </w:rPr>
        <w:t>Intercept</w:t>
      </w:r>
      <w:proofErr w:type="spellEnd"/>
      <w:r w:rsidRPr="00FE69C6">
        <w:rPr>
          <w:sz w:val="20"/>
          <w:szCs w:val="20"/>
          <w:lang w:val="fr-FR"/>
        </w:rPr>
        <w:t xml:space="preserve"> X s’installe conjointement avec les logiciels existants de protection </w:t>
      </w:r>
      <w:proofErr w:type="spellStart"/>
      <w:r w:rsidRPr="00FE69C6">
        <w:rPr>
          <w:sz w:val="20"/>
          <w:szCs w:val="20"/>
          <w:lang w:val="fr-FR"/>
        </w:rPr>
        <w:t>Endpoint</w:t>
      </w:r>
      <w:proofErr w:type="spellEnd"/>
      <w:r w:rsidRPr="00FE69C6">
        <w:rPr>
          <w:sz w:val="20"/>
          <w:szCs w:val="20"/>
          <w:lang w:val="fr-FR"/>
        </w:rPr>
        <w:t xml:space="preserve"> de tous les éditeurs, élevant immédiatement le niveau de protection avec des technologies </w:t>
      </w:r>
      <w:proofErr w:type="spellStart"/>
      <w:r w:rsidRPr="00FE69C6">
        <w:rPr>
          <w:sz w:val="20"/>
          <w:szCs w:val="20"/>
          <w:lang w:val="fr-FR"/>
        </w:rPr>
        <w:t>Next-Gen</w:t>
      </w:r>
      <w:proofErr w:type="spellEnd"/>
      <w:r w:rsidRPr="00FE69C6">
        <w:rPr>
          <w:sz w:val="20"/>
          <w:szCs w:val="20"/>
          <w:lang w:val="fr-FR"/>
        </w:rPr>
        <w:t xml:space="preserve"> de détection sans base de signatures. </w:t>
      </w:r>
      <w:proofErr w:type="spellStart"/>
      <w:r w:rsidRPr="00FE69C6">
        <w:rPr>
          <w:sz w:val="20"/>
          <w:szCs w:val="20"/>
          <w:lang w:val="fr-FR"/>
        </w:rPr>
        <w:t>Sophos</w:t>
      </w:r>
      <w:proofErr w:type="spellEnd"/>
      <w:r w:rsidRPr="00FE69C6">
        <w:rPr>
          <w:sz w:val="20"/>
          <w:szCs w:val="20"/>
          <w:lang w:val="fr-FR"/>
        </w:rPr>
        <w:t xml:space="preserve"> </w:t>
      </w:r>
      <w:proofErr w:type="spellStart"/>
      <w:r w:rsidRPr="00FE69C6">
        <w:rPr>
          <w:sz w:val="20"/>
          <w:szCs w:val="20"/>
          <w:lang w:val="fr-FR"/>
        </w:rPr>
        <w:t>Intercept</w:t>
      </w:r>
      <w:proofErr w:type="spellEnd"/>
      <w:r w:rsidRPr="00FE69C6">
        <w:rPr>
          <w:sz w:val="20"/>
          <w:szCs w:val="20"/>
          <w:lang w:val="fr-FR"/>
        </w:rPr>
        <w:t xml:space="preserve"> X est disponible maintenant, et vous trouverez plus d’information sur </w:t>
      </w:r>
      <w:hyperlink r:id="rId7" w:history="1">
        <w:r w:rsidRPr="00FE69C6">
          <w:rPr>
            <w:rStyle w:val="Hyperlink"/>
            <w:sz w:val="20"/>
            <w:szCs w:val="20"/>
            <w:lang w:val="fr-FR"/>
          </w:rPr>
          <w:t>le site web</w:t>
        </w:r>
      </w:hyperlink>
      <w:r w:rsidRPr="00FE69C6">
        <w:rPr>
          <w:sz w:val="20"/>
          <w:szCs w:val="20"/>
          <w:lang w:val="fr-FR"/>
        </w:rPr>
        <w:t>.</w:t>
      </w:r>
    </w:p>
    <w:p w14:paraId="519A59A4" w14:textId="77777777" w:rsidR="009D3206" w:rsidRDefault="009D3206" w:rsidP="009D3206">
      <w:pPr>
        <w:spacing w:line="360" w:lineRule="auto"/>
        <w:ind w:right="-180"/>
        <w:rPr>
          <w:sz w:val="20"/>
          <w:szCs w:val="20"/>
          <w:lang w:val="fr-FR"/>
        </w:rPr>
      </w:pPr>
      <w:r w:rsidRPr="00FE69C6">
        <w:rPr>
          <w:sz w:val="20"/>
          <w:szCs w:val="20"/>
          <w:lang w:val="fr-FR"/>
        </w:rPr>
        <w:lastRenderedPageBreak/>
        <w:t xml:space="preserve">« Cette étude évalue les éditeurs de solutions aussi bien traditionnelles que </w:t>
      </w:r>
      <w:proofErr w:type="spellStart"/>
      <w:r w:rsidRPr="00FE69C6">
        <w:rPr>
          <w:sz w:val="20"/>
          <w:szCs w:val="20"/>
          <w:lang w:val="fr-FR"/>
        </w:rPr>
        <w:t>Next-Gen</w:t>
      </w:r>
      <w:proofErr w:type="spellEnd"/>
      <w:r w:rsidRPr="00FE69C6">
        <w:rPr>
          <w:sz w:val="20"/>
          <w:szCs w:val="20"/>
          <w:lang w:val="fr-FR"/>
        </w:rPr>
        <w:t xml:space="preserve"> selon des critères cohérents. Le positionnement de </w:t>
      </w:r>
      <w:proofErr w:type="spellStart"/>
      <w:r w:rsidRPr="00FE69C6">
        <w:rPr>
          <w:sz w:val="20"/>
          <w:szCs w:val="20"/>
          <w:lang w:val="fr-FR"/>
        </w:rPr>
        <w:t>Sophos</w:t>
      </w:r>
      <w:proofErr w:type="spellEnd"/>
      <w:r w:rsidRPr="00FE69C6">
        <w:rPr>
          <w:sz w:val="20"/>
          <w:szCs w:val="20"/>
          <w:lang w:val="fr-FR"/>
        </w:rPr>
        <w:t xml:space="preserve"> à l’extrémité droite de l’axe Stratégie est une reconnaissance de notre stratégie d’intégration de technologies </w:t>
      </w:r>
      <w:proofErr w:type="spellStart"/>
      <w:r w:rsidRPr="00FE69C6">
        <w:rPr>
          <w:sz w:val="20"/>
          <w:szCs w:val="20"/>
          <w:lang w:val="fr-FR"/>
        </w:rPr>
        <w:t>Next-Gen</w:t>
      </w:r>
      <w:proofErr w:type="spellEnd"/>
      <w:r w:rsidRPr="00FE69C6">
        <w:rPr>
          <w:sz w:val="20"/>
          <w:szCs w:val="20"/>
          <w:lang w:val="fr-FR"/>
        </w:rPr>
        <w:t xml:space="preserve"> dans notre portefeuille de solutions de protection </w:t>
      </w:r>
      <w:proofErr w:type="spellStart"/>
      <w:r w:rsidRPr="00FE69C6">
        <w:rPr>
          <w:sz w:val="20"/>
          <w:szCs w:val="20"/>
          <w:lang w:val="fr-FR"/>
        </w:rPr>
        <w:t>Endpoint</w:t>
      </w:r>
      <w:proofErr w:type="spellEnd"/>
      <w:r w:rsidRPr="00FE69C6">
        <w:rPr>
          <w:sz w:val="20"/>
          <w:szCs w:val="20"/>
          <w:lang w:val="fr-FR"/>
        </w:rPr>
        <w:t xml:space="preserve">. » commente Dan </w:t>
      </w:r>
      <w:proofErr w:type="spellStart"/>
      <w:r w:rsidRPr="00FE69C6">
        <w:rPr>
          <w:sz w:val="20"/>
          <w:szCs w:val="20"/>
          <w:lang w:val="fr-FR"/>
        </w:rPr>
        <w:t>Schiappa</w:t>
      </w:r>
      <w:proofErr w:type="spellEnd"/>
      <w:r w:rsidRPr="00FE69C6">
        <w:rPr>
          <w:sz w:val="20"/>
          <w:szCs w:val="20"/>
          <w:lang w:val="fr-FR"/>
        </w:rPr>
        <w:t xml:space="preserve">, Senior </w:t>
      </w:r>
      <w:proofErr w:type="spellStart"/>
      <w:r w:rsidRPr="00FE69C6">
        <w:rPr>
          <w:sz w:val="20"/>
          <w:szCs w:val="20"/>
          <w:lang w:val="fr-FR"/>
        </w:rPr>
        <w:t>Vice-President</w:t>
      </w:r>
      <w:proofErr w:type="spellEnd"/>
      <w:r w:rsidRPr="00FE69C6">
        <w:rPr>
          <w:sz w:val="20"/>
          <w:szCs w:val="20"/>
          <w:lang w:val="fr-FR"/>
        </w:rPr>
        <w:t xml:space="preserve"> et General Manager pour le </w:t>
      </w:r>
      <w:proofErr w:type="spellStart"/>
      <w:r w:rsidRPr="00FE69C6">
        <w:rPr>
          <w:sz w:val="20"/>
          <w:szCs w:val="20"/>
          <w:lang w:val="fr-FR"/>
        </w:rPr>
        <w:t>Enduser</w:t>
      </w:r>
      <w:proofErr w:type="spellEnd"/>
      <w:r w:rsidRPr="00FE69C6">
        <w:rPr>
          <w:sz w:val="20"/>
          <w:szCs w:val="20"/>
          <w:lang w:val="fr-FR"/>
        </w:rPr>
        <w:t xml:space="preserve"> Security Group de </w:t>
      </w:r>
      <w:proofErr w:type="spellStart"/>
      <w:r w:rsidRPr="00FE69C6">
        <w:rPr>
          <w:sz w:val="20"/>
          <w:szCs w:val="20"/>
          <w:lang w:val="fr-FR"/>
        </w:rPr>
        <w:t>Sophos</w:t>
      </w:r>
      <w:proofErr w:type="spellEnd"/>
      <w:r w:rsidRPr="00FE69C6">
        <w:rPr>
          <w:sz w:val="20"/>
          <w:szCs w:val="20"/>
          <w:lang w:val="fr-FR"/>
        </w:rPr>
        <w:t xml:space="preserve">. « La position de ‘Leader’ occupée par </w:t>
      </w:r>
      <w:proofErr w:type="spellStart"/>
      <w:r w:rsidRPr="00FE69C6">
        <w:rPr>
          <w:sz w:val="20"/>
          <w:szCs w:val="20"/>
          <w:lang w:val="fr-FR"/>
        </w:rPr>
        <w:t>Sophos</w:t>
      </w:r>
      <w:proofErr w:type="spellEnd"/>
      <w:r w:rsidRPr="00FE69C6">
        <w:rPr>
          <w:sz w:val="20"/>
          <w:szCs w:val="20"/>
          <w:lang w:val="fr-FR"/>
        </w:rPr>
        <w:t xml:space="preserve"> dans ce rapport est une reconnaissance de notre capacité à appréhender la dynamique du marché de la sécurité et à écouter nos clients sur l’évolution de leurs besoins pour développer des solutions de protection </w:t>
      </w:r>
      <w:proofErr w:type="spellStart"/>
      <w:r w:rsidRPr="00FE69C6">
        <w:rPr>
          <w:sz w:val="20"/>
          <w:szCs w:val="20"/>
          <w:lang w:val="fr-FR"/>
        </w:rPr>
        <w:t>Endpoint</w:t>
      </w:r>
      <w:proofErr w:type="spellEnd"/>
      <w:r w:rsidRPr="00FE69C6">
        <w:rPr>
          <w:sz w:val="20"/>
          <w:szCs w:val="20"/>
          <w:lang w:val="fr-FR"/>
        </w:rPr>
        <w:t xml:space="preserve"> qui dépassent leurs attentes en termes de protection et d’administration. Je suis fier de faire bénéficier nos clients de technologies de pointe, d’une stratégie qui leur permet des déploiements sur site ou en mode </w:t>
      </w:r>
      <w:proofErr w:type="spellStart"/>
      <w:r w:rsidRPr="00FE69C6">
        <w:rPr>
          <w:sz w:val="20"/>
          <w:szCs w:val="20"/>
          <w:lang w:val="fr-FR"/>
        </w:rPr>
        <w:t>SaaS</w:t>
      </w:r>
      <w:proofErr w:type="spellEnd"/>
      <w:r w:rsidRPr="00FE69C6">
        <w:rPr>
          <w:sz w:val="20"/>
          <w:szCs w:val="20"/>
          <w:lang w:val="fr-FR"/>
        </w:rPr>
        <w:t xml:space="preserve"> à travers notre console d’administration </w:t>
      </w:r>
      <w:proofErr w:type="spellStart"/>
      <w:r w:rsidRPr="00FE69C6">
        <w:rPr>
          <w:sz w:val="20"/>
          <w:szCs w:val="20"/>
          <w:lang w:val="fr-FR"/>
        </w:rPr>
        <w:t>Sophos</w:t>
      </w:r>
      <w:proofErr w:type="spellEnd"/>
      <w:r w:rsidRPr="00FE69C6">
        <w:rPr>
          <w:sz w:val="20"/>
          <w:szCs w:val="20"/>
          <w:lang w:val="fr-FR"/>
        </w:rPr>
        <w:t xml:space="preserve"> Central basée sur le Cloud, et de notre capacité continue à leur apporter des produits de sécurité innovants, et ceci pour des organisations de toutes tailles. » </w:t>
      </w:r>
    </w:p>
    <w:p w14:paraId="296DBBFA" w14:textId="77777777" w:rsidR="009D3206" w:rsidRPr="00FE69C6" w:rsidRDefault="009D3206" w:rsidP="009D3206">
      <w:pPr>
        <w:spacing w:line="360" w:lineRule="auto"/>
        <w:ind w:right="-180"/>
        <w:rPr>
          <w:sz w:val="20"/>
          <w:szCs w:val="20"/>
          <w:lang w:val="fr-FR"/>
        </w:rPr>
      </w:pPr>
    </w:p>
    <w:p w14:paraId="71D11FAA" w14:textId="77777777" w:rsidR="009D3206" w:rsidRPr="00FE69C6" w:rsidRDefault="009D3206" w:rsidP="009D3206">
      <w:pPr>
        <w:spacing w:after="0" w:line="360" w:lineRule="auto"/>
        <w:jc w:val="both"/>
        <w:rPr>
          <w:sz w:val="20"/>
          <w:szCs w:val="20"/>
          <w:lang w:val="fr-FR"/>
        </w:rPr>
      </w:pPr>
      <w:r w:rsidRPr="00FE69C6">
        <w:rPr>
          <w:b/>
          <w:bCs/>
          <w:color w:val="000000"/>
          <w:sz w:val="20"/>
          <w:szCs w:val="20"/>
          <w:lang w:val="fr-FR"/>
        </w:rPr>
        <w:t xml:space="preserve">Connectez-vous avec </w:t>
      </w:r>
      <w:proofErr w:type="spellStart"/>
      <w:r w:rsidRPr="00FE69C6">
        <w:rPr>
          <w:b/>
          <w:bCs/>
          <w:color w:val="000000"/>
          <w:sz w:val="20"/>
          <w:szCs w:val="20"/>
          <w:lang w:val="fr-FR"/>
        </w:rPr>
        <w:t>Sophos</w:t>
      </w:r>
      <w:proofErr w:type="spellEnd"/>
    </w:p>
    <w:p w14:paraId="7EB89F49" w14:textId="77777777" w:rsidR="009D3206" w:rsidRPr="00FE69C6" w:rsidRDefault="009D3206" w:rsidP="009D3206">
      <w:pPr>
        <w:spacing w:after="0" w:line="360" w:lineRule="auto"/>
        <w:jc w:val="both"/>
        <w:rPr>
          <w:sz w:val="20"/>
          <w:szCs w:val="20"/>
          <w:lang w:val="fr-FR"/>
        </w:rPr>
      </w:pPr>
      <w:hyperlink r:id="rId8" w:history="1">
        <w:r w:rsidRPr="00FE69C6">
          <w:rPr>
            <w:rStyle w:val="Hyperlink"/>
            <w:sz w:val="20"/>
            <w:szCs w:val="20"/>
            <w:lang w:val="fr-FR"/>
          </w:rPr>
          <w:t>Twitter</w:t>
        </w:r>
      </w:hyperlink>
    </w:p>
    <w:p w14:paraId="0BC3AE55" w14:textId="77777777" w:rsidR="009D3206" w:rsidRPr="00FE69C6" w:rsidRDefault="009D3206" w:rsidP="009D3206">
      <w:pPr>
        <w:spacing w:after="0" w:line="360" w:lineRule="auto"/>
        <w:jc w:val="both"/>
        <w:rPr>
          <w:sz w:val="20"/>
          <w:szCs w:val="20"/>
          <w:lang w:val="fr-FR"/>
        </w:rPr>
      </w:pPr>
      <w:hyperlink r:id="rId9" w:history="1">
        <w:r w:rsidRPr="00FE69C6">
          <w:rPr>
            <w:rStyle w:val="Hyperlink"/>
            <w:sz w:val="20"/>
            <w:szCs w:val="20"/>
            <w:lang w:val="fr-FR"/>
          </w:rPr>
          <w:t>LinkedIn</w:t>
        </w:r>
      </w:hyperlink>
    </w:p>
    <w:p w14:paraId="6D039B43" w14:textId="77777777" w:rsidR="009D3206" w:rsidRPr="00FE69C6" w:rsidRDefault="009D3206" w:rsidP="009D3206">
      <w:pPr>
        <w:spacing w:after="0" w:line="360" w:lineRule="auto"/>
        <w:jc w:val="both"/>
        <w:rPr>
          <w:sz w:val="20"/>
          <w:szCs w:val="20"/>
        </w:rPr>
      </w:pPr>
      <w:hyperlink r:id="rId10" w:history="1">
        <w:r w:rsidRPr="00FE69C6">
          <w:rPr>
            <w:rStyle w:val="Hyperlink"/>
            <w:sz w:val="20"/>
            <w:szCs w:val="20"/>
          </w:rPr>
          <w:t>Facebook</w:t>
        </w:r>
      </w:hyperlink>
    </w:p>
    <w:p w14:paraId="3E6855DF" w14:textId="77777777" w:rsidR="009D3206" w:rsidRPr="00FE69C6" w:rsidRDefault="009D3206" w:rsidP="009D3206">
      <w:pPr>
        <w:spacing w:after="0" w:line="360" w:lineRule="auto"/>
        <w:jc w:val="both"/>
        <w:rPr>
          <w:sz w:val="20"/>
          <w:szCs w:val="20"/>
        </w:rPr>
      </w:pPr>
      <w:hyperlink r:id="rId11" w:history="1">
        <w:r w:rsidRPr="00FE69C6">
          <w:rPr>
            <w:rStyle w:val="Hyperlink"/>
            <w:sz w:val="20"/>
            <w:szCs w:val="20"/>
          </w:rPr>
          <w:t>Google+</w:t>
        </w:r>
      </w:hyperlink>
    </w:p>
    <w:p w14:paraId="43B321A8" w14:textId="77777777" w:rsidR="009D3206" w:rsidRPr="00FE69C6" w:rsidRDefault="009D3206" w:rsidP="009D3206">
      <w:pPr>
        <w:spacing w:after="0" w:line="360" w:lineRule="auto"/>
        <w:jc w:val="both"/>
        <w:rPr>
          <w:sz w:val="20"/>
          <w:szCs w:val="20"/>
        </w:rPr>
      </w:pPr>
      <w:hyperlink r:id="rId12" w:history="1">
        <w:proofErr w:type="spellStart"/>
        <w:r w:rsidRPr="00FE69C6">
          <w:rPr>
            <w:rStyle w:val="Hyperlink"/>
            <w:sz w:val="20"/>
            <w:szCs w:val="20"/>
          </w:rPr>
          <w:t>Spiceworks</w:t>
        </w:r>
        <w:proofErr w:type="spellEnd"/>
      </w:hyperlink>
    </w:p>
    <w:p w14:paraId="4A1EF51C" w14:textId="77777777" w:rsidR="009D3206" w:rsidRPr="00FE69C6" w:rsidRDefault="009D3206" w:rsidP="009D3206">
      <w:pPr>
        <w:spacing w:after="0" w:line="360" w:lineRule="auto"/>
        <w:jc w:val="both"/>
        <w:rPr>
          <w:sz w:val="20"/>
          <w:szCs w:val="20"/>
        </w:rPr>
      </w:pPr>
      <w:hyperlink r:id="rId13" w:history="1">
        <w:r w:rsidRPr="00FE69C6">
          <w:rPr>
            <w:rStyle w:val="Hyperlink"/>
            <w:sz w:val="20"/>
            <w:szCs w:val="20"/>
          </w:rPr>
          <w:t>YouTube</w:t>
        </w:r>
      </w:hyperlink>
    </w:p>
    <w:p w14:paraId="20AE0D2A" w14:textId="77777777" w:rsidR="009D3206" w:rsidRPr="00FE69C6" w:rsidRDefault="009D3206" w:rsidP="009D3206">
      <w:pPr>
        <w:spacing w:after="0" w:line="360" w:lineRule="auto"/>
        <w:jc w:val="both"/>
        <w:rPr>
          <w:sz w:val="20"/>
          <w:szCs w:val="20"/>
        </w:rPr>
      </w:pPr>
      <w:hyperlink r:id="rId14" w:history="1">
        <w:r w:rsidRPr="00FE69C6">
          <w:rPr>
            <w:rStyle w:val="Hyperlink"/>
            <w:sz w:val="20"/>
            <w:szCs w:val="20"/>
          </w:rPr>
          <w:t>Naked Security News</w:t>
        </w:r>
      </w:hyperlink>
    </w:p>
    <w:p w14:paraId="503BBD81" w14:textId="77777777" w:rsidR="009D3206" w:rsidRDefault="009D3206" w:rsidP="009D3206">
      <w:pPr>
        <w:spacing w:after="0" w:line="360" w:lineRule="auto"/>
        <w:jc w:val="both"/>
        <w:rPr>
          <w:rStyle w:val="Hyperlink"/>
          <w:sz w:val="20"/>
          <w:szCs w:val="20"/>
          <w:lang w:val="fr-FR"/>
        </w:rPr>
      </w:pPr>
      <w:hyperlink r:id="rId15" w:history="1">
        <w:proofErr w:type="spellStart"/>
        <w:r w:rsidRPr="00FE69C6">
          <w:rPr>
            <w:rStyle w:val="Hyperlink"/>
            <w:sz w:val="20"/>
            <w:szCs w:val="20"/>
            <w:lang w:val="fr-FR"/>
          </w:rPr>
          <w:t>Sophos</w:t>
        </w:r>
        <w:proofErr w:type="spellEnd"/>
        <w:r w:rsidRPr="00FE69C6">
          <w:rPr>
            <w:rStyle w:val="Hyperlink"/>
            <w:sz w:val="20"/>
            <w:szCs w:val="20"/>
            <w:lang w:val="fr-FR"/>
          </w:rPr>
          <w:t xml:space="preserve"> Blog</w:t>
        </w:r>
      </w:hyperlink>
    </w:p>
    <w:p w14:paraId="1EE1CF03" w14:textId="77777777" w:rsidR="009D3206" w:rsidRPr="00FE69C6" w:rsidRDefault="009D3206" w:rsidP="009D3206">
      <w:pPr>
        <w:spacing w:after="0" w:line="360" w:lineRule="auto"/>
        <w:jc w:val="both"/>
        <w:rPr>
          <w:rStyle w:val="Hyperlink"/>
          <w:sz w:val="20"/>
          <w:szCs w:val="20"/>
          <w:lang w:val="fr-FR"/>
        </w:rPr>
      </w:pPr>
    </w:p>
    <w:p w14:paraId="57CF7510" w14:textId="77777777" w:rsidR="009D3206" w:rsidRPr="00FE69C6" w:rsidRDefault="009D3206" w:rsidP="009D3206">
      <w:pPr>
        <w:spacing w:after="0" w:line="360" w:lineRule="auto"/>
        <w:jc w:val="both"/>
        <w:rPr>
          <w:rFonts w:cs="Calibri"/>
          <w:sz w:val="20"/>
          <w:szCs w:val="20"/>
          <w:lang w:val="fr-FR"/>
        </w:rPr>
      </w:pPr>
    </w:p>
    <w:p w14:paraId="4CCAD1E2" w14:textId="77777777" w:rsidR="009D3206" w:rsidRDefault="009D3206" w:rsidP="009D3206">
      <w:pPr>
        <w:pStyle w:val="Default"/>
        <w:spacing w:line="360" w:lineRule="auto"/>
        <w:rPr>
          <w:rFonts w:ascii="Calibri" w:hAnsi="Calibri"/>
          <w:sz w:val="20"/>
          <w:szCs w:val="20"/>
          <w:lang w:val="fr-FR"/>
        </w:rPr>
      </w:pPr>
      <w:r w:rsidRPr="00FE69C6">
        <w:rPr>
          <w:rFonts w:ascii="Calibri" w:hAnsi="Calibri"/>
          <w:b/>
          <w:bCs/>
          <w:sz w:val="20"/>
          <w:szCs w:val="20"/>
          <w:lang w:val="fr-FR"/>
        </w:rPr>
        <w:t xml:space="preserve">A propos de </w:t>
      </w:r>
      <w:proofErr w:type="spellStart"/>
      <w:r w:rsidRPr="00FE69C6">
        <w:rPr>
          <w:rFonts w:ascii="Calibri" w:hAnsi="Calibri"/>
          <w:b/>
          <w:bCs/>
          <w:sz w:val="20"/>
          <w:szCs w:val="20"/>
          <w:lang w:val="fr-FR"/>
        </w:rPr>
        <w:t>Sophos</w:t>
      </w:r>
      <w:proofErr w:type="spellEnd"/>
      <w:r w:rsidRPr="00FE69C6">
        <w:rPr>
          <w:rFonts w:ascii="Calibri" w:hAnsi="Calibri"/>
          <w:b/>
          <w:bCs/>
          <w:sz w:val="20"/>
          <w:szCs w:val="20"/>
          <w:lang w:val="fr-FR"/>
        </w:rPr>
        <w:t xml:space="preserve"> </w:t>
      </w:r>
      <w:r w:rsidRPr="00FE69C6">
        <w:rPr>
          <w:rFonts w:ascii="Calibri" w:hAnsi="Calibri"/>
          <w:b/>
          <w:bCs/>
          <w:sz w:val="20"/>
          <w:szCs w:val="20"/>
          <w:lang w:val="fr-FR"/>
        </w:rPr>
        <w:br/>
      </w:r>
      <w:r w:rsidRPr="00FE69C6">
        <w:rPr>
          <w:rFonts w:ascii="Calibri" w:hAnsi="Calibri"/>
          <w:sz w:val="20"/>
          <w:szCs w:val="20"/>
          <w:lang w:val="fr-FR"/>
        </w:rPr>
        <w:t xml:space="preserve">Plus de 100 millions d’utilisateurs dans 150 pays font confiance à </w:t>
      </w:r>
      <w:hyperlink r:id="rId16" w:history="1">
        <w:proofErr w:type="spellStart"/>
        <w:r w:rsidRPr="00FE69C6">
          <w:rPr>
            <w:rStyle w:val="Hyperlink"/>
            <w:rFonts w:ascii="Calibri" w:hAnsi="Calibri"/>
            <w:sz w:val="20"/>
            <w:szCs w:val="20"/>
            <w:lang w:val="fr-FR"/>
          </w:rPr>
          <w:t>Sophos</w:t>
        </w:r>
        <w:proofErr w:type="spellEnd"/>
      </w:hyperlink>
      <w:r w:rsidRPr="00FE69C6">
        <w:rPr>
          <w:rFonts w:ascii="Calibri" w:hAnsi="Calibri"/>
          <w:sz w:val="20"/>
          <w:szCs w:val="20"/>
          <w:lang w:val="fr-FR"/>
        </w:rPr>
        <w:t xml:space="preserve"> en tant que meilleure protection contre les menaces complexes et les pertes de données. </w:t>
      </w:r>
      <w:proofErr w:type="spellStart"/>
      <w:r w:rsidRPr="00FE69C6">
        <w:rPr>
          <w:rFonts w:ascii="Calibri" w:hAnsi="Calibri"/>
          <w:sz w:val="20"/>
          <w:szCs w:val="20"/>
          <w:lang w:val="fr-FR"/>
        </w:rPr>
        <w:t>Sophos</w:t>
      </w:r>
      <w:proofErr w:type="spellEnd"/>
      <w:r w:rsidRPr="00FE69C6">
        <w:rPr>
          <w:rFonts w:ascii="Calibri" w:hAnsi="Calibri"/>
          <w:sz w:val="20"/>
          <w:szCs w:val="20"/>
          <w:lang w:val="fr-FR"/>
        </w:rPr>
        <w:t xml:space="preserve"> propose des solutions de protection simples à administrer, déployer et utiliser pour le </w:t>
      </w:r>
      <w:hyperlink r:id="rId17" w:history="1">
        <w:r w:rsidRPr="00FE69C6">
          <w:rPr>
            <w:rStyle w:val="Hyperlink"/>
            <w:rFonts w:ascii="Calibri" w:hAnsi="Calibri"/>
            <w:sz w:val="20"/>
            <w:szCs w:val="20"/>
            <w:lang w:val="fr-FR"/>
          </w:rPr>
          <w:t>Web</w:t>
        </w:r>
      </w:hyperlink>
      <w:r w:rsidRPr="00FE69C6">
        <w:rPr>
          <w:rFonts w:ascii="Calibri" w:hAnsi="Calibri"/>
          <w:sz w:val="20"/>
          <w:szCs w:val="20"/>
          <w:lang w:val="fr-FR"/>
        </w:rPr>
        <w:t xml:space="preserve">, les </w:t>
      </w:r>
      <w:hyperlink r:id="rId18" w:history="1">
        <w:r w:rsidRPr="00FE69C6">
          <w:rPr>
            <w:rStyle w:val="Hyperlink"/>
            <w:rFonts w:ascii="Calibri" w:hAnsi="Calibri"/>
            <w:sz w:val="20"/>
            <w:szCs w:val="20"/>
            <w:lang w:val="fr-FR"/>
          </w:rPr>
          <w:t>courriers électroniques</w:t>
        </w:r>
      </w:hyperlink>
      <w:r w:rsidRPr="00FE69C6">
        <w:rPr>
          <w:rFonts w:ascii="Calibri" w:hAnsi="Calibri"/>
          <w:sz w:val="20"/>
          <w:szCs w:val="20"/>
          <w:lang w:val="fr-FR"/>
        </w:rPr>
        <w:t xml:space="preserve">, les </w:t>
      </w:r>
      <w:hyperlink r:id="rId19" w:history="1">
        <w:r w:rsidRPr="00FE69C6">
          <w:rPr>
            <w:rStyle w:val="Hyperlink"/>
            <w:rFonts w:ascii="Calibri" w:hAnsi="Calibri"/>
            <w:sz w:val="20"/>
            <w:szCs w:val="20"/>
            <w:lang w:val="fr-FR"/>
          </w:rPr>
          <w:t>mobiles</w:t>
        </w:r>
      </w:hyperlink>
      <w:r w:rsidRPr="00FE69C6">
        <w:rPr>
          <w:rFonts w:ascii="Calibri" w:hAnsi="Calibri"/>
          <w:sz w:val="20"/>
          <w:szCs w:val="20"/>
          <w:lang w:val="fr-FR"/>
        </w:rPr>
        <w:t xml:space="preserve">, les </w:t>
      </w:r>
      <w:hyperlink r:id="rId20" w:history="1">
        <w:r w:rsidRPr="00FE69C6">
          <w:rPr>
            <w:rStyle w:val="Hyperlink"/>
            <w:rFonts w:ascii="Calibri" w:hAnsi="Calibri"/>
            <w:sz w:val="20"/>
            <w:szCs w:val="20"/>
            <w:lang w:val="fr-FR"/>
          </w:rPr>
          <w:t>données avec le chiffrement</w:t>
        </w:r>
      </w:hyperlink>
      <w:r w:rsidRPr="00FE69C6">
        <w:rPr>
          <w:rFonts w:ascii="Calibri" w:hAnsi="Calibri"/>
          <w:sz w:val="20"/>
          <w:szCs w:val="20"/>
          <w:lang w:val="fr-FR"/>
        </w:rPr>
        <w:t xml:space="preserve">, les </w:t>
      </w:r>
      <w:hyperlink r:id="rId21" w:history="1">
        <w:r w:rsidRPr="00FE69C6">
          <w:rPr>
            <w:rStyle w:val="Hyperlink"/>
            <w:rFonts w:ascii="Calibri" w:hAnsi="Calibri"/>
            <w:sz w:val="20"/>
            <w:szCs w:val="20"/>
            <w:lang w:val="fr-FR"/>
          </w:rPr>
          <w:t>systèmes</w:t>
        </w:r>
      </w:hyperlink>
      <w:r w:rsidRPr="00FE69C6">
        <w:rPr>
          <w:rFonts w:ascii="Calibri" w:hAnsi="Calibri"/>
          <w:sz w:val="20"/>
          <w:szCs w:val="20"/>
          <w:lang w:val="fr-FR"/>
        </w:rPr>
        <w:t xml:space="preserve"> et les </w:t>
      </w:r>
      <w:hyperlink r:id="rId22" w:history="1">
        <w:r w:rsidRPr="00FE69C6">
          <w:rPr>
            <w:rStyle w:val="Hyperlink"/>
            <w:rFonts w:ascii="Calibri" w:hAnsi="Calibri"/>
            <w:sz w:val="20"/>
            <w:szCs w:val="20"/>
            <w:lang w:val="fr-FR"/>
          </w:rPr>
          <w:t>réseaux</w:t>
        </w:r>
      </w:hyperlink>
      <w:r w:rsidRPr="00FE69C6">
        <w:rPr>
          <w:rFonts w:ascii="Calibri" w:hAnsi="Calibri"/>
          <w:sz w:val="20"/>
          <w:szCs w:val="20"/>
          <w:lang w:val="fr-FR"/>
        </w:rPr>
        <w:t xml:space="preserve">, qui s’appuient sur les </w:t>
      </w:r>
      <w:proofErr w:type="spellStart"/>
      <w:r w:rsidRPr="00FE69C6">
        <w:rPr>
          <w:rFonts w:ascii="Calibri" w:hAnsi="Calibri"/>
          <w:sz w:val="20"/>
          <w:szCs w:val="20"/>
          <w:lang w:val="fr-FR"/>
        </w:rPr>
        <w:t>SophosLabs</w:t>
      </w:r>
      <w:proofErr w:type="spellEnd"/>
      <w:r w:rsidRPr="00FE69C6">
        <w:rPr>
          <w:rFonts w:ascii="Calibri" w:hAnsi="Calibri"/>
          <w:sz w:val="20"/>
          <w:szCs w:val="20"/>
          <w:lang w:val="fr-FR"/>
        </w:rPr>
        <w:t xml:space="preserve">, réseau mondial de centres d’analyse des menaces. Le siège de </w:t>
      </w:r>
      <w:proofErr w:type="spellStart"/>
      <w:r w:rsidRPr="00FE69C6">
        <w:rPr>
          <w:rFonts w:ascii="Calibri" w:hAnsi="Calibri"/>
          <w:sz w:val="20"/>
          <w:szCs w:val="20"/>
          <w:lang w:val="fr-FR"/>
        </w:rPr>
        <w:t>Sophos</w:t>
      </w:r>
      <w:proofErr w:type="spellEnd"/>
      <w:r w:rsidRPr="00FE69C6">
        <w:rPr>
          <w:rFonts w:ascii="Calibri" w:hAnsi="Calibri"/>
          <w:sz w:val="20"/>
          <w:szCs w:val="20"/>
          <w:lang w:val="fr-FR"/>
        </w:rPr>
        <w:t xml:space="preserve"> est situé Oxford, au Royaume-Uni, et la société est cotée à la bourse de Londres (London Stock Exchange) sous le symbole “SOPH”. Des informations supplémentaires sont disponibles sur le site </w:t>
      </w:r>
      <w:hyperlink r:id="rId23" w:history="1">
        <w:r w:rsidRPr="00FE69C6">
          <w:rPr>
            <w:rStyle w:val="Hyperlink"/>
            <w:rFonts w:ascii="Calibri" w:hAnsi="Calibri"/>
            <w:sz w:val="20"/>
            <w:szCs w:val="20"/>
            <w:lang w:val="fr-FR"/>
          </w:rPr>
          <w:t>https://www.sophos.com/</w:t>
        </w:r>
      </w:hyperlink>
      <w:r w:rsidRPr="00FE69C6">
        <w:rPr>
          <w:rFonts w:ascii="Calibri" w:hAnsi="Calibri"/>
          <w:sz w:val="20"/>
          <w:szCs w:val="20"/>
          <w:lang w:val="fr-FR"/>
        </w:rPr>
        <w:t>.</w:t>
      </w:r>
    </w:p>
    <w:p w14:paraId="1BE2BA99" w14:textId="77777777" w:rsidR="009D3206" w:rsidRPr="00FE69C6" w:rsidRDefault="009D3206" w:rsidP="009D3206">
      <w:pPr>
        <w:pStyle w:val="Default"/>
        <w:spacing w:line="360" w:lineRule="auto"/>
        <w:rPr>
          <w:rFonts w:ascii="Calibri" w:hAnsi="Calibri"/>
          <w:sz w:val="20"/>
          <w:szCs w:val="20"/>
          <w:lang w:val="fr-FR"/>
        </w:rPr>
      </w:pPr>
    </w:p>
    <w:p w14:paraId="641D3DD8" w14:textId="77777777" w:rsidR="009D3206" w:rsidRPr="00FE69C6" w:rsidRDefault="009D3206" w:rsidP="009D3206">
      <w:pPr>
        <w:spacing w:after="0" w:line="360" w:lineRule="auto"/>
        <w:jc w:val="both"/>
        <w:rPr>
          <w:sz w:val="20"/>
          <w:szCs w:val="20"/>
          <w:lang w:val="fr-FR"/>
        </w:rPr>
      </w:pPr>
    </w:p>
    <w:p w14:paraId="50DA857F" w14:textId="77777777" w:rsidR="009D3206" w:rsidRPr="00FE69C6" w:rsidRDefault="009D3206" w:rsidP="009D3206">
      <w:pPr>
        <w:spacing w:after="0" w:line="360" w:lineRule="auto"/>
        <w:jc w:val="both"/>
        <w:rPr>
          <w:b/>
          <w:bCs/>
          <w:sz w:val="20"/>
          <w:szCs w:val="20"/>
        </w:rPr>
      </w:pPr>
      <w:r w:rsidRPr="00FE69C6">
        <w:rPr>
          <w:b/>
          <w:bCs/>
          <w:sz w:val="20"/>
          <w:szCs w:val="20"/>
        </w:rPr>
        <w:t xml:space="preserve">Contacts </w:t>
      </w:r>
      <w:proofErr w:type="spellStart"/>
      <w:proofErr w:type="gramStart"/>
      <w:r w:rsidRPr="00FE69C6">
        <w:rPr>
          <w:b/>
          <w:bCs/>
          <w:sz w:val="20"/>
          <w:szCs w:val="20"/>
        </w:rPr>
        <w:t>Presse</w:t>
      </w:r>
      <w:proofErr w:type="spellEnd"/>
      <w:r w:rsidRPr="00FE69C6">
        <w:rPr>
          <w:b/>
          <w:bCs/>
          <w:sz w:val="20"/>
          <w:szCs w:val="20"/>
        </w:rPr>
        <w:t> :</w:t>
      </w:r>
      <w:proofErr w:type="gramEnd"/>
    </w:p>
    <w:p w14:paraId="3EED1018" w14:textId="450A6360" w:rsidR="001A2952" w:rsidRDefault="009D3206" w:rsidP="005A3447">
      <w:pPr>
        <w:spacing w:line="360" w:lineRule="auto"/>
      </w:pPr>
      <w:r w:rsidRPr="00FE69C6">
        <w:rPr>
          <w:bCs/>
          <w:sz w:val="20"/>
          <w:szCs w:val="20"/>
          <w:lang w:val="fr-FR"/>
        </w:rPr>
        <w:t xml:space="preserve">Square Egg, Sandra Van Hauwaert, GSM 0032 497251816, </w:t>
      </w:r>
      <w:hyperlink r:id="rId24" w:history="1">
        <w:r w:rsidRPr="00FE69C6">
          <w:rPr>
            <w:rStyle w:val="Hyperlink"/>
            <w:bCs/>
            <w:sz w:val="20"/>
            <w:szCs w:val="20"/>
            <w:lang w:val="fr-FR"/>
          </w:rPr>
          <w:t>Sandra@square-egg.be</w:t>
        </w:r>
      </w:hyperlink>
      <w:bookmarkStart w:id="0" w:name="_GoBack"/>
      <w:bookmarkEnd w:id="0"/>
    </w:p>
    <w:sectPr w:rsidR="001A2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619D5"/>
    <w:multiLevelType w:val="hybridMultilevel"/>
    <w:tmpl w:val="929A8B22"/>
    <w:lvl w:ilvl="0" w:tplc="18C2479A">
      <w:start w:val="1"/>
      <w:numFmt w:val="bullet"/>
      <w:lvlText w:val=""/>
      <w:lvlJc w:val="left"/>
      <w:pPr>
        <w:ind w:left="720" w:hanging="360"/>
      </w:pPr>
      <w:rPr>
        <w:rFonts w:ascii="Symbol" w:hAnsi="Symbol" w:hint="default"/>
        <w:lang w:val="fr-F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06"/>
    <w:rsid w:val="00035BA6"/>
    <w:rsid w:val="005A3447"/>
    <w:rsid w:val="00644C37"/>
    <w:rsid w:val="009D3206"/>
    <w:rsid w:val="00B852F2"/>
    <w:rsid w:val="00BF2D7F"/>
    <w:rsid w:val="00E313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BF02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9D3206"/>
    <w:pPr>
      <w:spacing w:after="200" w:line="276" w:lineRule="auto"/>
    </w:pPr>
    <w:rPr>
      <w:rFonts w:ascii="Calibri" w:eastAsia="Calibri" w:hAnsi="Calibri" w:cs="Times New Roman"/>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9D3206"/>
    <w:rPr>
      <w:color w:val="0000FF"/>
      <w:u w:val="single"/>
    </w:rPr>
  </w:style>
  <w:style w:type="paragraph" w:styleId="Lijstalinea">
    <w:name w:val="List Paragraph"/>
    <w:basedOn w:val="Standaard"/>
    <w:uiPriority w:val="34"/>
    <w:qFormat/>
    <w:rsid w:val="009D3206"/>
    <w:pPr>
      <w:spacing w:after="160" w:line="240" w:lineRule="auto"/>
      <w:ind w:left="720"/>
      <w:contextualSpacing/>
    </w:pPr>
    <w:rPr>
      <w:color w:val="191919"/>
      <w:lang w:val="en-GB"/>
    </w:rPr>
  </w:style>
  <w:style w:type="paragraph" w:styleId="Koptekst">
    <w:name w:val="header"/>
    <w:basedOn w:val="Standaard"/>
    <w:link w:val="KoptekstTeken"/>
    <w:rsid w:val="009D3206"/>
    <w:pPr>
      <w:tabs>
        <w:tab w:val="center" w:pos="4320"/>
        <w:tab w:val="right" w:pos="8640"/>
      </w:tabs>
      <w:spacing w:after="0" w:line="240" w:lineRule="auto"/>
    </w:pPr>
    <w:rPr>
      <w:rFonts w:ascii="Times New Roman" w:eastAsia="Times New Roman" w:hAnsi="Times New Roman"/>
      <w:sz w:val="20"/>
      <w:szCs w:val="20"/>
      <w:lang w:eastAsia="ko-KR"/>
    </w:rPr>
  </w:style>
  <w:style w:type="character" w:customStyle="1" w:styleId="KoptekstTeken">
    <w:name w:val="Koptekst Teken"/>
    <w:basedOn w:val="Standaardalinea-lettertype"/>
    <w:link w:val="Koptekst"/>
    <w:rsid w:val="009D3206"/>
    <w:rPr>
      <w:rFonts w:ascii="Times New Roman" w:eastAsia="Times New Roman" w:hAnsi="Times New Roman" w:cs="Times New Roman"/>
      <w:sz w:val="20"/>
      <w:szCs w:val="20"/>
      <w:lang w:val="en-US" w:eastAsia="ko-KR"/>
    </w:rPr>
  </w:style>
  <w:style w:type="paragraph" w:customStyle="1" w:styleId="Default">
    <w:name w:val="Default"/>
    <w:uiPriority w:val="99"/>
    <w:rsid w:val="009D3206"/>
    <w:pPr>
      <w:autoSpaceDE w:val="0"/>
      <w:autoSpaceDN w:val="0"/>
      <w:adjustRightInd w:val="0"/>
    </w:pPr>
    <w:rPr>
      <w:rFonts w:ascii="Arial" w:eastAsia="SimSun" w:hAnsi="Arial" w:cs="Arial"/>
      <w:snapToGrid w:val="0"/>
      <w:color w:val="00000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oph.so/Cfv36" TargetMode="External"/><Relationship Id="rId20" Type="http://schemas.openxmlformats.org/officeDocument/2006/relationships/hyperlink" Target="http://www.sophos.com/fr-fr/products/encryption.aspx" TargetMode="External"/><Relationship Id="rId21" Type="http://schemas.openxmlformats.org/officeDocument/2006/relationships/hyperlink" Target="http://www.sophos.com/fr-fr/products/endpoint.aspx" TargetMode="External"/><Relationship Id="rId22" Type="http://schemas.openxmlformats.org/officeDocument/2006/relationships/hyperlink" Target="http://www.sophos.com/fr-fr/products/network.aspx" TargetMode="External"/><Relationship Id="rId23" Type="http://schemas.openxmlformats.org/officeDocument/2006/relationships/hyperlink" Target="https://www.sophos.com/" TargetMode="External"/><Relationship Id="rId24" Type="http://schemas.openxmlformats.org/officeDocument/2006/relationships/hyperlink" Target="mailto:Sandra@square-egg.b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oph.so/CfvaA" TargetMode="External"/><Relationship Id="rId11" Type="http://schemas.openxmlformats.org/officeDocument/2006/relationships/hyperlink" Target="https://plus.google.com/+sophos" TargetMode="External"/><Relationship Id="rId12" Type="http://schemas.openxmlformats.org/officeDocument/2006/relationships/hyperlink" Target="http://soph.so/Cgbwa%20" TargetMode="External"/><Relationship Id="rId13" Type="http://schemas.openxmlformats.org/officeDocument/2006/relationships/hyperlink" Target="http://www.youtube.com/user/sophoslabs" TargetMode="External"/><Relationship Id="rId14" Type="http://schemas.openxmlformats.org/officeDocument/2006/relationships/hyperlink" Target="http://nakedsecurity.sophos.com/" TargetMode="External"/><Relationship Id="rId15" Type="http://schemas.openxmlformats.org/officeDocument/2006/relationships/hyperlink" Target="http://blogs.sophos.com/" TargetMode="External"/><Relationship Id="rId16" Type="http://schemas.openxmlformats.org/officeDocument/2006/relationships/hyperlink" Target="http://www.sophos.fr/" TargetMode="External"/><Relationship Id="rId17" Type="http://schemas.openxmlformats.org/officeDocument/2006/relationships/hyperlink" Target="http://www.sophos.com/fr-fr/products/web.aspx" TargetMode="External"/><Relationship Id="rId18" Type="http://schemas.openxmlformats.org/officeDocument/2006/relationships/hyperlink" Target="http://www.sophos.com/fr-fr/products/email.aspx" TargetMode="External"/><Relationship Id="rId19" Type="http://schemas.openxmlformats.org/officeDocument/2006/relationships/hyperlink" Target="http://www.sophos.com/fr-fr/products/mobile.aspx"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phos.com/" TargetMode="External"/><Relationship Id="rId6" Type="http://schemas.openxmlformats.org/officeDocument/2006/relationships/hyperlink" Target="http://www.forrester.com" TargetMode="External"/><Relationship Id="rId7" Type="http://schemas.openxmlformats.org/officeDocument/2006/relationships/hyperlink" Target="https://www.sophos.com/" TargetMode="External"/><Relationship Id="rId8" Type="http://schemas.openxmlformats.org/officeDocument/2006/relationships/hyperlink" Target="http://soph.so/CfuKd"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4886</Characters>
  <Application>Microsoft Macintosh Word</Application>
  <DocSecurity>0</DocSecurity>
  <Lines>78</Lines>
  <Paragraphs>32</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2016-10-21T13:59:00Z</dcterms:created>
  <dcterms:modified xsi:type="dcterms:W3CDTF">2016-10-21T14:01:00Z</dcterms:modified>
  <cp:category/>
</cp:coreProperties>
</file>