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both"/>
        <w:rPr/>
      </w:pPr>
      <w:r w:rsidDel="00000000" w:rsidR="00000000" w:rsidRPr="00000000">
        <w:rPr>
          <w:rFonts w:ascii="Inter" w:cs="Inter" w:eastAsia="Inter" w:hAnsi="Inter"/>
          <w:b w:val="1"/>
          <w:bCs w:val="1"/>
          <w:color w:val="7030a0"/>
          <w:sz w:val="34"/>
          <w:szCs w:val="34"/>
          <w:rtl w:val="0"/>
        </w:rPr>
        <w:t xml:space="preserve">IQOS lleva el color de los sueños a Volvo Fashion Week de la mano de Alfredo Martínez y Efecto Perfecto.</w:t>
      </w:r>
      <w:r w:rsidDel="00000000" w:rsidR="00000000" w:rsidRPr="00000000">
        <w:rPr>
          <w:rtl w:val="0"/>
        </w:rPr>
      </w:r>
    </w:p>
    <w:p w:rsidR="00000000" w:rsidDel="00000000" w:rsidP="00000000" w:rsidRDefault="00000000" w:rsidRPr="00000000" w14:paraId="00000002">
      <w:pPr>
        <w:numPr>
          <w:ilvl w:val="0"/>
          <w:numId w:val="1"/>
        </w:numPr>
        <w:spacing w:after="240" w:before="240" w:lineRule="auto"/>
        <w:ind w:left="720" w:hanging="360"/>
        <w:jc w:val="both"/>
        <w:rPr>
          <w:rFonts w:ascii="Inter Light" w:cs="Inter Light" w:eastAsia="Inter Light" w:hAnsi="Inter Light"/>
          <w:sz w:val="24"/>
          <w:szCs w:val="24"/>
        </w:rPr>
      </w:pPr>
      <w:r w:rsidDel="00000000" w:rsidR="00000000" w:rsidRPr="00000000">
        <w:rPr>
          <w:rFonts w:ascii="Inter" w:cs="Inter" w:eastAsia="Inter" w:hAnsi="Inter"/>
          <w:i w:val="1"/>
          <w:iCs w:val="1"/>
          <w:sz w:val="24"/>
          <w:szCs w:val="24"/>
          <w:rtl w:val="0"/>
        </w:rPr>
        <w:t xml:space="preserve">Electric Purple, el nuevo universo de </w:t>
      </w:r>
      <w:r w:rsidDel="00000000" w:rsidR="00000000" w:rsidRPr="00000000">
        <w:rPr>
          <w:rFonts w:ascii="Inter" w:cs="Inter" w:eastAsia="Inter" w:hAnsi="Inter"/>
          <w:b w:val="1"/>
          <w:bCs w:val="1"/>
          <w:i w:val="1"/>
          <w:iCs w:val="1"/>
          <w:sz w:val="24"/>
          <w:szCs w:val="24"/>
          <w:rtl w:val="0"/>
        </w:rPr>
        <w:t xml:space="preserve">IQOS</w:t>
      </w:r>
      <w:r w:rsidDel="00000000" w:rsidR="00000000" w:rsidRPr="00000000">
        <w:rPr>
          <w:rFonts w:ascii="Inter" w:cs="Inter" w:eastAsia="Inter" w:hAnsi="Inter"/>
          <w:i w:val="1"/>
          <w:iCs w:val="1"/>
          <w:sz w:val="24"/>
          <w:szCs w:val="24"/>
          <w:rtl w:val="0"/>
        </w:rPr>
        <w:t xml:space="preserve">, se convierte en el punto de encuentro entre moda, diseño y cultura a través de dos colaboraciones creativas desarrolladas especialmente para esta edición de Volvo Fashion Week México</w:t>
      </w:r>
      <w:r w:rsidDel="00000000" w:rsidR="00000000" w:rsidRPr="00000000">
        <w:rPr>
          <w:rFonts w:ascii="Inter Light" w:cs="Inter Light" w:eastAsia="Inter Light" w:hAnsi="Inter Light"/>
          <w:i w:val="1"/>
          <w:iCs w:val="1"/>
          <w:sz w:val="24"/>
          <w:szCs w:val="24"/>
          <w:rtl w:val="0"/>
        </w:rPr>
        <w:t xml:space="preserve">.</w:t>
      </w:r>
      <w:r w:rsidDel="00000000" w:rsidR="00000000" w:rsidRPr="00000000">
        <w:rPr>
          <w:rtl w:val="0"/>
        </w:rPr>
      </w:r>
    </w:p>
    <w:p w:rsidR="00000000" w:rsidDel="00000000" w:rsidP="00000000" w:rsidRDefault="00000000" w:rsidRPr="00000000" w14:paraId="00000003">
      <w:pPr>
        <w:spacing w:after="240" w:before="240" w:lineRule="auto"/>
        <w:jc w:val="both"/>
        <w:rPr>
          <w:rFonts w:ascii="Inter" w:cs="Inter" w:eastAsia="Inter" w:hAnsi="Inter"/>
        </w:rPr>
      </w:pPr>
      <w:r w:rsidDel="00000000" w:rsidR="00000000" w:rsidRPr="00000000">
        <w:rPr>
          <w:rFonts w:ascii="Inter" w:cs="Inter" w:eastAsia="Inter" w:hAnsi="Inter"/>
          <w:b w:val="1"/>
          <w:bCs w:val="1"/>
          <w:rtl w:val="0"/>
        </w:rPr>
        <w:t xml:space="preserve">Ciudad de México, 13 de octubre de 2026.</w:t>
      </w:r>
      <w:r w:rsidDel="00000000" w:rsidR="00000000" w:rsidRPr="00000000">
        <w:rPr>
          <w:rFonts w:ascii="Inter" w:cs="Inter" w:eastAsia="Inter" w:hAnsi="Inter"/>
          <w:rtl w:val="0"/>
        </w:rPr>
        <w:t xml:space="preserve">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el sistema para calentar tabaco #1 en el mundo, fortalece su presencia como catalizador cultural, esta vez como patrocinador oficial de Volvo Fashion Week México. En esta edición, la marca lleva Electric Purple, su más reciente lanzamiento al territorio de la moda a través de dos colaboraciones creativas con el diseñador mexicano Alfredo Martínez y el estudio creativo colombiano Efecto Perfecto.</w:t>
      </w:r>
    </w:p>
    <w:p w:rsidR="00000000" w:rsidDel="00000000" w:rsidP="00000000" w:rsidRDefault="00000000" w:rsidRPr="00000000" w14:paraId="0000000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Del 12 al 17 de octubre, Volvo Fashion Week México reunirá a algunas de las propuestas que están dando forma al presente de la moda en el país, y será el escenario en el que IQOS explorará nuevas formas de expresión a partir de Electric Purple, el color de los sueños. </w:t>
      </w:r>
    </w:p>
    <w:p w:rsidR="00000000" w:rsidDel="00000000" w:rsidP="00000000" w:rsidRDefault="00000000" w:rsidRPr="00000000" w14:paraId="00000005">
      <w:pPr>
        <w:spacing w:after="240" w:before="240" w:lineRule="auto"/>
        <w:ind w:left="720" w:firstLine="0"/>
        <w:jc w:val="both"/>
        <w:rPr>
          <w:rFonts w:ascii="Inter" w:cs="Inter" w:eastAsia="Inter" w:hAnsi="Inter"/>
          <w:i w:val="1"/>
          <w:iCs w:val="1"/>
        </w:rPr>
      </w:pPr>
      <w:r w:rsidDel="00000000" w:rsidR="00000000" w:rsidRPr="00000000">
        <w:rPr>
          <w:rFonts w:ascii="Inter" w:cs="Inter" w:eastAsia="Inter" w:hAnsi="Inter"/>
          <w:i w:val="1"/>
          <w:iCs w:val="1"/>
          <w:rtl w:val="0"/>
        </w:rPr>
        <w:t xml:space="preserve">“Más que un color, Electric Purple representa el espíritu de IQOS de mirar más allá de lo conocido y encontrar nuevas maneras de interpretar el mundo. Hoy, la moda nos permite llevar esta visión a un espacio de creación, diálogo y nuevas perspectivas, invitando a los fumadores adultos a explorar la dimensión de la curiosidad, guiándolos hacia nuevas conexiones y ayudándolos a conocer mejores alternativas a los cigarros, como IQOS”, afirmó Leonardo de Alencar, vicepresidente de Productos Libres de Humo de Philip Morris México.</w:t>
      </w:r>
    </w:p>
    <w:p w:rsidR="00000000" w:rsidDel="00000000" w:rsidP="00000000" w:rsidRDefault="00000000" w:rsidRPr="00000000" w14:paraId="00000006">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primera de estas colaboraciones se materializa de la mano de Alfredo Martínez, quien presentará </w:t>
      </w:r>
      <w:r w:rsidDel="00000000" w:rsidR="00000000" w:rsidRPr="00000000">
        <w:rPr>
          <w:rFonts w:ascii="Inter" w:cs="Inter" w:eastAsia="Inter" w:hAnsi="Inter"/>
          <w:i w:val="1"/>
          <w:iCs w:val="1"/>
          <w:rtl w:val="0"/>
        </w:rPr>
        <w:t xml:space="preserve">Soñar despierto</w:t>
      </w:r>
      <w:r w:rsidDel="00000000" w:rsidR="00000000" w:rsidRPr="00000000">
        <w:rPr>
          <w:rFonts w:ascii="Inter" w:cs="Inter" w:eastAsia="Inter" w:hAnsi="Inter"/>
          <w:rtl w:val="0"/>
        </w:rPr>
        <w:t xml:space="preserve">, su colección Primavera/Verano 2027, inspirada en el mundo de los sueños y en el poema </w:t>
      </w:r>
      <w:r w:rsidDel="00000000" w:rsidR="00000000" w:rsidRPr="00000000">
        <w:rPr>
          <w:rFonts w:ascii="Inter" w:cs="Inter" w:eastAsia="Inter" w:hAnsi="Inter"/>
          <w:i w:val="1"/>
          <w:iCs w:val="1"/>
          <w:rtl w:val="0"/>
        </w:rPr>
        <w:t xml:space="preserve">Primero sueño</w:t>
      </w:r>
      <w:r w:rsidDel="00000000" w:rsidR="00000000" w:rsidRPr="00000000">
        <w:rPr>
          <w:rFonts w:ascii="Inter" w:cs="Inter" w:eastAsia="Inter" w:hAnsi="Inter"/>
          <w:rtl w:val="0"/>
        </w:rPr>
        <w:t xml:space="preserve"> de Sor Juana Inés de la Cruz. La propuesta explora ese instante entre la vigilia y el sueño, donde la mente se libera de los límites de lo conocido. </w:t>
      </w:r>
    </w:p>
    <w:p w:rsidR="00000000" w:rsidDel="00000000" w:rsidP="00000000" w:rsidRDefault="00000000" w:rsidRPr="00000000" w14:paraId="00000007">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A través de una paleta dominada por los matices violeta, la sutileza de las transparencias, los juegos de reflejos y la ligereza de siluetas en continuo movimiento, la colección evoca un universo onírico que entabla un diálogo armónico e intuitivo con Electric Dreams: la plataforma global de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que materializa la visión vibrante de Electric Purple en escenarios extraordinarios alrededor del  mundo, trascendiendo fronteras mediante experiencias inmersivas impulsadas por la música, el arte y la expresión cultural.</w:t>
      </w:r>
    </w:p>
    <w:p w:rsidR="00000000" w:rsidDel="00000000" w:rsidP="00000000" w:rsidRDefault="00000000" w:rsidRPr="00000000" w14:paraId="00000008">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A esta propuesta se suma Efecto Perfecto, estudio creativo colombiano cuyo trabajo transita entre distintas disciplinas visuales y sonoras. Para esta edición de Volvo Fashion Week México, el estudio lleva Electric Purple a su propio lenguaje, desarrollando una interpretación que expande el universo de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desde una mirada contemporánea y multidisciplinaria.</w:t>
      </w:r>
    </w:p>
    <w:p w:rsidR="00000000" w:rsidDel="00000000" w:rsidP="00000000" w:rsidRDefault="00000000" w:rsidRPr="00000000" w14:paraId="00000009">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Estas colaboraciones forman parte de la visión de IQOS de estar presente en los espacios donde se construyen las tendencias y, al mismo tiempo, contribuir a que sucedan. De esta manera, la participación de la marca en Volvo Fashion Week México representa una oportunidad para impulsar el talento creativo y acompañar nuevas propuestas que están marcando la escena de moda actual.</w:t>
      </w:r>
    </w:p>
    <w:p w:rsidR="00000000" w:rsidDel="00000000" w:rsidP="00000000" w:rsidRDefault="00000000" w:rsidRPr="00000000" w14:paraId="0000000A">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Para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ir más allá del producto significa construir relevancia desde los territorios que hoy conectan con las personas: la moda, el diseño, la creatividad y las experiencias culturales. A través de alianzas y plataformas de alto impacto, la marca continúa ampliando su papel dentro de la cultura contemporánea, no solo como espectador, sino como parte activa de los espacios que lo hacen posible.</w:t>
      </w:r>
    </w:p>
    <w:p w:rsidR="00000000" w:rsidDel="00000000" w:rsidP="00000000" w:rsidRDefault="00000000" w:rsidRPr="00000000" w14:paraId="0000000B">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esta edición de Volvo Fashion Week México,</w:t>
      </w:r>
      <w:r w:rsidDel="00000000" w:rsidR="00000000" w:rsidRPr="00000000">
        <w:rPr>
          <w:rFonts w:ascii="Inter" w:cs="Inter" w:eastAsia="Inter" w:hAnsi="Inter"/>
          <w:b w:val="1"/>
          <w:bCs w:val="1"/>
          <w:rtl w:val="0"/>
        </w:rPr>
        <w:t xml:space="preserve"> IQOS</w:t>
      </w:r>
      <w:r w:rsidDel="00000000" w:rsidR="00000000" w:rsidRPr="00000000">
        <w:rPr>
          <w:rFonts w:ascii="Inter" w:cs="Inter" w:eastAsia="Inter" w:hAnsi="Inter"/>
          <w:rtl w:val="0"/>
        </w:rPr>
        <w:t xml:space="preserve"> lleva el color de los sueños a la pasarela y reafirma una visión en la que una marca puede trascender su categoría para convertirse en parte de la conversación cultural que define el presente.</w:t>
      </w:r>
    </w:p>
    <w:p w:rsidR="00000000" w:rsidDel="00000000" w:rsidP="00000000" w:rsidRDefault="00000000" w:rsidRPr="00000000" w14:paraId="0000000C">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Durante una semana en la que la moda será el centro de la conversación,</w:t>
      </w:r>
      <w:r w:rsidDel="00000000" w:rsidR="00000000" w:rsidRPr="00000000">
        <w:rPr>
          <w:rFonts w:ascii="Inter" w:cs="Inter" w:eastAsia="Inter" w:hAnsi="Inter"/>
          <w:b w:val="1"/>
          <w:bCs w:val="1"/>
          <w:rtl w:val="0"/>
        </w:rPr>
        <w:t xml:space="preserve"> IQOS </w:t>
      </w:r>
      <w:r w:rsidDel="00000000" w:rsidR="00000000" w:rsidRPr="00000000">
        <w:rPr>
          <w:rFonts w:ascii="Inter" w:cs="Inter" w:eastAsia="Inter" w:hAnsi="Inter"/>
          <w:rtl w:val="0"/>
        </w:rPr>
        <w:t xml:space="preserve">invita a descubrir qué sucede cuando el color de los sueños encuentra nuevas formas de tomar vida.</w:t>
      </w:r>
    </w:p>
    <w:p w:rsidR="00000000" w:rsidDel="00000000" w:rsidP="00000000" w:rsidRDefault="00000000" w:rsidRPr="00000000" w14:paraId="0000000D">
      <w:pPr>
        <w:spacing w:line="276" w:lineRule="auto"/>
        <w:jc w:val="center"/>
        <w:rPr>
          <w:rFonts w:ascii="Inter" w:cs="Inter" w:eastAsia="Inter" w:hAnsi="Inter"/>
        </w:rPr>
      </w:pPr>
      <w:r w:rsidDel="00000000" w:rsidR="00000000" w:rsidRPr="00000000">
        <w:rPr>
          <w:rFonts w:ascii="Nunito" w:cs="Nunito" w:eastAsia="Nunito" w:hAnsi="Nunito"/>
          <w:sz w:val="16"/>
          <w:szCs w:val="16"/>
          <w:rtl w:val="0"/>
        </w:rPr>
        <w:t xml:space="preserve">IQOS no está exento de riesgos ya que proporciona nicotina, que es adictiva. Solo para uso de adultos. </w:t>
      </w:r>
      <w:r w:rsidDel="00000000" w:rsidR="00000000" w:rsidRPr="00000000">
        <w:rPr>
          <w:rtl w:val="0"/>
        </w:rPr>
      </w:r>
    </w:p>
    <w:p w:rsidR="00000000" w:rsidDel="00000000" w:rsidP="00000000" w:rsidRDefault="00000000" w:rsidRPr="00000000" w14:paraId="0000000E">
      <w:pPr>
        <w:spacing w:after="240" w:before="240" w:line="240" w:lineRule="auto"/>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Acerca de IQOS</w:t>
      </w:r>
    </w:p>
    <w:p w:rsidR="00000000" w:rsidDel="00000000" w:rsidP="00000000" w:rsidRDefault="00000000" w:rsidRPr="00000000" w14:paraId="0000000F">
      <w:pPr>
        <w:spacing w:after="240" w:before="240"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IQOS es el sistema de calentamiento de tabaco número 1 y un faro de progreso dentro de la industria, cambiando el panorama para bien y allanando el camino hacia un futuro libre de humo. IQOS domina continuamente los momentos de placer del tabaco y ofrece productos de alta calidad para todos los fumadores adultos que cambian de los cigarrillos a mejores alternativas.</w:t>
      </w:r>
    </w:p>
    <w:p w:rsidR="00000000" w:rsidDel="00000000" w:rsidP="00000000" w:rsidRDefault="00000000" w:rsidRPr="00000000" w14:paraId="00000010">
      <w:pPr>
        <w:spacing w:after="240" w:before="240"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Para los fumadores adultos que buscan más información sobre alternativas libres de humo, visiten </w:t>
      </w:r>
      <w:hyperlink r:id="rId7">
        <w:r w:rsidDel="00000000" w:rsidR="00000000" w:rsidRPr="00000000">
          <w:rPr>
            <w:rFonts w:ascii="Nunito" w:cs="Nunito" w:eastAsia="Nunito" w:hAnsi="Nunito"/>
            <w:color w:val="0000ff"/>
            <w:sz w:val="16"/>
            <w:szCs w:val="16"/>
            <w:u w:val="single"/>
            <w:rtl w:val="0"/>
          </w:rPr>
          <w:t xml:space="preserve">https://www.iqos.com</w:t>
        </w:r>
      </w:hyperlink>
      <w:r w:rsidDel="00000000" w:rsidR="00000000" w:rsidRPr="00000000">
        <w:rPr>
          <w:rFonts w:ascii="Nunito" w:cs="Nunito" w:eastAsia="Nunito" w:hAnsi="Nunito"/>
          <w:sz w:val="16"/>
          <w:szCs w:val="16"/>
          <w:rtl w:val="0"/>
        </w:rPr>
        <w:t xml:space="preserve">.</w:t>
      </w:r>
    </w:p>
    <w:p w:rsidR="00000000" w:rsidDel="00000000" w:rsidP="00000000" w:rsidRDefault="00000000" w:rsidRPr="00000000" w14:paraId="00000011">
      <w:pPr>
        <w:spacing w:after="160" w:line="278.00000000000006" w:lineRule="auto"/>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Philip Morris International: líder global en la construcción de un futuro libre de humo</w:t>
      </w:r>
    </w:p>
    <w:p w:rsidR="00000000" w:rsidDel="00000000" w:rsidP="00000000" w:rsidRDefault="00000000" w:rsidRPr="00000000" w14:paraId="00000012">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Philip Morris International (PMI) es una empresa internacional líder en bienes de consumo que trabaja activamente para construir un futuro libre de humo, al tiempo que evoluciona su portafolio con una visión de largo plazo para incorporar productos más allá de los sectores del tabaco y la nicotina.</w:t>
      </w:r>
    </w:p>
    <w:p w:rsidR="00000000" w:rsidDel="00000000" w:rsidP="00000000" w:rsidRDefault="00000000" w:rsidRPr="00000000" w14:paraId="00000013">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Actualmente, su portafolio está integrado principalmente por cigarrillos y productos libres de humo, entre los que se encuentran dispositivos para calentar tabaco y bolsas de nicotina. Al 30 de junio de 2026, los productos libres de humo de PMI estaban disponibles en 109 mercados. Al 31 de diciembre de 2025, la compañía estimaba que más de 43 millones de consumidores mayores de edad legal en todo el mundo utilizaban estos productos, muchos de los cuales habían dejado de fumar cigarrillos o reducido significativamente su consumo.</w:t>
      </w:r>
    </w:p>
    <w:p w:rsidR="00000000" w:rsidDel="00000000" w:rsidP="00000000" w:rsidRDefault="00000000" w:rsidRPr="00000000" w14:paraId="00000014">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En el segundo trimestre de 2026, el negocio de productos libres de humo representó aproximadamente el 42% de los ingresos netos totales de PMI.</w:t>
      </w:r>
    </w:p>
    <w:p w:rsidR="00000000" w:rsidDel="00000000" w:rsidP="00000000" w:rsidRDefault="00000000" w:rsidRPr="00000000" w14:paraId="00000015">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Desde 2008, PMI ha invertido más de 16 mil millones de dólares en el desarrollo, la validación científica y la comercialización de productos innovadores libres de humo, dirigidos a adultos en edad legal que, de otro modo, fumarían o consumirían otros productos con nicotina. Esta inversión responde a su objetivo de poner fin por completo a la venta de cigarrillos e incluye el desarrollo de capacidades científicas de primer nivel, particularmente en toxicología de sistemas preclínicos, investigación clínica y conductual, así como estudios posteriores a la comercialización.</w:t>
      </w:r>
    </w:p>
    <w:p w:rsidR="00000000" w:rsidDel="00000000" w:rsidP="00000000" w:rsidRDefault="00000000" w:rsidRPr="00000000" w14:paraId="00000016">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Tras una rigurosa evaluación basada en evidencia científica, la Administración de Alimentos y Medicamentos de Estados Unidos (FDA, por sus siglas en inglés) ha autorizado la comercialización del snus General, de Swedish Match; las bolsas de nicotina ZYN; y determinadas versiones de los dispositivos y consumibles IQOS de PMI. Estas autorizaciones fueron las primeras de su tipo en sus respectivas categorías. Asimismo, determinadas versiones de los dispositivos y consumibles IQOS, General snus y 20 variantes de bolsas de nicotina ZYN obtuvieron las primeras autorizaciones de la FDA como productos de tabaco de riesgo modificado (</w:t>
      </w:r>
      <w:r w:rsidDel="00000000" w:rsidR="00000000" w:rsidRPr="00000000">
        <w:rPr>
          <w:rFonts w:ascii="Nunito" w:cs="Nunito" w:eastAsia="Nunito" w:hAnsi="Nunito"/>
          <w:i w:val="1"/>
          <w:iCs w:val="1"/>
          <w:sz w:val="16"/>
          <w:szCs w:val="16"/>
          <w:rtl w:val="0"/>
        </w:rPr>
        <w:t xml:space="preserve">Modified Risk Tobacco Products</w:t>
      </w:r>
      <w:r w:rsidDel="00000000" w:rsidR="00000000" w:rsidRPr="00000000">
        <w:rPr>
          <w:rFonts w:ascii="Nunito" w:cs="Nunito" w:eastAsia="Nunito" w:hAnsi="Nunito"/>
          <w:sz w:val="16"/>
          <w:szCs w:val="16"/>
          <w:rtl w:val="0"/>
        </w:rPr>
        <w:t xml:space="preserve">).</w:t>
      </w:r>
    </w:p>
    <w:p w:rsidR="00000000" w:rsidDel="00000000" w:rsidP="00000000" w:rsidRDefault="00000000" w:rsidRPr="00000000" w14:paraId="00000017">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Con una sólida trayectoria y una amplia experiencia en ciencias de la vida, PMI mantiene la ambición de expandirse a largo plazo hacia áreas relacionadas con el bienestar.</w:t>
      </w:r>
    </w:p>
    <w:p w:rsidR="00000000" w:rsidDel="00000000" w:rsidP="00000000" w:rsidRDefault="00000000" w:rsidRPr="00000000" w14:paraId="00000018">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Las referencias a «PMI», «nosotros», «nuestro» y «nos» corresponden a Philip Morris International Inc. y sus subsidiarias.</w:t>
      </w:r>
    </w:p>
    <w:p w:rsidR="00000000" w:rsidDel="00000000" w:rsidP="00000000" w:rsidRDefault="00000000" w:rsidRPr="00000000" w14:paraId="00000019">
      <w:pPr>
        <w:spacing w:after="16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Para más información, visite</w:t>
      </w:r>
      <w:hyperlink r:id="rId8">
        <w:r w:rsidDel="00000000" w:rsidR="00000000" w:rsidRPr="00000000">
          <w:rPr>
            <w:rFonts w:ascii="Nunito" w:cs="Nunito" w:eastAsia="Nunito" w:hAnsi="Nunito"/>
            <w:sz w:val="16"/>
            <w:szCs w:val="16"/>
            <w:rtl w:val="0"/>
          </w:rPr>
          <w:t xml:space="preserve"> </w:t>
        </w:r>
      </w:hyperlink>
      <w:hyperlink r:id="rId9">
        <w:r w:rsidDel="00000000" w:rsidR="00000000" w:rsidRPr="00000000">
          <w:rPr>
            <w:rFonts w:ascii="Nunito" w:cs="Nunito" w:eastAsia="Nunito" w:hAnsi="Nunito"/>
            <w:color w:val="1155cc"/>
            <w:sz w:val="16"/>
            <w:szCs w:val="16"/>
            <w:rtl w:val="0"/>
          </w:rPr>
          <w:t xml:space="preserve">www.pmi.com</w:t>
        </w:r>
      </w:hyperlink>
      <w:r w:rsidDel="00000000" w:rsidR="00000000" w:rsidRPr="00000000">
        <w:rPr>
          <w:rFonts w:ascii="Nunito" w:cs="Nunito" w:eastAsia="Nunito" w:hAnsi="Nunito"/>
          <w:sz w:val="16"/>
          <w:szCs w:val="16"/>
          <w:rtl w:val="0"/>
        </w:rPr>
        <w:t xml:space="preserve"> y</w:t>
      </w:r>
      <w:hyperlink r:id="rId10">
        <w:r w:rsidDel="00000000" w:rsidR="00000000" w:rsidRPr="00000000">
          <w:rPr>
            <w:rFonts w:ascii="Nunito" w:cs="Nunito" w:eastAsia="Nunito" w:hAnsi="Nunito"/>
            <w:sz w:val="16"/>
            <w:szCs w:val="16"/>
            <w:rtl w:val="0"/>
          </w:rPr>
          <w:t xml:space="preserve"> </w:t>
        </w:r>
      </w:hyperlink>
      <w:hyperlink r:id="rId11">
        <w:r w:rsidDel="00000000" w:rsidR="00000000" w:rsidRPr="00000000">
          <w:rPr>
            <w:rFonts w:ascii="Nunito" w:cs="Nunito" w:eastAsia="Nunito" w:hAnsi="Nunito"/>
            <w:color w:val="1155cc"/>
            <w:sz w:val="16"/>
            <w:szCs w:val="16"/>
            <w:rtl w:val="0"/>
          </w:rPr>
          <w:t xml:space="preserve">www.pmiscience.com</w:t>
        </w:r>
      </w:hyperlink>
      <w:r w:rsidDel="00000000" w:rsidR="00000000" w:rsidRPr="00000000">
        <w:rPr>
          <w:rFonts w:ascii="Nunito" w:cs="Nunito" w:eastAsia="Nunito" w:hAnsi="Nunito"/>
          <w:sz w:val="16"/>
          <w:szCs w:val="16"/>
          <w:rtl w:val="0"/>
        </w:rPr>
        <w:t xml:space="preserve">.</w:t>
      </w:r>
    </w:p>
    <w:p w:rsidR="00000000" w:rsidDel="00000000" w:rsidP="00000000" w:rsidRDefault="00000000" w:rsidRPr="00000000" w14:paraId="0000001A">
      <w:pPr>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Contacto de prensa:</w:t>
      </w:r>
    </w:p>
    <w:p w:rsidR="00000000" w:rsidDel="00000000" w:rsidP="00000000" w:rsidRDefault="00000000" w:rsidRPr="00000000" w14:paraId="0000001B">
      <w:pPr>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T R E N D S É T E R A </w:t>
      </w:r>
    </w:p>
    <w:p w:rsidR="00000000" w:rsidDel="00000000" w:rsidP="00000000" w:rsidRDefault="00000000" w:rsidRPr="00000000" w14:paraId="0000001C">
      <w:pPr>
        <w:jc w:val="both"/>
        <w:rPr>
          <w:rFonts w:ascii="Nunito" w:cs="Nunito" w:eastAsia="Nunito" w:hAnsi="Nunito"/>
          <w:color w:val="0000ff"/>
          <w:sz w:val="16"/>
          <w:szCs w:val="16"/>
          <w:u w:val="single"/>
        </w:rPr>
      </w:pPr>
      <w:r w:rsidDel="00000000" w:rsidR="00000000" w:rsidRPr="00000000">
        <w:rPr>
          <w:rFonts w:ascii="Nunito" w:cs="Nunito" w:eastAsia="Nunito" w:hAnsi="Nunito"/>
          <w:sz w:val="16"/>
          <w:szCs w:val="16"/>
          <w:rtl w:val="0"/>
        </w:rPr>
        <w:t xml:space="preserve">Katya Vite | </w:t>
      </w:r>
      <w:r w:rsidDel="00000000" w:rsidR="00000000" w:rsidRPr="00000000">
        <w:rPr>
          <w:rFonts w:ascii="Nunito" w:cs="Nunito" w:eastAsia="Nunito" w:hAnsi="Nunito"/>
          <w:color w:val="0000ff"/>
          <w:sz w:val="16"/>
          <w:szCs w:val="16"/>
          <w:u w:val="single"/>
          <w:rtl w:val="0"/>
        </w:rPr>
        <w:t xml:space="preserve">kvite@</w:t>
      </w:r>
      <w:hyperlink r:id="rId12">
        <w:r w:rsidDel="00000000" w:rsidR="00000000" w:rsidRPr="00000000">
          <w:rPr>
            <w:rFonts w:ascii="Nunito" w:cs="Nunito" w:eastAsia="Nunito" w:hAnsi="Nunito"/>
            <w:color w:val="0000ff"/>
            <w:sz w:val="16"/>
            <w:szCs w:val="16"/>
            <w:u w:val="single"/>
            <w:rtl w:val="0"/>
          </w:rPr>
          <w:t xml:space="preserve">trendsetera.com.m</w:t>
        </w:r>
      </w:hyperlink>
      <w:r w:rsidDel="00000000" w:rsidR="00000000" w:rsidRPr="00000000">
        <w:rPr>
          <w:rFonts w:ascii="Nunito" w:cs="Nunito" w:eastAsia="Nunito" w:hAnsi="Nunito"/>
          <w:color w:val="0000ff"/>
          <w:sz w:val="16"/>
          <w:szCs w:val="16"/>
          <w:u w:val="single"/>
          <w:rtl w:val="0"/>
        </w:rPr>
        <w:t xml:space="preserve">x</w:t>
      </w:r>
    </w:p>
    <w:p w:rsidR="00000000" w:rsidDel="00000000" w:rsidP="00000000" w:rsidRDefault="00000000" w:rsidRPr="00000000" w14:paraId="0000001D">
      <w:pPr>
        <w:jc w:val="both"/>
        <w:rPr>
          <w:rFonts w:ascii="Nunito" w:cs="Nunito" w:eastAsia="Nunito" w:hAnsi="Nunito"/>
          <w:color w:val="0000ff"/>
          <w:sz w:val="16"/>
          <w:szCs w:val="16"/>
        </w:rPr>
      </w:pPr>
      <w:r w:rsidDel="00000000" w:rsidR="00000000" w:rsidRPr="00000000">
        <w:rPr>
          <w:rFonts w:ascii="Nunito" w:cs="Nunito" w:eastAsia="Nunito" w:hAnsi="Nunito"/>
          <w:sz w:val="16"/>
          <w:szCs w:val="16"/>
          <w:rtl w:val="0"/>
        </w:rPr>
        <w:t xml:space="preserve">Evelyn Márquez | </w:t>
      </w:r>
      <w:r w:rsidDel="00000000" w:rsidR="00000000" w:rsidRPr="00000000">
        <w:rPr>
          <w:rFonts w:ascii="Nunito" w:cs="Nunito" w:eastAsia="Nunito" w:hAnsi="Nunito"/>
          <w:color w:val="0000ff"/>
          <w:sz w:val="16"/>
          <w:szCs w:val="16"/>
          <w:u w:val="single"/>
          <w:rtl w:val="0"/>
        </w:rPr>
        <w:t xml:space="preserve">emarquez</w:t>
      </w:r>
      <w:hyperlink r:id="rId13">
        <w:r w:rsidDel="00000000" w:rsidR="00000000" w:rsidRPr="00000000">
          <w:rPr>
            <w:rFonts w:ascii="Nunito" w:cs="Nunito" w:eastAsia="Nunito" w:hAnsi="Nunito"/>
            <w:color w:val="0000ff"/>
            <w:sz w:val="16"/>
            <w:szCs w:val="16"/>
            <w:u w:val="single"/>
            <w:rtl w:val="0"/>
          </w:rPr>
          <w:t xml:space="preserve">@trendsetera.com.mx</w:t>
        </w:r>
      </w:hyperlink>
      <w:r w:rsidDel="00000000" w:rsidR="00000000" w:rsidRPr="00000000">
        <w:rPr>
          <w:rFonts w:ascii="Nunito" w:cs="Nunito" w:eastAsia="Nunito" w:hAnsi="Nunito"/>
          <w:color w:val="0000ff"/>
          <w:sz w:val="16"/>
          <w:szCs w:val="16"/>
          <w:rtl w:val="0"/>
        </w:rPr>
        <w:t xml:space="preserve"> </w:t>
      </w:r>
    </w:p>
    <w:p w:rsidR="00000000" w:rsidDel="00000000" w:rsidP="00000000" w:rsidRDefault="00000000" w:rsidRPr="00000000" w14:paraId="0000001E">
      <w:pPr>
        <w:jc w:val="both"/>
        <w:rPr>
          <w:rFonts w:ascii="Nunito" w:cs="Nunito" w:eastAsia="Nunito" w:hAnsi="Nunito"/>
          <w:sz w:val="20"/>
          <w:szCs w:val="20"/>
        </w:rPr>
      </w:pPr>
      <w:r w:rsidDel="00000000" w:rsidR="00000000" w:rsidRPr="00000000">
        <w:rPr>
          <w:rtl w:val="0"/>
        </w:rPr>
      </w:r>
    </w:p>
    <w:sectPr>
      <w:headerReference r:id="rId14" w:type="default"/>
      <w:footerReference r:id="rId1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un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spacing w:after="240" w:before="240" w:lineRule="auto"/>
      <w:jc w:val="both"/>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center"/>
      <w:rPr/>
    </w:pPr>
    <w:r w:rsidDel="00000000" w:rsidR="00000000" w:rsidRPr="00000000">
      <w:rPr>
        <w:rFonts w:ascii="Avenir" w:cs="Avenir" w:eastAsia="Avenir" w:hAnsi="Avenir"/>
        <w:b w:val="1"/>
        <w:bCs w:val="1"/>
        <w:sz w:val="36"/>
        <w:szCs w:val="36"/>
      </w:rPr>
      <w:drawing>
        <wp:inline distB="114300" distT="114300" distL="114300" distR="114300">
          <wp:extent cx="1396837" cy="491968"/>
          <wp:effectExtent b="0" l="0" r="0" t="0"/>
          <wp:docPr id="9" name="image1.png"/>
          <a:graphic>
            <a:graphicData uri="http://schemas.openxmlformats.org/drawingml/2006/picture">
              <pic:pic>
                <pic:nvPicPr>
                  <pic:cNvPr id="0" name="image1.png"/>
                  <pic:cNvPicPr preferRelativeResize="0"/>
                </pic:nvPicPr>
                <pic:blipFill>
                  <a:blip r:embed="rId1"/>
                  <a:srcRect b="0" l="23833" r="24799" t="0"/>
                  <a:stretch>
                    <a:fillRect/>
                  </a:stretch>
                </pic:blipFill>
                <pic:spPr>
                  <a:xfrm>
                    <a:off x="0" y="0"/>
                    <a:ext cx="1396837" cy="491968"/>
                  </a:xfrm>
                  <a:prstGeom prst="rect"/>
                  <a:ln/>
                </pic:spPr>
              </pic:pic>
            </a:graphicData>
          </a:graphic>
        </wp:inline>
      </w:drawing>
    </w:r>
    <w:r w:rsidDel="00000000" w:rsidR="00000000" w:rsidRPr="00000000">
      <w:rPr/>
      <w:drawing>
        <wp:inline distB="114300" distT="114300" distL="114300" distR="114300">
          <wp:extent cx="1592588" cy="434342"/>
          <wp:effectExtent b="0" l="0" r="0" t="0"/>
          <wp:docPr id="10"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2588" cy="43434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2"/>
    <w:tblPr>
      <w:tblStyleRowBandSize w:val="1"/>
      <w:tblStyleColBandSize w:val="1"/>
      <w:tblCellMar>
        <w:top w:w="0.0" w:type="dxa"/>
        <w:left w:w="70.0" w:type="dxa"/>
        <w:bottom w:w="0.0" w:type="dxa"/>
        <w:right w:w="70.0" w:type="dxa"/>
      </w:tblCellMar>
    </w:tblPr>
  </w:style>
  <w:style w:type="character" w:styleId="Refdecomentario">
    <w:name w:val="annotation reference"/>
    <w:basedOn w:val="Fuentedeprrafopredeter"/>
    <w:uiPriority w:val="99"/>
    <w:semiHidden w:val="1"/>
    <w:unhideWhenUsed w:val="1"/>
    <w:rsid w:val="00644DA9"/>
    <w:rPr>
      <w:sz w:val="16"/>
      <w:szCs w:val="16"/>
    </w:rPr>
  </w:style>
  <w:style w:type="paragraph" w:styleId="Textocomentario">
    <w:name w:val="annotation text"/>
    <w:basedOn w:val="Normal"/>
    <w:link w:val="TextocomentarioCar"/>
    <w:uiPriority w:val="99"/>
    <w:unhideWhenUsed w:val="1"/>
    <w:rsid w:val="00644DA9"/>
    <w:pPr>
      <w:spacing w:line="240" w:lineRule="auto"/>
    </w:pPr>
    <w:rPr>
      <w:sz w:val="20"/>
      <w:szCs w:val="20"/>
    </w:rPr>
  </w:style>
  <w:style w:type="character" w:styleId="TextocomentarioCar" w:customStyle="1">
    <w:name w:val="Texto comentario Car"/>
    <w:basedOn w:val="Fuentedeprrafopredeter"/>
    <w:link w:val="Textocomentario"/>
    <w:uiPriority w:val="99"/>
    <w:rsid w:val="00644DA9"/>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44DA9"/>
    <w:rPr>
      <w:b w:val="1"/>
      <w:bCs w:val="1"/>
    </w:rPr>
  </w:style>
  <w:style w:type="character" w:styleId="AsuntodelcomentarioCar" w:customStyle="1">
    <w:name w:val="Asunto del comentario Car"/>
    <w:basedOn w:val="TextocomentarioCar"/>
    <w:link w:val="Asuntodelcomentario"/>
    <w:uiPriority w:val="99"/>
    <w:semiHidden w:val="1"/>
    <w:rsid w:val="00644DA9"/>
    <w:rPr>
      <w:b w:val="1"/>
      <w:bCs w:val="1"/>
      <w:sz w:val="20"/>
      <w:szCs w:val="20"/>
    </w:rPr>
  </w:style>
  <w:style w:type="paragraph" w:styleId="Revisin">
    <w:name w:val="Revision"/>
    <w:hidden w:val="1"/>
    <w:uiPriority w:val="99"/>
    <w:semiHidden w:val="1"/>
    <w:rsid w:val="002E5467"/>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pmiscience.com" TargetMode="External"/><Relationship Id="rId10" Type="http://schemas.openxmlformats.org/officeDocument/2006/relationships/hyperlink" Target="http://www.pmiscience.com" TargetMode="External"/><Relationship Id="rId13" Type="http://schemas.openxmlformats.org/officeDocument/2006/relationships/hyperlink" Target="mailto:mjuarez@trendsetera.com.mx" TargetMode="External"/><Relationship Id="rId12" Type="http://schemas.openxmlformats.org/officeDocument/2006/relationships/hyperlink" Target="mailto:mvazquez@trendsetera.com.m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mi.com"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qos.com" TargetMode="External"/><Relationship Id="rId8" Type="http://schemas.openxmlformats.org/officeDocument/2006/relationships/hyperlink" Target="http://www.pmi.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11" Type="http://schemas.openxmlformats.org/officeDocument/2006/relationships/font" Target="fonts/Inter-italic.ttf"/><Relationship Id="rId10" Type="http://schemas.openxmlformats.org/officeDocument/2006/relationships/font" Target="fonts/Inter-bold.ttf"/><Relationship Id="rId12" Type="http://schemas.openxmlformats.org/officeDocument/2006/relationships/font" Target="fonts/Inter-boldItalic.ttf"/><Relationship Id="rId9" Type="http://schemas.openxmlformats.org/officeDocument/2006/relationships/font" Target="fonts/Inter-regular.ttf"/><Relationship Id="rId5" Type="http://schemas.openxmlformats.org/officeDocument/2006/relationships/font" Target="fonts/Nunito-regular.ttf"/><Relationship Id="rId6" Type="http://schemas.openxmlformats.org/officeDocument/2006/relationships/font" Target="fonts/Nunito-bold.ttf"/><Relationship Id="rId7" Type="http://schemas.openxmlformats.org/officeDocument/2006/relationships/font" Target="fonts/Nunito-italic.ttf"/><Relationship Id="rId8" Type="http://schemas.openxmlformats.org/officeDocument/2006/relationships/font" Target="fonts/Nuni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iJ/WFVHUJq5B4fBo+zutyTbKaQ==">CgMxLjA4AHIhMXJ2SUs3QXZ1aHhKM2xRQlAyZUxWTkV5QjExNUdEM0E1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2026-10-08T22:15:00Z</dcterms:created>
</cp:coreProperties>
</file>