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426B3" w14:textId="1D4C2E87" w:rsidR="00CE158F" w:rsidRPr="00CE158F" w:rsidRDefault="001A4321" w:rsidP="00CE158F">
      <w:pPr>
        <w:ind w:right="-284"/>
        <w:rPr>
          <w:rFonts w:asciiTheme="minorHAnsi" w:hAnsiTheme="minorHAnsi" w:cstheme="minorHAnsi"/>
          <w:b/>
          <w:bCs/>
          <w:color w:val="000000" w:themeColor="text1"/>
          <w:sz w:val="31"/>
          <w:szCs w:val="31"/>
          <w:lang w:val="en-US"/>
        </w:rPr>
      </w:pPr>
      <w:r w:rsidRPr="001A4321">
        <w:rPr>
          <w:rFonts w:asciiTheme="minorHAnsi" w:hAnsiTheme="minorHAnsi" w:cstheme="minorHAnsi"/>
          <w:b/>
          <w:bCs/>
          <w:color w:val="000000" w:themeColor="text1"/>
          <w:sz w:val="31"/>
          <w:szCs w:val="31"/>
          <w:lang w:val="en-US"/>
        </w:rPr>
        <w:t xml:space="preserve">Next Generation Monitoring: </w:t>
      </w:r>
      <w:r>
        <w:rPr>
          <w:rFonts w:asciiTheme="minorHAnsi" w:hAnsiTheme="minorHAnsi" w:cstheme="minorHAnsi"/>
          <w:b/>
          <w:bCs/>
          <w:color w:val="000000" w:themeColor="text1"/>
          <w:sz w:val="31"/>
          <w:szCs w:val="31"/>
          <w:lang w:val="en-US"/>
        </w:rPr>
        <w:br/>
      </w:r>
      <w:r w:rsidRPr="001A4321">
        <w:rPr>
          <w:rFonts w:asciiTheme="minorHAnsi" w:hAnsiTheme="minorHAnsi" w:cstheme="minorHAnsi"/>
          <w:b/>
          <w:bCs/>
          <w:color w:val="000000" w:themeColor="text1"/>
          <w:sz w:val="31"/>
          <w:szCs w:val="31"/>
          <w:lang w:val="en-US"/>
        </w:rPr>
        <w:t>Neumann Releases the KH 120 II</w:t>
      </w:r>
      <w:r w:rsidR="00206AC9">
        <w:rPr>
          <w:rFonts w:asciiTheme="minorHAnsi" w:hAnsiTheme="minorHAnsi" w:cstheme="minorHAnsi"/>
          <w:b/>
          <w:bCs/>
          <w:noProof/>
          <w:color w:val="000000" w:themeColor="text1"/>
          <w:sz w:val="28"/>
          <w:szCs w:val="28"/>
        </w:rPr>
        <w:drawing>
          <wp:inline distT="0" distB="0" distL="0" distR="0" wp14:anchorId="7250261C" wp14:editId="5E4CE180">
            <wp:extent cx="5311140" cy="3736899"/>
            <wp:effectExtent l="0" t="0" r="0" b="0"/>
            <wp:docPr id="1" name="Grafik 1" descr="Ein Bild, das Elektronik, Im Hau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Elektronik, Im Haus, Lautsprecher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311140" cy="3736899"/>
                    </a:xfrm>
                    <a:prstGeom prst="rect">
                      <a:avLst/>
                    </a:prstGeom>
                    <a:ln>
                      <a:noFill/>
                    </a:ln>
                    <a:extLst>
                      <a:ext uri="{53640926-AAD7-44D8-BBD7-CCE9431645EC}">
                        <a14:shadowObscured xmlns:a14="http://schemas.microsoft.com/office/drawing/2010/main"/>
                      </a:ext>
                    </a:extLst>
                  </pic:spPr>
                </pic:pic>
              </a:graphicData>
            </a:graphic>
          </wp:inline>
        </w:drawing>
      </w:r>
      <w:r w:rsidR="00CE158F">
        <w:rPr>
          <w:rFonts w:asciiTheme="minorHAnsi" w:hAnsiTheme="minorHAnsi" w:cstheme="minorHAnsi"/>
          <w:b/>
          <w:bCs/>
          <w:color w:val="000000" w:themeColor="text1"/>
          <w:sz w:val="31"/>
          <w:szCs w:val="31"/>
          <w:lang w:val="en-US"/>
        </w:rPr>
        <w:br/>
      </w:r>
    </w:p>
    <w:p w14:paraId="63CA76F6" w14:textId="58186CC6" w:rsidR="00115A50" w:rsidRDefault="001A4321" w:rsidP="00AB6634">
      <w:pPr>
        <w:rPr>
          <w:rFonts w:asciiTheme="minorHAnsi" w:hAnsiTheme="minorHAnsi" w:cstheme="minorHAnsi"/>
          <w:b/>
          <w:bCs/>
          <w:color w:val="000000" w:themeColor="text1"/>
          <w:lang w:val="en-US"/>
        </w:rPr>
      </w:pPr>
      <w:r w:rsidRPr="001A4321">
        <w:rPr>
          <w:rFonts w:asciiTheme="minorHAnsi" w:hAnsiTheme="minorHAnsi" w:cstheme="minorHAnsi"/>
          <w:b/>
          <w:bCs/>
          <w:color w:val="000000" w:themeColor="text1"/>
          <w:lang w:val="en-US"/>
        </w:rPr>
        <w:t>Berlin, Germany, 10 April 2023 – Neumann, one of the leading brands in pro audio, has announced the release of the KH 120 II studio monitor. Building upon the success of its predecessor, the KH 120 II offers improvements in all acoustic parameters for deeper bass, higher SPL capability, and increased resolution. In addition, its internal DSP engine allows for phase linear crossovers and room correction via Neumann’s MA 1 Automatic Alignment.</w:t>
      </w:r>
    </w:p>
    <w:p w14:paraId="3C11C6DD" w14:textId="1106EB73" w:rsidR="001A4321" w:rsidRDefault="001A4321" w:rsidP="00AB6634">
      <w:pPr>
        <w:rPr>
          <w:rFonts w:asciiTheme="minorHAnsi" w:hAnsiTheme="minorHAnsi" w:cstheme="minorHAnsi"/>
          <w:b/>
          <w:bCs/>
          <w:color w:val="000000" w:themeColor="text1"/>
          <w:lang w:val="en-US"/>
        </w:rPr>
      </w:pPr>
    </w:p>
    <w:p w14:paraId="21DACC6A" w14:textId="77777777" w:rsidR="001A4321" w:rsidRPr="001A4321" w:rsidRDefault="001A4321" w:rsidP="001A4321">
      <w:pPr>
        <w:rPr>
          <w:rFonts w:asciiTheme="majorHAnsi" w:hAnsiTheme="majorHAnsi" w:cstheme="majorHAnsi"/>
          <w:lang w:val="en-US"/>
        </w:rPr>
      </w:pPr>
      <w:r w:rsidRPr="001A4321">
        <w:rPr>
          <w:rFonts w:asciiTheme="majorHAnsi" w:hAnsiTheme="majorHAnsi" w:cstheme="majorHAnsi"/>
          <w:lang w:val="en-US"/>
        </w:rPr>
        <w:t xml:space="preserve">When Neumann released the KH 120 in 2010, it was the beginning of an ongoing success story. Neumann monitoring has since become the reference of choice in countless studios around the globe. The KH 120 II follows the same philosophy as its predecessor and takes it to the next level: highest linearity, lowest distortion, no coloration, and perfect adaptability to any acoustic environment. </w:t>
      </w:r>
    </w:p>
    <w:p w14:paraId="61E0C371" w14:textId="77777777" w:rsidR="001A4321" w:rsidRPr="001A4321" w:rsidRDefault="001A4321" w:rsidP="001A4321">
      <w:pPr>
        <w:rPr>
          <w:rFonts w:asciiTheme="majorHAnsi" w:hAnsiTheme="majorHAnsi" w:cstheme="majorHAnsi"/>
          <w:lang w:val="en-US"/>
        </w:rPr>
      </w:pPr>
    </w:p>
    <w:p w14:paraId="06B6A417" w14:textId="77777777" w:rsidR="001A4321" w:rsidRPr="001A4321" w:rsidRDefault="001A4321" w:rsidP="001A4321">
      <w:pPr>
        <w:rPr>
          <w:rFonts w:asciiTheme="majorHAnsi" w:hAnsiTheme="majorHAnsi" w:cstheme="majorHAnsi"/>
          <w:lang w:val="en-US"/>
        </w:rPr>
      </w:pPr>
      <w:r w:rsidRPr="001A4321">
        <w:rPr>
          <w:rFonts w:asciiTheme="majorHAnsi" w:hAnsiTheme="majorHAnsi" w:cstheme="majorHAnsi"/>
          <w:lang w:val="en-US"/>
        </w:rPr>
        <w:t xml:space="preserve">“It is part of the Neumann ethos to never be satisfied with what has been achieved so far,” says Portfolio Manager Stephan Mauer, “The KH 120 garnered hundreds of 5-star reviews, yet we knew that we could make it even better. For the KH 120 II we’ve developed a novel woofer </w:t>
      </w:r>
      <w:r w:rsidRPr="001A4321">
        <w:rPr>
          <w:rFonts w:asciiTheme="majorHAnsi" w:hAnsiTheme="majorHAnsi" w:cstheme="majorHAnsi"/>
          <w:lang w:val="en-US"/>
        </w:rPr>
        <w:lastRenderedPageBreak/>
        <w:t xml:space="preserve">design that reduces distortion audibly and allows for much higher SPLs. In addition to an exceptionally flat frequency response from 44 Hz to 21 kHz (±3 dB), the KH 120 II also offers a linearized phase response. Which translates to clear </w:t>
      </w:r>
      <w:proofErr w:type="spellStart"/>
      <w:r w:rsidRPr="001A4321">
        <w:rPr>
          <w:rFonts w:asciiTheme="majorHAnsi" w:hAnsiTheme="majorHAnsi" w:cstheme="majorHAnsi"/>
          <w:lang w:val="en-US"/>
        </w:rPr>
        <w:t>mids</w:t>
      </w:r>
      <w:proofErr w:type="spellEnd"/>
      <w:r w:rsidRPr="001A4321">
        <w:rPr>
          <w:rFonts w:asciiTheme="majorHAnsi" w:hAnsiTheme="majorHAnsi" w:cstheme="majorHAnsi"/>
          <w:lang w:val="en-US"/>
        </w:rPr>
        <w:t xml:space="preserve"> with astonishing transparency as well as extreme accuracy in the time domain, </w:t>
      </w:r>
      <w:proofErr w:type="gramStart"/>
      <w:r w:rsidRPr="001A4321">
        <w:rPr>
          <w:rFonts w:asciiTheme="majorHAnsi" w:hAnsiTheme="majorHAnsi" w:cstheme="majorHAnsi"/>
          <w:lang w:val="en-US"/>
        </w:rPr>
        <w:t>i.e.</w:t>
      </w:r>
      <w:proofErr w:type="gramEnd"/>
      <w:r w:rsidRPr="001A4321">
        <w:rPr>
          <w:rFonts w:asciiTheme="majorHAnsi" w:hAnsiTheme="majorHAnsi" w:cstheme="majorHAnsi"/>
          <w:lang w:val="en-US"/>
        </w:rPr>
        <w:t xml:space="preserve"> precise impulse reproduction and finely resolved reverbs.”</w:t>
      </w:r>
    </w:p>
    <w:p w14:paraId="27C1B842" w14:textId="203AC30C" w:rsidR="001A4321" w:rsidRPr="001A4321" w:rsidRDefault="001A4321" w:rsidP="001A4321">
      <w:pPr>
        <w:rPr>
          <w:rFonts w:asciiTheme="majorHAnsi" w:hAnsiTheme="majorHAnsi" w:cstheme="majorHAnsi"/>
          <w:lang w:val="en-US"/>
        </w:rPr>
      </w:pPr>
    </w:p>
    <w:p w14:paraId="4DC694C4" w14:textId="09595CFC" w:rsidR="001A4321" w:rsidRPr="001A4321" w:rsidRDefault="00206AC9" w:rsidP="001A4321">
      <w:pPr>
        <w:rPr>
          <w:rFonts w:asciiTheme="majorHAnsi" w:hAnsiTheme="majorHAnsi" w:cstheme="majorHAnsi"/>
          <w:lang w:val="en-US"/>
        </w:rPr>
      </w:pPr>
      <w:r>
        <w:rPr>
          <w:rFonts w:asciiTheme="majorHAnsi" w:hAnsiTheme="majorHAnsi" w:cstheme="majorHAnsi"/>
          <w:noProof/>
        </w:rPr>
        <w:drawing>
          <wp:anchor distT="0" distB="0" distL="114300" distR="114300" simplePos="0" relativeHeight="251659264" behindDoc="1" locked="0" layoutInCell="1" allowOverlap="1" wp14:anchorId="5014A1FB" wp14:editId="27930D25">
            <wp:simplePos x="0" y="0"/>
            <wp:positionH relativeFrom="column">
              <wp:posOffset>0</wp:posOffset>
            </wp:positionH>
            <wp:positionV relativeFrom="paragraph">
              <wp:posOffset>10342</wp:posOffset>
            </wp:positionV>
            <wp:extent cx="2162175" cy="1621790"/>
            <wp:effectExtent l="0" t="0" r="0" b="3810"/>
            <wp:wrapTight wrapText="bothSides">
              <wp:wrapPolygon edited="1">
                <wp:start x="0" y="0"/>
                <wp:lineTo x="0" y="21482"/>
                <wp:lineTo x="22202" y="21600"/>
                <wp:lineTo x="22419" y="0"/>
                <wp:lineTo x="0" y="0"/>
              </wp:wrapPolygon>
            </wp:wrapTight>
            <wp:docPr id="3" name="Grafik 3" descr="Ein Bild, das Elektronik,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Elektronik, Projektor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162175" cy="1621790"/>
                    </a:xfrm>
                    <a:prstGeom prst="rect">
                      <a:avLst/>
                    </a:prstGeom>
                  </pic:spPr>
                </pic:pic>
              </a:graphicData>
            </a:graphic>
            <wp14:sizeRelH relativeFrom="page">
              <wp14:pctWidth>0</wp14:pctWidth>
            </wp14:sizeRelH>
            <wp14:sizeRelV relativeFrom="page">
              <wp14:pctHeight>0</wp14:pctHeight>
            </wp14:sizeRelV>
          </wp:anchor>
        </w:drawing>
      </w:r>
      <w:r w:rsidR="001A4321" w:rsidRPr="001A4321">
        <w:rPr>
          <w:rFonts w:asciiTheme="majorHAnsi" w:hAnsiTheme="majorHAnsi" w:cstheme="majorHAnsi"/>
          <w:lang w:val="en-US"/>
        </w:rPr>
        <w:t xml:space="preserve">This is made possible by DSP-controlled electronics whose sophisticated crossovers avoid the phase distortion caused by analog filters. The internal DSP also realizes new standards in tonal consistency. The KH 120-II is made to extremely low tolerances of no more than ±0.5 </w:t>
      </w:r>
      <w:proofErr w:type="spellStart"/>
      <w:r w:rsidR="001A4321" w:rsidRPr="001A4321">
        <w:rPr>
          <w:rFonts w:asciiTheme="majorHAnsi" w:hAnsiTheme="majorHAnsi" w:cstheme="majorHAnsi"/>
          <w:lang w:val="en-US"/>
        </w:rPr>
        <w:t>dB.</w:t>
      </w:r>
      <w:proofErr w:type="spellEnd"/>
      <w:r w:rsidR="001A4321" w:rsidRPr="001A4321">
        <w:rPr>
          <w:rFonts w:asciiTheme="majorHAnsi" w:hAnsiTheme="majorHAnsi" w:cstheme="majorHAnsi"/>
          <w:lang w:val="en-US"/>
        </w:rPr>
        <w:t xml:space="preserve"> Stereo imaging, therefore, is razor-sharp. Digital electronics also allow for automatic room alignment using Neumann's MA 1 hardware/software solution (sold separately).</w:t>
      </w:r>
    </w:p>
    <w:p w14:paraId="56460668" w14:textId="77777777" w:rsidR="001A4321" w:rsidRPr="001A4321" w:rsidRDefault="001A4321" w:rsidP="001A4321">
      <w:pPr>
        <w:rPr>
          <w:rFonts w:asciiTheme="majorHAnsi" w:hAnsiTheme="majorHAnsi" w:cstheme="majorHAnsi"/>
          <w:lang w:val="en-US"/>
        </w:rPr>
      </w:pPr>
    </w:p>
    <w:p w14:paraId="5770B080" w14:textId="491C013A" w:rsidR="001A4321" w:rsidRPr="001A4321" w:rsidRDefault="00206AC9" w:rsidP="001A4321">
      <w:pPr>
        <w:rPr>
          <w:rFonts w:asciiTheme="majorHAnsi" w:hAnsiTheme="majorHAnsi" w:cstheme="majorHAnsi"/>
          <w:lang w:val="en-US"/>
        </w:rPr>
      </w:pPr>
      <w:r>
        <w:rPr>
          <w:rFonts w:asciiTheme="majorHAnsi" w:hAnsiTheme="majorHAnsi" w:cstheme="majorHAnsi"/>
          <w:noProof/>
        </w:rPr>
        <w:drawing>
          <wp:anchor distT="0" distB="0" distL="114300" distR="114300" simplePos="0" relativeHeight="251661312" behindDoc="1" locked="0" layoutInCell="1" allowOverlap="1" wp14:anchorId="5C149B74" wp14:editId="7510C025">
            <wp:simplePos x="0" y="0"/>
            <wp:positionH relativeFrom="column">
              <wp:posOffset>2830286</wp:posOffset>
            </wp:positionH>
            <wp:positionV relativeFrom="paragraph">
              <wp:posOffset>290740</wp:posOffset>
            </wp:positionV>
            <wp:extent cx="2381250" cy="1784985"/>
            <wp:effectExtent l="0" t="0" r="6350" b="5715"/>
            <wp:wrapTight wrapText="bothSides">
              <wp:wrapPolygon edited="0">
                <wp:start x="0" y="0"/>
                <wp:lineTo x="0" y="21515"/>
                <wp:lineTo x="21542" y="21515"/>
                <wp:lineTo x="21542" y="0"/>
                <wp:lineTo x="0" y="0"/>
              </wp:wrapPolygon>
            </wp:wrapTight>
            <wp:docPr id="5" name="Grafik 5" descr="Ein Bild, das Im Haus, St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Im Haus, Stift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381250" cy="1784985"/>
                    </a:xfrm>
                    <a:prstGeom prst="rect">
                      <a:avLst/>
                    </a:prstGeom>
                  </pic:spPr>
                </pic:pic>
              </a:graphicData>
            </a:graphic>
            <wp14:sizeRelH relativeFrom="page">
              <wp14:pctWidth>0</wp14:pctWidth>
            </wp14:sizeRelH>
            <wp14:sizeRelV relativeFrom="page">
              <wp14:pctHeight>0</wp14:pctHeight>
            </wp14:sizeRelV>
          </wp:anchor>
        </w:drawing>
      </w:r>
      <w:r w:rsidR="001A4321" w:rsidRPr="001A4321">
        <w:rPr>
          <w:rFonts w:asciiTheme="majorHAnsi" w:hAnsiTheme="majorHAnsi" w:cstheme="majorHAnsi"/>
          <w:lang w:val="en-US"/>
        </w:rPr>
        <w:t xml:space="preserve">“Even the best studio monitor is dependent on its acoustic environment”, explains Neumann’s CEO Ralf </w:t>
      </w:r>
      <w:proofErr w:type="spellStart"/>
      <w:r w:rsidR="001A4321" w:rsidRPr="001A4321">
        <w:rPr>
          <w:rFonts w:asciiTheme="majorHAnsi" w:hAnsiTheme="majorHAnsi" w:cstheme="majorHAnsi"/>
          <w:lang w:val="en-US"/>
        </w:rPr>
        <w:t>Oehl</w:t>
      </w:r>
      <w:proofErr w:type="spellEnd"/>
      <w:r w:rsidR="001A4321" w:rsidRPr="001A4321">
        <w:rPr>
          <w:rFonts w:asciiTheme="majorHAnsi" w:hAnsiTheme="majorHAnsi" w:cstheme="majorHAnsi"/>
          <w:lang w:val="en-US"/>
        </w:rPr>
        <w:t>. “So, being able to use the KH 120 II with Neumann’s Automatic Monitor Alignment MA 1 is an enormous advantage in terms of real-world performance. Finally, you can work with reliable reference-class monitoring even in less-than-ideal environments such as small studios or makeshift control rooms for mobile recording. But of course, the KH 120 II is also an excellent solution for professional studios, editing suites, and even immersive setups.”</w:t>
      </w:r>
      <w:r w:rsidRPr="00206AC9">
        <w:rPr>
          <w:rFonts w:asciiTheme="majorHAnsi" w:hAnsiTheme="majorHAnsi" w:cstheme="majorHAnsi"/>
          <w:noProof/>
          <w:lang w:val="en-US"/>
        </w:rPr>
        <w:t xml:space="preserve"> </w:t>
      </w:r>
    </w:p>
    <w:p w14:paraId="19300DD9" w14:textId="77777777" w:rsidR="001A4321" w:rsidRPr="001A4321" w:rsidRDefault="001A4321" w:rsidP="001A4321">
      <w:pPr>
        <w:rPr>
          <w:rFonts w:asciiTheme="majorHAnsi" w:hAnsiTheme="majorHAnsi" w:cstheme="majorHAnsi"/>
          <w:lang w:val="en-US"/>
        </w:rPr>
      </w:pPr>
    </w:p>
    <w:p w14:paraId="638FEE29" w14:textId="77777777" w:rsidR="001A4321" w:rsidRPr="001A4321" w:rsidRDefault="001A4321" w:rsidP="001A4321">
      <w:pPr>
        <w:rPr>
          <w:rFonts w:asciiTheme="majorHAnsi" w:hAnsiTheme="majorHAnsi" w:cstheme="majorHAnsi"/>
          <w:lang w:val="en-US"/>
        </w:rPr>
      </w:pPr>
      <w:r w:rsidRPr="001A4321">
        <w:rPr>
          <w:rFonts w:asciiTheme="majorHAnsi" w:hAnsiTheme="majorHAnsi" w:cstheme="majorHAnsi"/>
          <w:lang w:val="en-US"/>
        </w:rPr>
        <w:t xml:space="preserve">The KH 120 II is also an update in sustainability. Neumann engineers took great care to develop a patent pending amplifier technology which combines superior audio performance with the energy efficiency of Class D. Although the amplifiers of the KH 120 II deliver up to 145 W to the 5.25” woofer and 100 W to the 1” tweeter, they only consume 17 W at idle. </w:t>
      </w:r>
      <w:proofErr w:type="gramStart"/>
      <w:r w:rsidRPr="001A4321">
        <w:rPr>
          <w:rFonts w:asciiTheme="majorHAnsi" w:hAnsiTheme="majorHAnsi" w:cstheme="majorHAnsi"/>
          <w:lang w:val="en-US"/>
        </w:rPr>
        <w:t>Auto-standby</w:t>
      </w:r>
      <w:proofErr w:type="gramEnd"/>
      <w:r w:rsidRPr="001A4321">
        <w:rPr>
          <w:rFonts w:asciiTheme="majorHAnsi" w:hAnsiTheme="majorHAnsi" w:cstheme="majorHAnsi"/>
          <w:lang w:val="en-US"/>
        </w:rPr>
        <w:t xml:space="preserve"> reduces power consumption to 0.3 W when the KH 120 II has not been used for a while, but can be deactivated. </w:t>
      </w:r>
    </w:p>
    <w:p w14:paraId="23B07ACE" w14:textId="77777777" w:rsidR="001A4321" w:rsidRPr="001A4321" w:rsidRDefault="001A4321" w:rsidP="001A4321">
      <w:pPr>
        <w:rPr>
          <w:rFonts w:asciiTheme="majorHAnsi" w:hAnsiTheme="majorHAnsi" w:cstheme="majorHAnsi"/>
          <w:lang w:val="en-US"/>
        </w:rPr>
      </w:pPr>
    </w:p>
    <w:p w14:paraId="4463F77E" w14:textId="3CFDEE22" w:rsidR="001A4321" w:rsidRPr="001A4321" w:rsidRDefault="00206AC9" w:rsidP="001A4321">
      <w:pPr>
        <w:rPr>
          <w:rFonts w:asciiTheme="majorHAnsi" w:hAnsiTheme="majorHAnsi" w:cstheme="majorHAnsi"/>
          <w:lang w:val="en-US"/>
        </w:rPr>
      </w:pPr>
      <w:r>
        <w:rPr>
          <w:rFonts w:asciiTheme="majorHAnsi" w:hAnsiTheme="majorHAnsi" w:cstheme="majorHAnsi"/>
          <w:noProof/>
        </w:rPr>
        <w:lastRenderedPageBreak/>
        <w:drawing>
          <wp:anchor distT="0" distB="0" distL="114300" distR="114300" simplePos="0" relativeHeight="251663360" behindDoc="1" locked="0" layoutInCell="1" allowOverlap="1" wp14:anchorId="74A559BA" wp14:editId="7C37C8DD">
            <wp:simplePos x="0" y="0"/>
            <wp:positionH relativeFrom="column">
              <wp:posOffset>3366770</wp:posOffset>
            </wp:positionH>
            <wp:positionV relativeFrom="paragraph">
              <wp:posOffset>3810</wp:posOffset>
            </wp:positionV>
            <wp:extent cx="1795145" cy="1403985"/>
            <wp:effectExtent l="0" t="0" r="0" b="5715"/>
            <wp:wrapTight wrapText="bothSides">
              <wp:wrapPolygon edited="0">
                <wp:start x="0" y="0"/>
                <wp:lineTo x="0" y="21493"/>
                <wp:lineTo x="21394" y="21493"/>
                <wp:lineTo x="21394" y="0"/>
                <wp:lineTo x="0" y="0"/>
              </wp:wrapPolygon>
            </wp:wrapTight>
            <wp:docPr id="6" name="Grafik 6" descr="Ein Bild, das Im Hau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Im Haus, Elektronik enthält.&#10;&#10;Automatisch generierte Beschreibu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9514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321" w:rsidRPr="001A4321">
        <w:rPr>
          <w:rFonts w:asciiTheme="majorHAnsi" w:hAnsiTheme="majorHAnsi" w:cstheme="majorHAnsi"/>
          <w:lang w:val="en-US"/>
        </w:rPr>
        <w:t>The KH 120 II offers analog and digital inputs (S/PDIF). It will also be available in an AES67 variant with redundant AES67 audio network ports that are fully compliant with broadcast standards such as ST 2110, ST 2022-7 redundancy, and RAVENNA. At the same time, the KH 120 II AES67 is compatible with DANTE®-generated AES67 network streams.</w:t>
      </w:r>
    </w:p>
    <w:p w14:paraId="75EBC3B1" w14:textId="0CE8351E" w:rsidR="001A4321" w:rsidRDefault="001A4321" w:rsidP="001A4321">
      <w:pPr>
        <w:rPr>
          <w:rFonts w:asciiTheme="majorHAnsi" w:hAnsiTheme="majorHAnsi" w:cstheme="majorHAnsi"/>
          <w:lang w:val="en-US"/>
        </w:rPr>
      </w:pPr>
    </w:p>
    <w:p w14:paraId="434A8668" w14:textId="77777777" w:rsidR="00206AC9" w:rsidRPr="001A4321" w:rsidRDefault="00206AC9" w:rsidP="001A4321">
      <w:pPr>
        <w:rPr>
          <w:rFonts w:asciiTheme="majorHAnsi" w:hAnsiTheme="majorHAnsi" w:cstheme="majorHAnsi"/>
          <w:lang w:val="en-US"/>
        </w:rPr>
      </w:pPr>
    </w:p>
    <w:p w14:paraId="70BF6511" w14:textId="77777777" w:rsidR="001A4321" w:rsidRPr="001A4321" w:rsidRDefault="001A4321" w:rsidP="001A4321">
      <w:pPr>
        <w:rPr>
          <w:rFonts w:asciiTheme="majorHAnsi" w:hAnsiTheme="majorHAnsi" w:cstheme="majorHAnsi"/>
          <w:lang w:val="en-US"/>
        </w:rPr>
      </w:pPr>
      <w:r w:rsidRPr="001A4321">
        <w:rPr>
          <w:rFonts w:asciiTheme="majorHAnsi" w:hAnsiTheme="majorHAnsi" w:cstheme="majorHAnsi"/>
          <w:lang w:val="en-US"/>
        </w:rPr>
        <w:t>The KH 120 II and KH 120 II AES67 will be available from 17 April 2023.</w:t>
      </w:r>
    </w:p>
    <w:p w14:paraId="79954278" w14:textId="77777777" w:rsidR="001A4321" w:rsidRPr="001A4321" w:rsidRDefault="001A4321" w:rsidP="001A4321">
      <w:pPr>
        <w:rPr>
          <w:rFonts w:asciiTheme="majorHAnsi" w:hAnsiTheme="majorHAnsi" w:cstheme="majorHAnsi"/>
          <w:lang w:val="en-US"/>
        </w:rPr>
      </w:pPr>
      <w:r w:rsidRPr="001A4321">
        <w:rPr>
          <w:rFonts w:asciiTheme="majorHAnsi" w:hAnsiTheme="majorHAnsi" w:cstheme="majorHAnsi"/>
          <w:lang w:val="en-US"/>
        </w:rPr>
        <w:t>List prices: KH 120 II € 899/$ 999; KH 120 II AES67 € 1195/$ 1250.</w:t>
      </w:r>
    </w:p>
    <w:p w14:paraId="6E23FB30" w14:textId="7C9C46B6" w:rsidR="001A4321" w:rsidRDefault="001A4321" w:rsidP="001A4321">
      <w:pPr>
        <w:rPr>
          <w:rFonts w:asciiTheme="majorHAnsi" w:hAnsiTheme="majorHAnsi" w:cstheme="majorHAnsi"/>
          <w:lang w:val="en-US"/>
        </w:rPr>
      </w:pPr>
      <w:r w:rsidRPr="001A4321">
        <w:rPr>
          <w:rFonts w:asciiTheme="majorHAnsi" w:hAnsiTheme="majorHAnsi" w:cstheme="majorHAnsi"/>
          <w:lang w:val="en-US"/>
        </w:rPr>
        <w:t xml:space="preserve">More information at </w:t>
      </w:r>
      <w:r w:rsidR="00C00ED5">
        <w:rPr>
          <w:rFonts w:asciiTheme="majorHAnsi" w:hAnsiTheme="majorHAnsi" w:cstheme="majorHAnsi"/>
          <w:color w:val="0000E9"/>
          <w:u w:val="single" w:color="0000E9"/>
          <w:lang w:val="en-US"/>
        </w:rPr>
        <w:fldChar w:fldCharType="begin"/>
      </w:r>
      <w:r w:rsidR="00C00ED5">
        <w:rPr>
          <w:rFonts w:asciiTheme="majorHAnsi" w:hAnsiTheme="majorHAnsi" w:cstheme="majorHAnsi"/>
          <w:color w:val="0000E9"/>
          <w:u w:val="single" w:color="0000E9"/>
          <w:lang w:val="en-US"/>
        </w:rPr>
        <w:instrText xml:space="preserve"> HYPERLINK "</w:instrText>
      </w:r>
      <w:r w:rsidR="00C00ED5" w:rsidRPr="006B2EFB">
        <w:rPr>
          <w:rFonts w:asciiTheme="majorHAnsi" w:hAnsiTheme="majorHAnsi" w:cstheme="majorHAnsi"/>
          <w:color w:val="0000E9"/>
          <w:u w:val="single" w:color="0000E9"/>
          <w:lang w:val="en-US"/>
        </w:rPr>
        <w:instrText>https://www.neumann.com/en-en/produ</w:instrText>
      </w:r>
      <w:r w:rsidR="00C00ED5">
        <w:rPr>
          <w:rFonts w:asciiTheme="majorHAnsi" w:hAnsiTheme="majorHAnsi" w:cstheme="majorHAnsi"/>
          <w:color w:val="0000E9"/>
          <w:u w:val="single" w:color="0000E9"/>
          <w:lang w:val="en-US"/>
        </w:rPr>
        <w:instrText>cts</w:instrText>
      </w:r>
      <w:r w:rsidR="00C00ED5" w:rsidRPr="006B2EFB">
        <w:rPr>
          <w:rFonts w:asciiTheme="majorHAnsi" w:hAnsiTheme="majorHAnsi" w:cstheme="majorHAnsi"/>
          <w:color w:val="0000E9"/>
          <w:u w:val="single" w:color="0000E9"/>
          <w:lang w:val="en-US"/>
        </w:rPr>
        <w:instrText>/monitors/kh-120-ii</w:instrText>
      </w:r>
      <w:r w:rsidR="00C00ED5">
        <w:rPr>
          <w:rFonts w:asciiTheme="majorHAnsi" w:hAnsiTheme="majorHAnsi" w:cstheme="majorHAnsi"/>
          <w:color w:val="0000E9"/>
          <w:u w:val="single" w:color="0000E9"/>
          <w:lang w:val="en-US"/>
        </w:rPr>
        <w:instrText xml:space="preserve">" </w:instrText>
      </w:r>
      <w:r w:rsidR="00C00ED5">
        <w:rPr>
          <w:rFonts w:asciiTheme="majorHAnsi" w:hAnsiTheme="majorHAnsi" w:cstheme="majorHAnsi"/>
          <w:color w:val="0000E9"/>
          <w:u w:val="single" w:color="0000E9"/>
          <w:lang w:val="en-US"/>
        </w:rPr>
        <w:fldChar w:fldCharType="separate"/>
      </w:r>
      <w:r w:rsidR="00C00ED5" w:rsidRPr="00EE412A">
        <w:rPr>
          <w:rStyle w:val="Hyperlink"/>
          <w:rFonts w:asciiTheme="majorHAnsi" w:hAnsiTheme="majorHAnsi" w:cstheme="majorHAnsi"/>
          <w:lang w:val="en-US"/>
        </w:rPr>
        <w:t>https://www.neumann.com/en-en/products/monitors/kh-120-ii</w:t>
      </w:r>
      <w:r w:rsidR="00C00ED5">
        <w:rPr>
          <w:rFonts w:asciiTheme="majorHAnsi" w:hAnsiTheme="majorHAnsi" w:cstheme="majorHAnsi"/>
          <w:color w:val="0000E9"/>
          <w:u w:val="single" w:color="0000E9"/>
          <w:lang w:val="en-US"/>
        </w:rPr>
        <w:fldChar w:fldCharType="end"/>
      </w:r>
    </w:p>
    <w:p w14:paraId="7CDA6A04" w14:textId="622204BA" w:rsidR="001A4321" w:rsidRDefault="001A4321" w:rsidP="001A4321">
      <w:pPr>
        <w:rPr>
          <w:rFonts w:asciiTheme="majorHAnsi" w:hAnsiTheme="majorHAnsi" w:cstheme="majorHAnsi"/>
          <w:lang w:val="en-US"/>
        </w:rPr>
      </w:pPr>
    </w:p>
    <w:p w14:paraId="2B37991C" w14:textId="77777777" w:rsidR="001A4321" w:rsidRPr="001A4321" w:rsidRDefault="001A4321" w:rsidP="001A4321">
      <w:pPr>
        <w:rPr>
          <w:rFonts w:asciiTheme="majorHAnsi" w:eastAsia="Times New Roman" w:hAnsiTheme="majorHAnsi" w:cstheme="majorHAnsi"/>
          <w:color w:val="000000" w:themeColor="text1"/>
          <w:lang w:val="en-US"/>
        </w:rPr>
      </w:pPr>
      <w:r w:rsidRPr="001A4321">
        <w:rPr>
          <w:rFonts w:asciiTheme="majorHAnsi" w:eastAsia="Times New Roman" w:hAnsiTheme="majorHAnsi" w:cstheme="majorHAnsi"/>
          <w:color w:val="000000" w:themeColor="text1"/>
          <w:lang w:val="en-US"/>
        </w:rPr>
        <w:t>Features:</w:t>
      </w:r>
    </w:p>
    <w:p w14:paraId="0EF991BB" w14:textId="77777777" w:rsidR="001A4321" w:rsidRPr="001A4321" w:rsidRDefault="001A4321" w:rsidP="001A4321">
      <w:pPr>
        <w:rPr>
          <w:rFonts w:asciiTheme="majorHAnsi" w:eastAsia="Times New Roman" w:hAnsiTheme="majorHAnsi" w:cstheme="majorHAnsi"/>
          <w:color w:val="000000" w:themeColor="text1"/>
          <w:lang w:val="en-US"/>
        </w:rPr>
      </w:pPr>
      <w:r w:rsidRPr="001A4321">
        <w:rPr>
          <w:rFonts w:asciiTheme="majorHAnsi" w:eastAsia="Times New Roman" w:hAnsiTheme="majorHAnsi" w:cstheme="majorHAnsi"/>
          <w:color w:val="000000" w:themeColor="text1"/>
          <w:lang w:val="en-US"/>
        </w:rPr>
        <w:t>Linear frequency and phase response</w:t>
      </w:r>
    </w:p>
    <w:p w14:paraId="17585C26" w14:textId="77777777" w:rsidR="001A4321" w:rsidRPr="001A4321" w:rsidRDefault="001A4321" w:rsidP="001A4321">
      <w:pPr>
        <w:rPr>
          <w:rFonts w:asciiTheme="majorHAnsi" w:eastAsia="Times New Roman" w:hAnsiTheme="majorHAnsi" w:cstheme="majorHAnsi"/>
          <w:color w:val="000000" w:themeColor="text1"/>
          <w:lang w:val="en-US"/>
        </w:rPr>
      </w:pPr>
      <w:r w:rsidRPr="001A4321">
        <w:rPr>
          <w:rFonts w:asciiTheme="majorHAnsi" w:eastAsia="Times New Roman" w:hAnsiTheme="majorHAnsi" w:cstheme="majorHAnsi"/>
          <w:color w:val="000000" w:themeColor="text1"/>
          <w:lang w:val="en-US"/>
        </w:rPr>
        <w:t>DSP engine for outstanding performance and automatic room alignment via MA 1</w:t>
      </w:r>
    </w:p>
    <w:p w14:paraId="33D3CD89" w14:textId="77777777" w:rsidR="001A4321" w:rsidRPr="001A4321" w:rsidRDefault="001A4321" w:rsidP="001A4321">
      <w:pPr>
        <w:rPr>
          <w:rFonts w:asciiTheme="majorHAnsi" w:eastAsia="Times New Roman" w:hAnsiTheme="majorHAnsi" w:cstheme="majorHAnsi"/>
          <w:color w:val="000000" w:themeColor="text1"/>
          <w:lang w:val="en-US"/>
        </w:rPr>
      </w:pPr>
      <w:r w:rsidRPr="001A4321">
        <w:rPr>
          <w:rFonts w:asciiTheme="majorHAnsi" w:eastAsia="Times New Roman" w:hAnsiTheme="majorHAnsi" w:cstheme="majorHAnsi"/>
          <w:color w:val="000000" w:themeColor="text1"/>
          <w:lang w:val="en-US"/>
        </w:rPr>
        <w:t>Deep low end down to 44 Hz and high SPL capability in a small format</w:t>
      </w:r>
    </w:p>
    <w:p w14:paraId="5F80CF4B" w14:textId="77777777" w:rsidR="001A4321" w:rsidRPr="001A4321" w:rsidRDefault="001A4321" w:rsidP="001A4321">
      <w:pPr>
        <w:rPr>
          <w:rFonts w:asciiTheme="majorHAnsi" w:eastAsia="Times New Roman" w:hAnsiTheme="majorHAnsi" w:cstheme="majorHAnsi"/>
          <w:color w:val="000000" w:themeColor="text1"/>
          <w:lang w:val="en-US"/>
        </w:rPr>
      </w:pPr>
      <w:r w:rsidRPr="001A4321">
        <w:rPr>
          <w:rFonts w:asciiTheme="majorHAnsi" w:eastAsia="Times New Roman" w:hAnsiTheme="majorHAnsi" w:cstheme="majorHAnsi"/>
          <w:color w:val="000000" w:themeColor="text1"/>
          <w:lang w:val="en-US"/>
        </w:rPr>
        <w:t>Analog and S/PDIF connectivity, optionally with AES67</w:t>
      </w:r>
    </w:p>
    <w:p w14:paraId="4E1C355A" w14:textId="77777777" w:rsidR="001A4321" w:rsidRPr="001A4321" w:rsidRDefault="001A4321" w:rsidP="001A4321">
      <w:pPr>
        <w:rPr>
          <w:rFonts w:asciiTheme="majorHAnsi" w:hAnsiTheme="majorHAnsi" w:cstheme="majorHAnsi"/>
          <w:lang w:val="en-US"/>
        </w:rPr>
      </w:pPr>
    </w:p>
    <w:p w14:paraId="31644387" w14:textId="77777777" w:rsidR="00206AC9" w:rsidRDefault="00206AC9" w:rsidP="00206AC9">
      <w:pPr>
        <w:tabs>
          <w:tab w:val="left" w:pos="284"/>
        </w:tabs>
        <w:rPr>
          <w:rFonts w:asciiTheme="minorHAnsi" w:hAnsiTheme="minorHAnsi" w:cstheme="minorHAnsi"/>
          <w:b/>
          <w:bCs/>
          <w:color w:val="000000" w:themeColor="text1"/>
          <w:lang w:val="en-US"/>
        </w:rPr>
      </w:pPr>
    </w:p>
    <w:p w14:paraId="2406A391" w14:textId="16576256" w:rsidR="00BE31F0" w:rsidRPr="00206AC9" w:rsidRDefault="00BE31F0" w:rsidP="00206AC9">
      <w:pPr>
        <w:tabs>
          <w:tab w:val="left" w:pos="284"/>
        </w:tabs>
        <w:rPr>
          <w:rFonts w:asciiTheme="majorHAnsi" w:eastAsia="Times New Roman" w:hAnsiTheme="majorHAnsi" w:cstheme="majorHAnsi"/>
          <w:color w:val="000000" w:themeColor="text1"/>
          <w:lang w:val="en-US"/>
        </w:rPr>
      </w:pPr>
      <w:r w:rsidRPr="004A3382">
        <w:rPr>
          <w:rFonts w:asciiTheme="minorHAnsi" w:hAnsiTheme="minorHAnsi" w:cstheme="minorHAnsi"/>
          <w:b/>
          <w:color w:val="000000" w:themeColor="text1"/>
          <w:sz w:val="16"/>
          <w:szCs w:val="16"/>
          <w:lang w:val="en-US"/>
        </w:rPr>
        <w:t>About Neumann</w:t>
      </w:r>
      <w:r w:rsidRPr="004A3382">
        <w:rPr>
          <w:rFonts w:asciiTheme="minorHAnsi" w:hAnsiTheme="minorHAnsi" w:cstheme="minorHAnsi"/>
          <w:color w:val="000000" w:themeColor="text1"/>
          <w:sz w:val="16"/>
          <w:szCs w:val="16"/>
          <w:lang w:val="en-US"/>
        </w:rPr>
        <w:br/>
      </w:r>
      <w:r w:rsidRPr="004A3382">
        <w:rPr>
          <w:rFonts w:asciiTheme="majorHAnsi" w:hAnsiTheme="majorHAnsi" w:cstheme="majorHAnsi"/>
          <w:sz w:val="16"/>
          <w:szCs w:val="16"/>
          <w:lang w:val="en-US"/>
        </w:rPr>
        <w:t>Georg Neumann GmbH, known as “</w:t>
      </w:r>
      <w:proofErr w:type="spellStart"/>
      <w:r w:rsidRPr="004A3382">
        <w:rPr>
          <w:rFonts w:asciiTheme="majorHAnsi" w:hAnsiTheme="majorHAnsi" w:cstheme="majorHAnsi"/>
          <w:sz w:val="16"/>
          <w:szCs w:val="16"/>
          <w:lang w:val="en-US"/>
        </w:rPr>
        <w:t>Neumann.Berlin</w:t>
      </w:r>
      <w:proofErr w:type="spellEnd"/>
      <w:r w:rsidRPr="004A3382">
        <w:rPr>
          <w:rFonts w:asciiTheme="majorHAnsi" w:hAnsiTheme="majorHAnsi" w:cstheme="majorHAnsi"/>
          <w:sz w:val="16"/>
          <w:szCs w:val="16"/>
          <w:lang w:val="en-US"/>
        </w:rPr>
        <w:t>”, is one of the world’s leading manufacturers of studio-grade audio equipment and the creator of recording microphone legends such as the U 47, M 49, U </w:t>
      </w:r>
      <w:proofErr w:type="gramStart"/>
      <w:r w:rsidRPr="004A3382">
        <w:rPr>
          <w:rFonts w:asciiTheme="majorHAnsi" w:hAnsiTheme="majorHAnsi" w:cstheme="majorHAnsi"/>
          <w:sz w:val="16"/>
          <w:szCs w:val="16"/>
          <w:lang w:val="en-US"/>
        </w:rPr>
        <w:t>67</w:t>
      </w:r>
      <w:proofErr w:type="gramEnd"/>
      <w:r w:rsidRPr="004A3382">
        <w:rPr>
          <w:rFonts w:asciiTheme="majorHAnsi" w:hAnsiTheme="majorHAnsi" w:cstheme="majorHAnsi"/>
          <w:sz w:val="16"/>
          <w:szCs w:val="16"/>
          <w:lang w:val="en-US"/>
        </w:rPr>
        <w:t xml:space="preserve"> and U 87. Founded in 1928, the company has been recognized with numerous international awards for its technological innovations. Since 2010, </w:t>
      </w:r>
      <w:proofErr w:type="spellStart"/>
      <w:r w:rsidRPr="004A3382">
        <w:rPr>
          <w:rFonts w:asciiTheme="majorHAnsi" w:hAnsiTheme="majorHAnsi" w:cstheme="majorHAnsi"/>
          <w:sz w:val="16"/>
          <w:szCs w:val="16"/>
          <w:lang w:val="en-US"/>
        </w:rPr>
        <w:t>Neumann.Berlin</w:t>
      </w:r>
      <w:proofErr w:type="spellEnd"/>
      <w:r w:rsidRPr="004A3382">
        <w:rPr>
          <w:rFonts w:asciiTheme="majorHAnsi" w:hAnsiTheme="majorHAnsi" w:cstheme="majorHAnsi"/>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put an increased focus on reference solutions for live audio. Georg Neumann GmbH has been part of the Sennheiser Group since </w:t>
      </w:r>
      <w:proofErr w:type="gramStart"/>
      <w:r w:rsidRPr="004A3382">
        <w:rPr>
          <w:rFonts w:asciiTheme="majorHAnsi" w:hAnsiTheme="majorHAnsi" w:cstheme="majorHAnsi"/>
          <w:sz w:val="16"/>
          <w:szCs w:val="16"/>
          <w:lang w:val="en-US"/>
        </w:rPr>
        <w:t>1991, and</w:t>
      </w:r>
      <w:proofErr w:type="gramEnd"/>
      <w:r w:rsidRPr="004A3382">
        <w:rPr>
          <w:rFonts w:asciiTheme="majorHAnsi" w:hAnsiTheme="majorHAnsi" w:cstheme="majorHAnsi"/>
          <w:sz w:val="16"/>
          <w:szCs w:val="16"/>
          <w:lang w:val="en-US"/>
        </w:rPr>
        <w:t xml:space="preserve"> is represented worldwide by the Sennheiser network of subsidiaries and long-standing trading partners.</w:t>
      </w:r>
    </w:p>
    <w:p w14:paraId="2DBDB75C" w14:textId="3F59B600" w:rsidR="00BE31F0" w:rsidRPr="001B34F2" w:rsidRDefault="00BE31F0" w:rsidP="00BE31F0">
      <w:pPr>
        <w:spacing w:after="120" w:line="276" w:lineRule="auto"/>
        <w:rPr>
          <w:rFonts w:asciiTheme="minorHAnsi" w:hAnsiTheme="minorHAnsi" w:cstheme="minorHAnsi"/>
          <w:b/>
          <w:color w:val="000000" w:themeColor="text1"/>
          <w:lang w:val="en-US"/>
        </w:rPr>
      </w:pPr>
    </w:p>
    <w:p w14:paraId="62301B69" w14:textId="6AE0BAF5" w:rsidR="00BE31F0" w:rsidRPr="005615DB" w:rsidRDefault="00BE31F0" w:rsidP="00BE31F0">
      <w:pPr>
        <w:pStyle w:val="Contact"/>
        <w:rPr>
          <w:rFonts w:asciiTheme="minorHAnsi" w:hAnsiTheme="minorHAnsi" w:cstheme="minorHAnsi"/>
          <w:b/>
          <w:color w:val="000000" w:themeColor="text1"/>
          <w:lang w:val="en-US"/>
        </w:rPr>
      </w:pPr>
      <w:r w:rsidRPr="005615DB">
        <w:rPr>
          <w:rFonts w:asciiTheme="minorHAnsi" w:hAnsiTheme="minorHAnsi" w:cstheme="minorHAnsi"/>
          <w:b/>
          <w:color w:val="000000" w:themeColor="text1"/>
          <w:lang w:val="en-US"/>
        </w:rPr>
        <w:t>Press Contact Neumann:</w:t>
      </w:r>
    </w:p>
    <w:p w14:paraId="6A9886EC" w14:textId="09338E38" w:rsidR="00BE31F0" w:rsidRPr="005615DB" w:rsidRDefault="00BE31F0" w:rsidP="00BE31F0">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 xml:space="preserve">Andreas </w:t>
      </w:r>
      <w:proofErr w:type="spellStart"/>
      <w:r w:rsidRPr="005615DB">
        <w:rPr>
          <w:rFonts w:asciiTheme="minorHAnsi" w:hAnsiTheme="minorHAnsi" w:cstheme="minorHAnsi"/>
          <w:color w:val="000000" w:themeColor="text1"/>
          <w:lang w:val="en-US"/>
        </w:rPr>
        <w:t>Sablotny</w:t>
      </w:r>
      <w:proofErr w:type="spellEnd"/>
    </w:p>
    <w:p w14:paraId="787D0EA2" w14:textId="157E0909" w:rsidR="00BE31F0" w:rsidRPr="005615DB" w:rsidRDefault="00BE31F0" w:rsidP="00BE31F0">
      <w:pPr>
        <w:pStyle w:val="Contact"/>
        <w:rPr>
          <w:rFonts w:asciiTheme="minorHAnsi" w:hAnsiTheme="minorHAnsi" w:cstheme="minorHAnsi"/>
          <w:color w:val="000000" w:themeColor="text1"/>
          <w:lang w:val="en-US"/>
        </w:rPr>
      </w:pPr>
      <w:r w:rsidRPr="005615DB">
        <w:rPr>
          <w:rFonts w:asciiTheme="minorHAnsi" w:hAnsiTheme="minorHAnsi" w:cstheme="minorHAnsi"/>
          <w:color w:val="000000" w:themeColor="text1"/>
          <w:lang w:val="en-US"/>
        </w:rPr>
        <w:t>andreas.sablotny@neumann.com</w:t>
      </w:r>
    </w:p>
    <w:p w14:paraId="38E3FB34" w14:textId="599852F0" w:rsidR="00280534" w:rsidRPr="001F11A0" w:rsidRDefault="00BE31F0" w:rsidP="00801395">
      <w:pPr>
        <w:pStyle w:val="Contact"/>
        <w:rPr>
          <w:rFonts w:asciiTheme="minorHAnsi" w:hAnsiTheme="minorHAnsi" w:cstheme="minorHAnsi"/>
          <w:color w:val="000000" w:themeColor="text1"/>
          <w:lang w:val="en-US"/>
        </w:rPr>
      </w:pPr>
      <w:r w:rsidRPr="001F11A0">
        <w:rPr>
          <w:rFonts w:asciiTheme="minorHAnsi" w:hAnsiTheme="minorHAnsi" w:cstheme="minorHAnsi"/>
          <w:color w:val="000000" w:themeColor="text1"/>
          <w:lang w:val="en-US"/>
        </w:rPr>
        <w:t>T +49 (030) 417724-19</w:t>
      </w:r>
    </w:p>
    <w:p w14:paraId="07E4C317" w14:textId="7F1EC2F1" w:rsidR="00280534" w:rsidRPr="00BE31F0" w:rsidRDefault="00280534" w:rsidP="00801395">
      <w:pPr>
        <w:pStyle w:val="Contact"/>
        <w:rPr>
          <w:rFonts w:asciiTheme="minorHAnsi" w:hAnsiTheme="minorHAnsi" w:cstheme="minorHAnsi"/>
          <w:lang w:val="en-US"/>
        </w:rPr>
      </w:pPr>
    </w:p>
    <w:sectPr w:rsidR="00280534" w:rsidRPr="00BE31F0" w:rsidSect="00B1314A">
      <w:headerReference w:type="default" r:id="rId15"/>
      <w:headerReference w:type="first" r:id="rId16"/>
      <w:pgSz w:w="11906" w:h="16838" w:code="9"/>
      <w:pgMar w:top="2754" w:right="2124"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78D1A" w14:textId="77777777" w:rsidR="00AE234C" w:rsidRDefault="00AE234C" w:rsidP="00CF26E7">
      <w:pPr>
        <w:spacing w:line="240" w:lineRule="auto"/>
      </w:pPr>
      <w:r>
        <w:separator/>
      </w:r>
    </w:p>
  </w:endnote>
  <w:endnote w:type="continuationSeparator" w:id="0">
    <w:p w14:paraId="0381E8E3" w14:textId="77777777" w:rsidR="00AE234C" w:rsidRDefault="00AE234C" w:rsidP="00CF26E7">
      <w:pPr>
        <w:spacing w:line="240" w:lineRule="auto"/>
      </w:pPr>
      <w:r>
        <w:continuationSeparator/>
      </w:r>
    </w:p>
  </w:endnote>
  <w:endnote w:type="continuationNotice" w:id="1">
    <w:p w14:paraId="2ABD3C2F" w14:textId="77777777" w:rsidR="00AE234C" w:rsidRDefault="00AE23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446B382-E405-F54B-8F8A-EC4267E9EFF4}"/>
  </w:font>
  <w:font w:name="Times New Roman">
    <w:panose1 w:val="02020603050405020304"/>
    <w:charset w:val="00"/>
    <w:family w:val="roman"/>
    <w:pitch w:val="variable"/>
    <w:sig w:usb0="E0002EFF" w:usb1="C000785B" w:usb2="00000009" w:usb3="00000000" w:csb0="000001FF" w:csb1="00000000"/>
    <w:embedRegular r:id="rId2" w:fontKey="{3AC92C84-202C-274C-AEE3-8DAB93AD31FF}"/>
    <w:embedBold r:id="rId3" w:fontKey="{5A717DBE-E0D7-A749-A0EE-34A1ACB44998}"/>
  </w:font>
  <w:font w:name="Courier New">
    <w:panose1 w:val="02070309020205020404"/>
    <w:charset w:val="00"/>
    <w:family w:val="modern"/>
    <w:pitch w:val="fixed"/>
    <w:sig w:usb0="E0002EFF" w:usb1="C0007843" w:usb2="00000009" w:usb3="00000000" w:csb0="000001FF" w:csb1="00000000"/>
    <w:embedRegular r:id="rId4" w:fontKey="{0A9D3083-2F99-9F4D-A4E3-B58233CB08FC}"/>
  </w:font>
  <w:font w:name="Wingdings">
    <w:panose1 w:val="05000000000000000000"/>
    <w:charset w:val="4D"/>
    <w:family w:val="decorative"/>
    <w:pitch w:val="variable"/>
    <w:sig w:usb0="00000003" w:usb1="00000000" w:usb2="00000000" w:usb3="00000000" w:csb0="80000001" w:csb1="00000000"/>
    <w:embedRegular r:id="rId5" w:fontKey="{1E2C9E3F-31E8-1F47-BAFC-F8F1FF6C67F8}"/>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7ED13000-2529-BB45-89FF-C4100176A45E}"/>
    <w:embedBold r:id="rId7" w:fontKey="{C47C931D-7B69-FC42-AED1-0A8F4E2A3C79}"/>
  </w:font>
  <w:font w:name="Sennheiser Office">
    <w:panose1 w:val="020B0504020101010102"/>
    <w:charset w:val="00"/>
    <w:family w:val="swiss"/>
    <w:pitch w:val="variable"/>
    <w:sig w:usb0="A00000AF" w:usb1="500020DB" w:usb2="00000000" w:usb3="00000000" w:csb0="00000093" w:csb1="00000000"/>
    <w:embedRegular r:id="rId8" w:fontKey="{2D5C59D5-4D0E-1D42-951D-246DA8A9F67F}"/>
    <w:embedBold r:id="rId9" w:fontKey="{6BA6A2E1-AD95-2740-88E3-E406AA730BCA}"/>
  </w:font>
  <w:font w:name="Segoe UI">
    <w:panose1 w:val="020B0502040204020203"/>
    <w:charset w:val="00"/>
    <w:family w:val="swiss"/>
    <w:pitch w:val="variable"/>
    <w:sig w:usb0="E4002EFF" w:usb1="C000E47F" w:usb2="00000009" w:usb3="00000000" w:csb0="000001FF" w:csb1="00000000"/>
    <w:embedRegular r:id="rId10" w:fontKey="{4723FA5C-6DF5-A946-AA87-E188AB4EE009}"/>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A0BE2F9D-7590-2A44-8CF0-1B518BF2F9C9}"/>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7CF6273D-5732-2A45-8704-BC42FF52E7F8}"/>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A2A76" w14:textId="77777777" w:rsidR="00AE234C" w:rsidRDefault="00AE234C" w:rsidP="00CF26E7">
      <w:pPr>
        <w:spacing w:line="240" w:lineRule="auto"/>
      </w:pPr>
      <w:r>
        <w:separator/>
      </w:r>
    </w:p>
  </w:footnote>
  <w:footnote w:type="continuationSeparator" w:id="0">
    <w:p w14:paraId="51F859B0" w14:textId="77777777" w:rsidR="00AE234C" w:rsidRDefault="00AE234C" w:rsidP="00CF26E7">
      <w:pPr>
        <w:spacing w:line="240" w:lineRule="auto"/>
      </w:pPr>
      <w:r>
        <w:continuationSeparator/>
      </w:r>
    </w:p>
  </w:footnote>
  <w:footnote w:type="continuationNotice" w:id="1">
    <w:p w14:paraId="6B16F17C" w14:textId="77777777" w:rsidR="00AE234C" w:rsidRDefault="00AE23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256942">
    <w:pPr>
      <w:pStyle w:val="Kopfzeile"/>
      <w:ind w:right="-1559"/>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359A9631" w:rsidR="00CF26E7" w:rsidRPr="00A22F27" w:rsidRDefault="007C00CC" w:rsidP="00256942">
    <w:pPr>
      <w:pStyle w:val="Kopfzeile"/>
      <w:ind w:right="-1559"/>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1F0">
      <w:rPr>
        <w:rFonts w:asciiTheme="minorHAnsi" w:hAnsiTheme="minorHAnsi" w:cstheme="minorHAnsi"/>
        <w:color w:val="414141" w:themeColor="accent2"/>
      </w:rPr>
      <w:t xml:space="preserve"> Release</w:t>
    </w:r>
  </w:p>
  <w:p w14:paraId="65994B0C" w14:textId="719D4945" w:rsidR="00CF26E7" w:rsidRPr="000D0839" w:rsidRDefault="00CF26E7" w:rsidP="00256942">
    <w:pPr>
      <w:pStyle w:val="Kopfzeile"/>
      <w:ind w:right="-1559"/>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3543B8"/>
    <w:multiLevelType w:val="hybridMultilevel"/>
    <w:tmpl w:val="51EC62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9"/>
  </w:num>
  <w:num w:numId="4" w16cid:durableId="372578047">
    <w:abstractNumId w:val="3"/>
  </w:num>
  <w:num w:numId="5" w16cid:durableId="901598781">
    <w:abstractNumId w:val="7"/>
  </w:num>
  <w:num w:numId="6" w16cid:durableId="1401052572">
    <w:abstractNumId w:val="11"/>
  </w:num>
  <w:num w:numId="7" w16cid:durableId="1219391832">
    <w:abstractNumId w:val="4"/>
  </w:num>
  <w:num w:numId="8" w16cid:durableId="1972637946">
    <w:abstractNumId w:val="12"/>
  </w:num>
  <w:num w:numId="9" w16cid:durableId="1582523151">
    <w:abstractNumId w:val="2"/>
  </w:num>
  <w:num w:numId="10" w16cid:durableId="1606113127">
    <w:abstractNumId w:val="5"/>
  </w:num>
  <w:num w:numId="11" w16cid:durableId="1867406072">
    <w:abstractNumId w:val="14"/>
  </w:num>
  <w:num w:numId="12" w16cid:durableId="1459299853">
    <w:abstractNumId w:val="13"/>
  </w:num>
  <w:num w:numId="13" w16cid:durableId="309290073">
    <w:abstractNumId w:val="8"/>
  </w:num>
  <w:num w:numId="14" w16cid:durableId="1891264558">
    <w:abstractNumId w:val="10"/>
  </w:num>
  <w:num w:numId="15" w16cid:durableId="1500922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263E"/>
    <w:rsid w:val="00003FE8"/>
    <w:rsid w:val="000049C8"/>
    <w:rsid w:val="00004B3C"/>
    <w:rsid w:val="00005543"/>
    <w:rsid w:val="00006FA8"/>
    <w:rsid w:val="000177F5"/>
    <w:rsid w:val="000204AA"/>
    <w:rsid w:val="0002699E"/>
    <w:rsid w:val="00027F42"/>
    <w:rsid w:val="00031F2A"/>
    <w:rsid w:val="00033182"/>
    <w:rsid w:val="00036334"/>
    <w:rsid w:val="000401EB"/>
    <w:rsid w:val="00043993"/>
    <w:rsid w:val="00051C8E"/>
    <w:rsid w:val="00052CCC"/>
    <w:rsid w:val="00052E12"/>
    <w:rsid w:val="00055E12"/>
    <w:rsid w:val="0006186F"/>
    <w:rsid w:val="000808FD"/>
    <w:rsid w:val="000834F5"/>
    <w:rsid w:val="00087835"/>
    <w:rsid w:val="000922DA"/>
    <w:rsid w:val="0009516E"/>
    <w:rsid w:val="000A5CAD"/>
    <w:rsid w:val="000A6BD0"/>
    <w:rsid w:val="000C036D"/>
    <w:rsid w:val="000C5D49"/>
    <w:rsid w:val="000D0839"/>
    <w:rsid w:val="000D49C1"/>
    <w:rsid w:val="000D66DA"/>
    <w:rsid w:val="000E091A"/>
    <w:rsid w:val="000E3661"/>
    <w:rsid w:val="000E4907"/>
    <w:rsid w:val="000E6D9B"/>
    <w:rsid w:val="000F18C2"/>
    <w:rsid w:val="000F4E31"/>
    <w:rsid w:val="000F7E1C"/>
    <w:rsid w:val="001064F7"/>
    <w:rsid w:val="001107BC"/>
    <w:rsid w:val="00115A50"/>
    <w:rsid w:val="0011643F"/>
    <w:rsid w:val="001179C3"/>
    <w:rsid w:val="00127E5C"/>
    <w:rsid w:val="00135FD2"/>
    <w:rsid w:val="0014028C"/>
    <w:rsid w:val="00141395"/>
    <w:rsid w:val="00141734"/>
    <w:rsid w:val="00150A8E"/>
    <w:rsid w:val="00154CF8"/>
    <w:rsid w:val="00156A36"/>
    <w:rsid w:val="0015795B"/>
    <w:rsid w:val="00157C98"/>
    <w:rsid w:val="00162582"/>
    <w:rsid w:val="00166A53"/>
    <w:rsid w:val="00174D2F"/>
    <w:rsid w:val="0017502A"/>
    <w:rsid w:val="0018021E"/>
    <w:rsid w:val="001823DC"/>
    <w:rsid w:val="00184E77"/>
    <w:rsid w:val="001869E9"/>
    <w:rsid w:val="00187E45"/>
    <w:rsid w:val="00190178"/>
    <w:rsid w:val="001A3791"/>
    <w:rsid w:val="001A4037"/>
    <w:rsid w:val="001A4321"/>
    <w:rsid w:val="001A65BC"/>
    <w:rsid w:val="001A6703"/>
    <w:rsid w:val="001B05C7"/>
    <w:rsid w:val="001B3A46"/>
    <w:rsid w:val="001C0401"/>
    <w:rsid w:val="001C48CD"/>
    <w:rsid w:val="001D0CC3"/>
    <w:rsid w:val="001D3C55"/>
    <w:rsid w:val="001E347B"/>
    <w:rsid w:val="001E5E26"/>
    <w:rsid w:val="001E6BD7"/>
    <w:rsid w:val="001E7FAE"/>
    <w:rsid w:val="001F0467"/>
    <w:rsid w:val="001F11A0"/>
    <w:rsid w:val="001F275C"/>
    <w:rsid w:val="002016A3"/>
    <w:rsid w:val="0020279E"/>
    <w:rsid w:val="00202FC5"/>
    <w:rsid w:val="002053BA"/>
    <w:rsid w:val="00206AC9"/>
    <w:rsid w:val="00210EFD"/>
    <w:rsid w:val="002119DE"/>
    <w:rsid w:val="00213C61"/>
    <w:rsid w:val="0021549B"/>
    <w:rsid w:val="0022377B"/>
    <w:rsid w:val="00227AB1"/>
    <w:rsid w:val="00233273"/>
    <w:rsid w:val="00234E97"/>
    <w:rsid w:val="002354A9"/>
    <w:rsid w:val="00240551"/>
    <w:rsid w:val="00243C61"/>
    <w:rsid w:val="00245058"/>
    <w:rsid w:val="00245201"/>
    <w:rsid w:val="00256942"/>
    <w:rsid w:val="002611B4"/>
    <w:rsid w:val="002622BB"/>
    <w:rsid w:val="00262CA7"/>
    <w:rsid w:val="00266FEB"/>
    <w:rsid w:val="002744A8"/>
    <w:rsid w:val="00275C2D"/>
    <w:rsid w:val="002767F9"/>
    <w:rsid w:val="002801FC"/>
    <w:rsid w:val="00280534"/>
    <w:rsid w:val="002828FD"/>
    <w:rsid w:val="00287C46"/>
    <w:rsid w:val="002919D0"/>
    <w:rsid w:val="002938E4"/>
    <w:rsid w:val="00293F7D"/>
    <w:rsid w:val="00293FDD"/>
    <w:rsid w:val="002949AA"/>
    <w:rsid w:val="00297733"/>
    <w:rsid w:val="002A192D"/>
    <w:rsid w:val="002A7771"/>
    <w:rsid w:val="002B0A16"/>
    <w:rsid w:val="002C629A"/>
    <w:rsid w:val="002C69B6"/>
    <w:rsid w:val="002C6BE7"/>
    <w:rsid w:val="002D26EF"/>
    <w:rsid w:val="002D2D00"/>
    <w:rsid w:val="002D31C9"/>
    <w:rsid w:val="002E1B40"/>
    <w:rsid w:val="002E5BFE"/>
    <w:rsid w:val="002F7F4D"/>
    <w:rsid w:val="00301CB7"/>
    <w:rsid w:val="003057A0"/>
    <w:rsid w:val="00305CC3"/>
    <w:rsid w:val="00311826"/>
    <w:rsid w:val="00311D5F"/>
    <w:rsid w:val="00312A53"/>
    <w:rsid w:val="003154D6"/>
    <w:rsid w:val="00315E38"/>
    <w:rsid w:val="00325B3D"/>
    <w:rsid w:val="00334743"/>
    <w:rsid w:val="00336916"/>
    <w:rsid w:val="00343734"/>
    <w:rsid w:val="00343A56"/>
    <w:rsid w:val="003442F6"/>
    <w:rsid w:val="00347232"/>
    <w:rsid w:val="00350C01"/>
    <w:rsid w:val="00351AEC"/>
    <w:rsid w:val="00353973"/>
    <w:rsid w:val="003545D5"/>
    <w:rsid w:val="00361B06"/>
    <w:rsid w:val="00362CAF"/>
    <w:rsid w:val="00367FEB"/>
    <w:rsid w:val="0037085E"/>
    <w:rsid w:val="00374A88"/>
    <w:rsid w:val="0037587A"/>
    <w:rsid w:val="00375D35"/>
    <w:rsid w:val="00376FB3"/>
    <w:rsid w:val="00380098"/>
    <w:rsid w:val="00382963"/>
    <w:rsid w:val="00386CBB"/>
    <w:rsid w:val="00393969"/>
    <w:rsid w:val="00393996"/>
    <w:rsid w:val="00395731"/>
    <w:rsid w:val="00397338"/>
    <w:rsid w:val="003A3466"/>
    <w:rsid w:val="003A45A1"/>
    <w:rsid w:val="003A778D"/>
    <w:rsid w:val="003B0AE2"/>
    <w:rsid w:val="003B3645"/>
    <w:rsid w:val="003B39A1"/>
    <w:rsid w:val="003B4F13"/>
    <w:rsid w:val="003C141C"/>
    <w:rsid w:val="003C165F"/>
    <w:rsid w:val="003C16E7"/>
    <w:rsid w:val="003D3678"/>
    <w:rsid w:val="003D698D"/>
    <w:rsid w:val="003D792B"/>
    <w:rsid w:val="00400525"/>
    <w:rsid w:val="00401154"/>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468F"/>
    <w:rsid w:val="004649EB"/>
    <w:rsid w:val="00467AE2"/>
    <w:rsid w:val="00467ED9"/>
    <w:rsid w:val="00471F51"/>
    <w:rsid w:val="00474914"/>
    <w:rsid w:val="00485B54"/>
    <w:rsid w:val="00485E2F"/>
    <w:rsid w:val="00486DA8"/>
    <w:rsid w:val="00491BAC"/>
    <w:rsid w:val="0049211B"/>
    <w:rsid w:val="004930B5"/>
    <w:rsid w:val="0049718C"/>
    <w:rsid w:val="004A18E8"/>
    <w:rsid w:val="004A3713"/>
    <w:rsid w:val="004A402E"/>
    <w:rsid w:val="004B0A2B"/>
    <w:rsid w:val="004B22D2"/>
    <w:rsid w:val="004B55D3"/>
    <w:rsid w:val="004B7CE3"/>
    <w:rsid w:val="004C32C6"/>
    <w:rsid w:val="004C425C"/>
    <w:rsid w:val="004C5CFC"/>
    <w:rsid w:val="004D6CCE"/>
    <w:rsid w:val="004E2A84"/>
    <w:rsid w:val="004E3C5C"/>
    <w:rsid w:val="004F3796"/>
    <w:rsid w:val="00500A75"/>
    <w:rsid w:val="00507C89"/>
    <w:rsid w:val="005250F0"/>
    <w:rsid w:val="0052664D"/>
    <w:rsid w:val="00530E48"/>
    <w:rsid w:val="00532511"/>
    <w:rsid w:val="00532FF8"/>
    <w:rsid w:val="005354BF"/>
    <w:rsid w:val="00546CC7"/>
    <w:rsid w:val="0055283C"/>
    <w:rsid w:val="00555CB2"/>
    <w:rsid w:val="00566061"/>
    <w:rsid w:val="00566C47"/>
    <w:rsid w:val="00570171"/>
    <w:rsid w:val="00575884"/>
    <w:rsid w:val="00582A3B"/>
    <w:rsid w:val="00583FA1"/>
    <w:rsid w:val="00590A9A"/>
    <w:rsid w:val="005926A2"/>
    <w:rsid w:val="0059380A"/>
    <w:rsid w:val="00593B57"/>
    <w:rsid w:val="005A6C4A"/>
    <w:rsid w:val="005A7B03"/>
    <w:rsid w:val="005B0D2E"/>
    <w:rsid w:val="005B28FD"/>
    <w:rsid w:val="005B4459"/>
    <w:rsid w:val="005B553B"/>
    <w:rsid w:val="005C35A8"/>
    <w:rsid w:val="005C492C"/>
    <w:rsid w:val="005C6B3A"/>
    <w:rsid w:val="005C78F1"/>
    <w:rsid w:val="005E29BC"/>
    <w:rsid w:val="005E7014"/>
    <w:rsid w:val="005E77A0"/>
    <w:rsid w:val="005F2F1F"/>
    <w:rsid w:val="006004B9"/>
    <w:rsid w:val="00603D0C"/>
    <w:rsid w:val="00613BFA"/>
    <w:rsid w:val="00615A9E"/>
    <w:rsid w:val="00625B11"/>
    <w:rsid w:val="00627C37"/>
    <w:rsid w:val="00632633"/>
    <w:rsid w:val="00633C4E"/>
    <w:rsid w:val="00634DA6"/>
    <w:rsid w:val="00635799"/>
    <w:rsid w:val="0063732A"/>
    <w:rsid w:val="006419E7"/>
    <w:rsid w:val="006428F7"/>
    <w:rsid w:val="006655D2"/>
    <w:rsid w:val="00671D29"/>
    <w:rsid w:val="006746D3"/>
    <w:rsid w:val="006817D1"/>
    <w:rsid w:val="0068678F"/>
    <w:rsid w:val="00690501"/>
    <w:rsid w:val="006960B8"/>
    <w:rsid w:val="006A34D9"/>
    <w:rsid w:val="006A6042"/>
    <w:rsid w:val="006A77AA"/>
    <w:rsid w:val="006A7ED5"/>
    <w:rsid w:val="006B1E7A"/>
    <w:rsid w:val="006B2EFB"/>
    <w:rsid w:val="006B350F"/>
    <w:rsid w:val="006B70E3"/>
    <w:rsid w:val="006C1547"/>
    <w:rsid w:val="006C343F"/>
    <w:rsid w:val="006C4144"/>
    <w:rsid w:val="006C5CE1"/>
    <w:rsid w:val="006D2617"/>
    <w:rsid w:val="006D33FC"/>
    <w:rsid w:val="006D45CF"/>
    <w:rsid w:val="006E15A8"/>
    <w:rsid w:val="006F3C19"/>
    <w:rsid w:val="007069FD"/>
    <w:rsid w:val="007074A3"/>
    <w:rsid w:val="00711419"/>
    <w:rsid w:val="00714A7F"/>
    <w:rsid w:val="00714F7E"/>
    <w:rsid w:val="00716CA2"/>
    <w:rsid w:val="007222C1"/>
    <w:rsid w:val="00730659"/>
    <w:rsid w:val="007330F5"/>
    <w:rsid w:val="007356C0"/>
    <w:rsid w:val="00735A9F"/>
    <w:rsid w:val="00737521"/>
    <w:rsid w:val="00737A5D"/>
    <w:rsid w:val="00740E2A"/>
    <w:rsid w:val="0074222C"/>
    <w:rsid w:val="00743192"/>
    <w:rsid w:val="00745BA5"/>
    <w:rsid w:val="007506CE"/>
    <w:rsid w:val="0075278A"/>
    <w:rsid w:val="0076079E"/>
    <w:rsid w:val="00761E5A"/>
    <w:rsid w:val="007668B7"/>
    <w:rsid w:val="00766C9C"/>
    <w:rsid w:val="007676A2"/>
    <w:rsid w:val="00770201"/>
    <w:rsid w:val="00773590"/>
    <w:rsid w:val="00781D40"/>
    <w:rsid w:val="007904C2"/>
    <w:rsid w:val="0079791B"/>
    <w:rsid w:val="007A2F98"/>
    <w:rsid w:val="007A5E9A"/>
    <w:rsid w:val="007A6246"/>
    <w:rsid w:val="007B3825"/>
    <w:rsid w:val="007B383C"/>
    <w:rsid w:val="007B51F1"/>
    <w:rsid w:val="007B792D"/>
    <w:rsid w:val="007C00CC"/>
    <w:rsid w:val="007C1FBF"/>
    <w:rsid w:val="007C2D49"/>
    <w:rsid w:val="007C3958"/>
    <w:rsid w:val="007C4AA1"/>
    <w:rsid w:val="007C6E88"/>
    <w:rsid w:val="007C70A4"/>
    <w:rsid w:val="007E012D"/>
    <w:rsid w:val="007E35C2"/>
    <w:rsid w:val="007E72A1"/>
    <w:rsid w:val="007F03AE"/>
    <w:rsid w:val="007F1132"/>
    <w:rsid w:val="0080053D"/>
    <w:rsid w:val="008012AD"/>
    <w:rsid w:val="00801395"/>
    <w:rsid w:val="008035B6"/>
    <w:rsid w:val="00811D3F"/>
    <w:rsid w:val="008121CB"/>
    <w:rsid w:val="008162C3"/>
    <w:rsid w:val="00816849"/>
    <w:rsid w:val="00817348"/>
    <w:rsid w:val="00823229"/>
    <w:rsid w:val="008248D9"/>
    <w:rsid w:val="00825292"/>
    <w:rsid w:val="008338B3"/>
    <w:rsid w:val="00833C76"/>
    <w:rsid w:val="00835141"/>
    <w:rsid w:val="00843EBF"/>
    <w:rsid w:val="00846F74"/>
    <w:rsid w:val="00852BC5"/>
    <w:rsid w:val="00855777"/>
    <w:rsid w:val="0086488B"/>
    <w:rsid w:val="008666EB"/>
    <w:rsid w:val="00867C44"/>
    <w:rsid w:val="00870785"/>
    <w:rsid w:val="00872B58"/>
    <w:rsid w:val="00872BB0"/>
    <w:rsid w:val="0087515D"/>
    <w:rsid w:val="008766DB"/>
    <w:rsid w:val="0087688A"/>
    <w:rsid w:val="008808AA"/>
    <w:rsid w:val="00882174"/>
    <w:rsid w:val="008824FF"/>
    <w:rsid w:val="00891275"/>
    <w:rsid w:val="00893898"/>
    <w:rsid w:val="0089518B"/>
    <w:rsid w:val="008A0966"/>
    <w:rsid w:val="008A10E3"/>
    <w:rsid w:val="008A306F"/>
    <w:rsid w:val="008A4B75"/>
    <w:rsid w:val="008B1710"/>
    <w:rsid w:val="008B336B"/>
    <w:rsid w:val="008C1C03"/>
    <w:rsid w:val="008C26FE"/>
    <w:rsid w:val="008C3C29"/>
    <w:rsid w:val="008C4077"/>
    <w:rsid w:val="008C55EA"/>
    <w:rsid w:val="008C6634"/>
    <w:rsid w:val="008C73C5"/>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1532"/>
    <w:rsid w:val="00912197"/>
    <w:rsid w:val="0091364D"/>
    <w:rsid w:val="00913E70"/>
    <w:rsid w:val="00917177"/>
    <w:rsid w:val="0091722D"/>
    <w:rsid w:val="0091796F"/>
    <w:rsid w:val="00921758"/>
    <w:rsid w:val="009232E9"/>
    <w:rsid w:val="00927812"/>
    <w:rsid w:val="009300D2"/>
    <w:rsid w:val="009302D1"/>
    <w:rsid w:val="00933C79"/>
    <w:rsid w:val="00934CEC"/>
    <w:rsid w:val="00940BBB"/>
    <w:rsid w:val="00945A95"/>
    <w:rsid w:val="00945EDC"/>
    <w:rsid w:val="00946244"/>
    <w:rsid w:val="0094700A"/>
    <w:rsid w:val="00950223"/>
    <w:rsid w:val="0095228D"/>
    <w:rsid w:val="00954E1A"/>
    <w:rsid w:val="00957D7D"/>
    <w:rsid w:val="00961899"/>
    <w:rsid w:val="009635C9"/>
    <w:rsid w:val="00974670"/>
    <w:rsid w:val="00977989"/>
    <w:rsid w:val="00980325"/>
    <w:rsid w:val="00987D0E"/>
    <w:rsid w:val="00991B3F"/>
    <w:rsid w:val="0099477D"/>
    <w:rsid w:val="0099594C"/>
    <w:rsid w:val="009A4C8D"/>
    <w:rsid w:val="009A798D"/>
    <w:rsid w:val="009B2536"/>
    <w:rsid w:val="009B2A4F"/>
    <w:rsid w:val="009B547D"/>
    <w:rsid w:val="009B5606"/>
    <w:rsid w:val="009B5E6B"/>
    <w:rsid w:val="009B6181"/>
    <w:rsid w:val="009C1B13"/>
    <w:rsid w:val="009C1D53"/>
    <w:rsid w:val="009D0EAD"/>
    <w:rsid w:val="009D0F27"/>
    <w:rsid w:val="009E221C"/>
    <w:rsid w:val="009E3C1C"/>
    <w:rsid w:val="009E56E4"/>
    <w:rsid w:val="009E71F2"/>
    <w:rsid w:val="009F37BB"/>
    <w:rsid w:val="00A02855"/>
    <w:rsid w:val="00A05282"/>
    <w:rsid w:val="00A10121"/>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5B6"/>
    <w:rsid w:val="00A76A65"/>
    <w:rsid w:val="00A77471"/>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C55CC"/>
    <w:rsid w:val="00AD595C"/>
    <w:rsid w:val="00AE234C"/>
    <w:rsid w:val="00AE51D7"/>
    <w:rsid w:val="00AE5652"/>
    <w:rsid w:val="00B02778"/>
    <w:rsid w:val="00B05C34"/>
    <w:rsid w:val="00B10B1E"/>
    <w:rsid w:val="00B12BF8"/>
    <w:rsid w:val="00B1314A"/>
    <w:rsid w:val="00B143E1"/>
    <w:rsid w:val="00B2011D"/>
    <w:rsid w:val="00B31624"/>
    <w:rsid w:val="00B337EE"/>
    <w:rsid w:val="00B4634B"/>
    <w:rsid w:val="00B539E3"/>
    <w:rsid w:val="00B53AE9"/>
    <w:rsid w:val="00B61B25"/>
    <w:rsid w:val="00B6360C"/>
    <w:rsid w:val="00B707BE"/>
    <w:rsid w:val="00B76C6C"/>
    <w:rsid w:val="00B8122B"/>
    <w:rsid w:val="00B97EA0"/>
    <w:rsid w:val="00BA1D72"/>
    <w:rsid w:val="00BA698C"/>
    <w:rsid w:val="00BA6E2E"/>
    <w:rsid w:val="00BB2808"/>
    <w:rsid w:val="00BB7EEE"/>
    <w:rsid w:val="00BC01FF"/>
    <w:rsid w:val="00BC13F5"/>
    <w:rsid w:val="00BC230C"/>
    <w:rsid w:val="00BC30EA"/>
    <w:rsid w:val="00BE1B81"/>
    <w:rsid w:val="00BE31F0"/>
    <w:rsid w:val="00BE3406"/>
    <w:rsid w:val="00BE36E4"/>
    <w:rsid w:val="00BE5EA1"/>
    <w:rsid w:val="00BE7925"/>
    <w:rsid w:val="00BF00EF"/>
    <w:rsid w:val="00BF131D"/>
    <w:rsid w:val="00BF537B"/>
    <w:rsid w:val="00BF6469"/>
    <w:rsid w:val="00BF6D7D"/>
    <w:rsid w:val="00BF72CE"/>
    <w:rsid w:val="00C00ED5"/>
    <w:rsid w:val="00C02E3C"/>
    <w:rsid w:val="00C0455F"/>
    <w:rsid w:val="00C06949"/>
    <w:rsid w:val="00C1352F"/>
    <w:rsid w:val="00C14E95"/>
    <w:rsid w:val="00C16D4F"/>
    <w:rsid w:val="00C204F2"/>
    <w:rsid w:val="00C21489"/>
    <w:rsid w:val="00C21CFC"/>
    <w:rsid w:val="00C32E3A"/>
    <w:rsid w:val="00C3446D"/>
    <w:rsid w:val="00C35680"/>
    <w:rsid w:val="00C44C66"/>
    <w:rsid w:val="00C464FE"/>
    <w:rsid w:val="00C46C81"/>
    <w:rsid w:val="00C52529"/>
    <w:rsid w:val="00C568C3"/>
    <w:rsid w:val="00C5746D"/>
    <w:rsid w:val="00C61AE2"/>
    <w:rsid w:val="00C64E81"/>
    <w:rsid w:val="00C659C8"/>
    <w:rsid w:val="00C66FBA"/>
    <w:rsid w:val="00C70542"/>
    <w:rsid w:val="00C73CCB"/>
    <w:rsid w:val="00C74764"/>
    <w:rsid w:val="00C74B51"/>
    <w:rsid w:val="00C76121"/>
    <w:rsid w:val="00C82199"/>
    <w:rsid w:val="00C82305"/>
    <w:rsid w:val="00C83F31"/>
    <w:rsid w:val="00C87B5D"/>
    <w:rsid w:val="00C90C90"/>
    <w:rsid w:val="00C927B8"/>
    <w:rsid w:val="00C92F6C"/>
    <w:rsid w:val="00C964A3"/>
    <w:rsid w:val="00CA0FFA"/>
    <w:rsid w:val="00CA1EB9"/>
    <w:rsid w:val="00CB3C42"/>
    <w:rsid w:val="00CB708D"/>
    <w:rsid w:val="00CC2ED0"/>
    <w:rsid w:val="00CC6FA2"/>
    <w:rsid w:val="00CD1B50"/>
    <w:rsid w:val="00CD2505"/>
    <w:rsid w:val="00CE158F"/>
    <w:rsid w:val="00CE4195"/>
    <w:rsid w:val="00CE58AE"/>
    <w:rsid w:val="00CE5986"/>
    <w:rsid w:val="00CF26E7"/>
    <w:rsid w:val="00CF2CE6"/>
    <w:rsid w:val="00CF338D"/>
    <w:rsid w:val="00CF4FEC"/>
    <w:rsid w:val="00CF66F6"/>
    <w:rsid w:val="00D025FB"/>
    <w:rsid w:val="00D10DA4"/>
    <w:rsid w:val="00D1188F"/>
    <w:rsid w:val="00D12044"/>
    <w:rsid w:val="00D1289A"/>
    <w:rsid w:val="00D12AB9"/>
    <w:rsid w:val="00D130A7"/>
    <w:rsid w:val="00D145F9"/>
    <w:rsid w:val="00D179A5"/>
    <w:rsid w:val="00D252E8"/>
    <w:rsid w:val="00D33BCC"/>
    <w:rsid w:val="00D34397"/>
    <w:rsid w:val="00D344F3"/>
    <w:rsid w:val="00D34FB2"/>
    <w:rsid w:val="00D43A74"/>
    <w:rsid w:val="00D50DF5"/>
    <w:rsid w:val="00D54E6A"/>
    <w:rsid w:val="00D64556"/>
    <w:rsid w:val="00D6696E"/>
    <w:rsid w:val="00D7470D"/>
    <w:rsid w:val="00D76E5F"/>
    <w:rsid w:val="00D839EA"/>
    <w:rsid w:val="00D85751"/>
    <w:rsid w:val="00D9317B"/>
    <w:rsid w:val="00D95866"/>
    <w:rsid w:val="00DA1385"/>
    <w:rsid w:val="00DB10DB"/>
    <w:rsid w:val="00DB2515"/>
    <w:rsid w:val="00DB5521"/>
    <w:rsid w:val="00DB6224"/>
    <w:rsid w:val="00DB6648"/>
    <w:rsid w:val="00DC5B64"/>
    <w:rsid w:val="00DE17AA"/>
    <w:rsid w:val="00DE1849"/>
    <w:rsid w:val="00DE1922"/>
    <w:rsid w:val="00DE3E9D"/>
    <w:rsid w:val="00DE6244"/>
    <w:rsid w:val="00DF20C4"/>
    <w:rsid w:val="00E000F6"/>
    <w:rsid w:val="00E03696"/>
    <w:rsid w:val="00E12CE2"/>
    <w:rsid w:val="00E162FE"/>
    <w:rsid w:val="00E22720"/>
    <w:rsid w:val="00E243F0"/>
    <w:rsid w:val="00E24C18"/>
    <w:rsid w:val="00E306C3"/>
    <w:rsid w:val="00E31B4F"/>
    <w:rsid w:val="00E320EB"/>
    <w:rsid w:val="00E321F1"/>
    <w:rsid w:val="00E3345E"/>
    <w:rsid w:val="00E40F95"/>
    <w:rsid w:val="00E44C31"/>
    <w:rsid w:val="00E46D95"/>
    <w:rsid w:val="00E560CE"/>
    <w:rsid w:val="00E70B1B"/>
    <w:rsid w:val="00E71C36"/>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3678"/>
    <w:rsid w:val="00EC4C96"/>
    <w:rsid w:val="00EC50FC"/>
    <w:rsid w:val="00ED0FF3"/>
    <w:rsid w:val="00ED230F"/>
    <w:rsid w:val="00EE1B3D"/>
    <w:rsid w:val="00EE3DCA"/>
    <w:rsid w:val="00EE5757"/>
    <w:rsid w:val="00EE71C7"/>
    <w:rsid w:val="00F0249F"/>
    <w:rsid w:val="00F028AA"/>
    <w:rsid w:val="00F071F4"/>
    <w:rsid w:val="00F075DF"/>
    <w:rsid w:val="00F10793"/>
    <w:rsid w:val="00F10F5A"/>
    <w:rsid w:val="00F12827"/>
    <w:rsid w:val="00F15A15"/>
    <w:rsid w:val="00F20FE1"/>
    <w:rsid w:val="00F26C71"/>
    <w:rsid w:val="00F3053A"/>
    <w:rsid w:val="00F40D18"/>
    <w:rsid w:val="00F426AF"/>
    <w:rsid w:val="00F4341D"/>
    <w:rsid w:val="00F44B57"/>
    <w:rsid w:val="00F45A48"/>
    <w:rsid w:val="00F45D82"/>
    <w:rsid w:val="00F52E52"/>
    <w:rsid w:val="00F56534"/>
    <w:rsid w:val="00F56D0E"/>
    <w:rsid w:val="00F57FA9"/>
    <w:rsid w:val="00F6556E"/>
    <w:rsid w:val="00F7209B"/>
    <w:rsid w:val="00F745BA"/>
    <w:rsid w:val="00F7549B"/>
    <w:rsid w:val="00F76ECC"/>
    <w:rsid w:val="00F77A48"/>
    <w:rsid w:val="00F821CC"/>
    <w:rsid w:val="00F832AE"/>
    <w:rsid w:val="00F903FA"/>
    <w:rsid w:val="00F94FC0"/>
    <w:rsid w:val="00FA0FA1"/>
    <w:rsid w:val="00FA1442"/>
    <w:rsid w:val="00FA353C"/>
    <w:rsid w:val="00FA4739"/>
    <w:rsid w:val="00FB2B6D"/>
    <w:rsid w:val="00FB3795"/>
    <w:rsid w:val="00FC65B8"/>
    <w:rsid w:val="00FC663A"/>
    <w:rsid w:val="00FD0DF3"/>
    <w:rsid w:val="00FD6C1F"/>
    <w:rsid w:val="00FE42AF"/>
    <w:rsid w:val="00FE4B83"/>
    <w:rsid w:val="00FE5F52"/>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C8882B53-CDEA-6A4F-B4A9-8CE6EE51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17" ma:contentTypeDescription="Ein neues Dokument erstellen." ma:contentTypeScope="" ma:versionID="0a329aa3f9e8b0bd96c3c51be0d4bf8a">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9c57beb637ea55def10e3da6df298fdf"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2.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2F804D47-113F-46F8-878E-EA709AFE1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673</Words>
  <Characters>4243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6</cp:revision>
  <cp:lastPrinted>2023-03-10T11:27:00Z</cp:lastPrinted>
  <dcterms:created xsi:type="dcterms:W3CDTF">2023-04-04T03:17:00Z</dcterms:created>
  <dcterms:modified xsi:type="dcterms:W3CDTF">2023-04-04T05:35:00Z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