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firstLine="720"/>
        <w:jc w:val="center"/>
        <w:rPr>
          <w:rFonts w:ascii="Gill Sans" w:cs="Gill Sans" w:eastAsia="Gill Sans" w:hAnsi="Gill Sans"/>
          <w:b w:val="1"/>
          <w:sz w:val="22"/>
          <w:szCs w:val="22"/>
        </w:rPr>
      </w:pPr>
      <w:r w:rsidDel="00000000" w:rsidR="00000000" w:rsidRPr="00000000">
        <w:rPr>
          <w:rtl w:val="0"/>
        </w:rPr>
      </w:r>
    </w:p>
    <w:p w:rsidR="00000000" w:rsidDel="00000000" w:rsidP="00000000" w:rsidRDefault="00000000" w:rsidRPr="00000000" w14:paraId="00000002">
      <w:pPr>
        <w:ind w:left="7200" w:firstLine="0"/>
        <w:jc w:val="center"/>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i w:val="1"/>
          <w:sz w:val="20"/>
          <w:szCs w:val="20"/>
          <w:rtl w:val="0"/>
        </w:rPr>
        <w:t xml:space="preserve">     </w:t>
      </w:r>
      <w:r w:rsidDel="00000000" w:rsidR="00000000" w:rsidRPr="00000000">
        <w:rPr>
          <w:rFonts w:ascii="Gill Sans" w:cs="Gill Sans" w:eastAsia="Gill Sans" w:hAnsi="Gill Sans"/>
          <w:b w:val="1"/>
          <w:i w:val="1"/>
          <w:sz w:val="20"/>
          <w:szCs w:val="20"/>
          <w:u w:val="single"/>
          <w:rtl w:val="0"/>
        </w:rPr>
        <w:t xml:space="preserve">For immediate distribution</w:t>
      </w:r>
    </w:p>
    <w:p w:rsidR="00000000" w:rsidDel="00000000" w:rsidP="00000000" w:rsidRDefault="00000000" w:rsidRPr="00000000" w14:paraId="00000003">
      <w:pPr>
        <w:spacing w:after="0" w:lineRule="auto"/>
        <w:jc w:val="center"/>
        <w:rPr>
          <w:rFonts w:ascii="Gill Sans" w:cs="Gill Sans" w:eastAsia="Gill Sans" w:hAnsi="Gill Sans"/>
          <w:b w:val="1"/>
          <w:sz w:val="22"/>
          <w:szCs w:val="22"/>
        </w:rPr>
      </w:pPr>
      <w:r w:rsidDel="00000000" w:rsidR="00000000" w:rsidRPr="00000000">
        <w:rPr>
          <w:rtl w:val="0"/>
        </w:rPr>
      </w:r>
    </w:p>
    <w:p w:rsidR="00000000" w:rsidDel="00000000" w:rsidP="00000000" w:rsidRDefault="00000000" w:rsidRPr="00000000" w14:paraId="00000004">
      <w:pPr>
        <w:spacing w:after="0" w:line="336" w:lineRule="auto"/>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A New Epoch of Sound: Campfire Audio Announces Holocene and Mammoth, Bringing Audiophile Quality to Consumer Earphones</w:t>
      </w:r>
      <w:r w:rsidDel="00000000" w:rsidR="00000000" w:rsidRPr="00000000">
        <w:rPr>
          <w:rFonts w:ascii="Arimo" w:cs="Arimo" w:eastAsia="Arimo" w:hAnsi="Arimo"/>
          <w:rtl w:val="0"/>
        </w:rPr>
        <w:br w:type="textWrapping"/>
      </w:r>
      <w:r w:rsidDel="00000000" w:rsidR="00000000" w:rsidRPr="00000000">
        <w:rPr>
          <w:rFonts w:ascii="Gill Sans" w:cs="Gill Sans" w:eastAsia="Gill Sans" w:hAnsi="Gill Sans"/>
          <w:b w:val="1"/>
          <w:rtl w:val="0"/>
        </w:rPr>
        <w:br w:type="textWrapping"/>
      </w:r>
      <w:r w:rsidDel="00000000" w:rsidR="00000000" w:rsidRPr="00000000">
        <w:rPr>
          <w:rFonts w:ascii="Gill Sans" w:cs="Gill Sans" w:eastAsia="Gill Sans" w:hAnsi="Gill Sans"/>
          <w:i w:val="1"/>
          <w:rtl w:val="0"/>
        </w:rPr>
        <w:t xml:space="preserve">Mammoth and Holocene earphones give music lovers two new flavors of high-quality listening experience in an evocative glow-in-the-dark package.</w:t>
      </w:r>
      <w:r w:rsidDel="00000000" w:rsidR="00000000" w:rsidRPr="00000000">
        <w:rPr>
          <w:rtl w:val="0"/>
        </w:rPr>
      </w:r>
    </w:p>
    <w:p w:rsidR="00000000" w:rsidDel="00000000" w:rsidP="00000000" w:rsidRDefault="00000000" w:rsidRPr="00000000" w14:paraId="00000005">
      <w:pPr>
        <w:rPr>
          <w:rFonts w:ascii="Gill Sans" w:cs="Gill Sans" w:eastAsia="Gill Sans" w:hAnsi="Gill Sans"/>
          <w:b w:val="1"/>
          <w:sz w:val="22"/>
          <w:szCs w:val="22"/>
          <w:vertAlign w:val="superscript"/>
        </w:rPr>
      </w:pPr>
      <w:r w:rsidDel="00000000" w:rsidR="00000000" w:rsidRPr="00000000">
        <w:rPr>
          <w:rtl w:val="0"/>
        </w:rPr>
      </w:r>
    </w:p>
    <w:p w:rsidR="00000000" w:rsidDel="00000000" w:rsidP="00000000" w:rsidRDefault="00000000" w:rsidRPr="00000000" w14:paraId="00000006">
      <w:pPr>
        <w:spacing w:line="336" w:lineRule="auto"/>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Portland, OR, July 5, 2021 — With support for high-quality lossless formats across the major streaming platforms on the rise, music lovers now must rely more than ever on their choice of earphones to deliver on the promise of the next generation of premium listening experiences. Recognizing the need for audiophile-grade sound and quality in a unique, eye-catching package, Campfire Audio has just announced Holocene and Mammoth -- two bold new earphone designs that will connect listeners with their favorite artists better than ever before. </w:t>
      </w:r>
    </w:p>
    <w:p w:rsidR="00000000" w:rsidDel="00000000" w:rsidP="00000000" w:rsidRDefault="00000000" w:rsidRPr="00000000" w14:paraId="00000007">
      <w:pPr>
        <w:spacing w:line="33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Holocene [$649USD] and Mammoth [$549USD] build off Campfire’s legacy of elegant, handcrafted earphones and in-ear monitors by utilizing Campfire’s signature 3D printed acoustic chambers and precision matched drivers to deliver a peerless listening experience in two distinct sonic flavors. Holocene’s sound profile offers an even, balanced frequency response across its entire range, giving listeners exceptional clarity and a high-fidelity representation of their favorite artist’s sonic vision. Mammoth is bold and vibrant, ideally designed to deliver an enhanced listening experience to the person who likes to turn things up and feel the bass, mid, and treble in all the right places.</w:t>
      </w:r>
    </w:p>
    <w:p w:rsidR="00000000" w:rsidDel="00000000" w:rsidP="00000000" w:rsidRDefault="00000000" w:rsidRPr="00000000" w14:paraId="00000008">
      <w:pPr>
        <w:spacing w:line="33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Ensuring Campfire’s commitment to crafting products that are both robust and refined, each model is machined from aluminum, connected with black tri-lobe screws, finished with a black PVD stainless steel spout, and completed with the company’s custom beryllium MMCX connectors ensuring years of stable performance. Campfire has also given Holocene and Mammoth a unique and striking visual appeal, with integrated glow-in-the-dark elements on the earphones and cable overmolds, giving them a dynamic look after dark.  The units also ship with a custom-designed zipper case made of SEAQUAL® upcycled marine plastic with glow-in-the-dark features and unique patterns on every case.</w:t>
      </w:r>
    </w:p>
    <w:p w:rsidR="00000000" w:rsidDel="00000000" w:rsidP="00000000" w:rsidRDefault="00000000" w:rsidRPr="00000000" w14:paraId="00000009">
      <w:pPr>
        <w:spacing w:line="33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“When we designed Holocene and Mammoth, we soon discovered each had its unique voice, and both had something special to offer the discerning listener.” said Caleb Rosenau, Vice President of Campfire Audio. </w:t>
      </w:r>
    </w:p>
    <w:p w:rsidR="00000000" w:rsidDel="00000000" w:rsidP="00000000" w:rsidRDefault="00000000" w:rsidRPr="00000000" w14:paraId="0000000A">
      <w:pPr>
        <w:spacing w:line="33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“Holocene gives you all the nuance and detail out of the most layered recordings without intruding on what the artists intended for us to hear.  Its clarity and resolution shine a bright light on your favorite recordings, so you hear more than you ever have before.  Mammoth is exciting, visceral, and simply an enjoyable sonic signature.  You may find yourself turning up the favorite parts of your favorite songs with Mammoth because I certainly did.  Both are going to give you an amazing way to listen and connect with your favorite music in an honest and intimate way.  </w:t>
      </w:r>
      <w:r w:rsidDel="00000000" w:rsidR="00000000" w:rsidRPr="00000000">
        <w:rPr>
          <w:rFonts w:ascii="Gill Sans" w:cs="Gill Sans" w:eastAsia="Gill Sans" w:hAnsi="Gill Sans"/>
          <w:sz w:val="22"/>
          <w:szCs w:val="22"/>
          <w:rtl w:val="0"/>
        </w:rPr>
        <w:t xml:space="preserve">These are exceptional products, and we’re excited to get these into people’s hands so that they can enjoy them as much as we do.”</w:t>
      </w:r>
      <w:r w:rsidDel="00000000" w:rsidR="00000000" w:rsidRPr="00000000">
        <w:rPr>
          <w:rtl w:val="0"/>
        </w:rPr>
      </w:r>
    </w:p>
    <w:p w:rsidR="00000000" w:rsidDel="00000000" w:rsidP="00000000" w:rsidRDefault="00000000" w:rsidRPr="00000000" w14:paraId="0000000B">
      <w:pPr>
        <w:spacing w:line="336" w:lineRule="auto"/>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Holocene Key Features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Designed and Assembled in Portland, Oregon, USA using globally sourced components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Triple Balanced Armature earphone design for a full, balanced frequency response</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SPL: 94dB @ 6.99 mVrms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Earphone Impedance: 5.4 ohm @ 1K</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Frequency Response: 5Hz - 20kHz</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‘Umber’ Color</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Glow-in-the-dark Overmolds; MMCX and 3.5mm Plug</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New ‘Smoky Glow’ Silver plated Copper Litz Cable</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New ‘Epoch’ Carrying Case made with Upcycled Marine Plastic Supporting the SEAQUAL® INITIATIVE and features a unique and one-of-a-kind design</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36"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$649 USD</w:t>
      </w:r>
    </w:p>
    <w:p w:rsidR="00000000" w:rsidDel="00000000" w:rsidP="00000000" w:rsidRDefault="00000000" w:rsidRPr="00000000" w14:paraId="00000016">
      <w:pPr>
        <w:spacing w:line="336" w:lineRule="auto"/>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Mammoth Key Features</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Designed and Assembled in Portland, Oregon, USA using globally sourced components</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Custom balanced armature for highs, a single custom BA for mids, and a new custom 10mm bio-cellulose diaphragm dynamic driver for a visceral and vibrant sound.</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SPL: 94dB @ 18.16 mVrms</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Earphone Impedance: 8.1 ohm @ 1K</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Frequency Response: 5Hz - 20kHz</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‘Frozen Tundra Blue’ Color</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Glow-in-the-dark Overmolds; MMCX and 3.5mm Plug</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New ‘Smoky Glow’ Silver plated Copper Litz Cable</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New ‘Epoch’ Carrying Case made with Upcycled Marine Plastic Supporting the SEAQUAL® INITIATIVE and features a unique and one-of-a-kind design</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336"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$549 USD</w:t>
      </w:r>
    </w:p>
    <w:p w:rsidR="00000000" w:rsidDel="00000000" w:rsidP="00000000" w:rsidRDefault="00000000" w:rsidRPr="00000000" w14:paraId="00000021">
      <w:pPr>
        <w:spacing w:line="33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For more information on Mammoth and Holocene, please visit: </w:t>
      </w:r>
      <w:hyperlink r:id="rId7">
        <w:r w:rsidDel="00000000" w:rsidR="00000000" w:rsidRPr="00000000">
          <w:rPr>
            <w:rFonts w:ascii="Gill Sans" w:cs="Gill Sans" w:eastAsia="Gill Sans" w:hAnsi="Gill Sans"/>
            <w:sz w:val="22"/>
            <w:szCs w:val="22"/>
            <w:u w:val="single"/>
            <w:rtl w:val="0"/>
          </w:rPr>
          <w:t xml:space="preserve">http://www.campfireaudio.com/</w:t>
        </w:r>
      </w:hyperlink>
      <w:r w:rsidDel="00000000" w:rsidR="00000000" w:rsidRPr="00000000">
        <w:rPr>
          <w:rtl w:val="0"/>
        </w:rPr>
      </w:r>
    </w:p>
    <w:p w:rsidR="00000000" w:rsidDel="00000000" w:rsidP="00000000" w:rsidRDefault="00000000" w:rsidRPr="00000000" w14:paraId="00000022">
      <w:pPr>
        <w:spacing w:line="336" w:lineRule="auto"/>
        <w:rPr>
          <w:rFonts w:ascii="Gill Sans" w:cs="Gill Sans" w:eastAsia="Gill Sans" w:hAnsi="Gill Sans"/>
          <w:b w:val="1"/>
          <w:sz w:val="22"/>
          <w:szCs w:val="22"/>
        </w:rPr>
      </w:pPr>
      <w:r w:rsidDel="00000000" w:rsidR="00000000" w:rsidRPr="00000000">
        <w:rPr>
          <w:rFonts w:ascii="Arimo" w:cs="Arimo" w:eastAsia="Arimo" w:hAnsi="Arimo"/>
          <w:sz w:val="22"/>
          <w:szCs w:val="22"/>
          <w:rtl w:val="0"/>
        </w:rPr>
        <w:br w:type="textWrapping"/>
      </w:r>
      <w:r w:rsidDel="00000000" w:rsidR="00000000" w:rsidRPr="00000000">
        <w:rPr>
          <w:rFonts w:ascii="Gill Sans" w:cs="Gill Sans" w:eastAsia="Gill Sans" w:hAnsi="Gill Sans"/>
          <w:b w:val="1"/>
          <w:sz w:val="22"/>
          <w:szCs w:val="22"/>
          <w:rtl w:val="0"/>
        </w:rPr>
        <w:t xml:space="preserve">About Campfire Audio</w:t>
        <w:br w:type="textWrapping"/>
      </w:r>
      <w:r w:rsidDel="00000000" w:rsidR="00000000" w:rsidRPr="00000000">
        <w:rPr>
          <w:rFonts w:ascii="Gill Sans" w:cs="Gill Sans" w:eastAsia="Gill Sans" w:hAnsi="Gill Sans"/>
          <w:sz w:val="22"/>
          <w:szCs w:val="22"/>
          <w:rtl w:val="0"/>
        </w:rPr>
        <w:t xml:space="preserve">Campfire Audio springs from a passionate focus on refined audio reproduction.  With a small team of highly skilled and dedicated craftspeople, we continuously experiment with materials and techniques to create something unique and special for the people who care most about it. With determination and focus, prototypes turn into world-class earphones. Each model in our earphone line is designed and assembled by hand in our Portland, Oregon workshop; our earphones are second to none in performance and finish.</w:t>
      </w:r>
      <w:r w:rsidDel="00000000" w:rsidR="00000000" w:rsidRPr="00000000">
        <w:rPr>
          <w:rtl w:val="0"/>
        </w:rPr>
      </w:r>
    </w:p>
    <w:p w:rsidR="00000000" w:rsidDel="00000000" w:rsidP="00000000" w:rsidRDefault="00000000" w:rsidRPr="00000000" w14:paraId="00000023">
      <w:pPr>
        <w:spacing w:after="2" w:before="2" w:lineRule="auto"/>
        <w:rPr>
          <w:rFonts w:ascii="Gill Sans" w:cs="Gill Sans" w:eastAsia="Gill Sans" w:hAnsi="Gill Sans"/>
          <w:b w:val="1"/>
          <w:sz w:val="22"/>
          <w:szCs w:val="22"/>
        </w:rPr>
      </w:pPr>
      <w:r w:rsidDel="00000000" w:rsidR="00000000" w:rsidRPr="00000000">
        <w:rPr>
          <w:rtl w:val="0"/>
        </w:rPr>
      </w:r>
    </w:p>
    <w:bookmarkStart w:colFirst="0" w:colLast="0" w:name="bookmark=id.30j0zll" w:id="0"/>
    <w:bookmarkEnd w:id="0"/>
    <w:bookmarkStart w:colFirst="0" w:colLast="0" w:name="bookmark=id.gjdgxs" w:id="1"/>
    <w:bookmarkEnd w:id="1"/>
    <w:p w:rsidR="00000000" w:rsidDel="00000000" w:rsidP="00000000" w:rsidRDefault="00000000" w:rsidRPr="00000000" w14:paraId="00000024">
      <w:pPr>
        <w:spacing w:after="2" w:before="2" w:lineRule="auto"/>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Media contact</w:t>
      </w:r>
    </w:p>
    <w:p w:rsidR="00000000" w:rsidDel="00000000" w:rsidP="00000000" w:rsidRDefault="00000000" w:rsidRPr="00000000" w14:paraId="00000025">
      <w:pPr>
        <w:spacing w:after="1" w:before="1" w:lineRule="auto"/>
        <w:rPr>
          <w:sz w:val="20"/>
          <w:szCs w:val="20"/>
        </w:rPr>
      </w:pPr>
      <w:r w:rsidDel="00000000" w:rsidR="00000000" w:rsidRPr="00000000">
        <w:rPr>
          <w:rFonts w:ascii="Gill Sans" w:cs="Gill Sans" w:eastAsia="Gill Sans" w:hAnsi="Gill Sans"/>
          <w:sz w:val="22"/>
          <w:szCs w:val="22"/>
          <w:rtl w:val="0"/>
        </w:rPr>
        <w:t xml:space="preserve">Jeff Touzeau</w:t>
      </w:r>
      <w:r w:rsidDel="00000000" w:rsidR="00000000" w:rsidRPr="00000000">
        <w:rPr>
          <w:rtl w:val="0"/>
        </w:rPr>
      </w:r>
    </w:p>
    <w:p w:rsidR="00000000" w:rsidDel="00000000" w:rsidP="00000000" w:rsidRDefault="00000000" w:rsidRPr="00000000" w14:paraId="00000026">
      <w:pPr>
        <w:spacing w:after="1" w:before="1" w:lineRule="auto"/>
        <w:rPr>
          <w:sz w:val="20"/>
          <w:szCs w:val="20"/>
        </w:rPr>
      </w:pPr>
      <w:r w:rsidDel="00000000" w:rsidR="00000000" w:rsidRPr="00000000">
        <w:rPr>
          <w:rFonts w:ascii="Gill Sans" w:cs="Gill Sans" w:eastAsia="Gill Sans" w:hAnsi="Gill Sans"/>
          <w:sz w:val="22"/>
          <w:szCs w:val="22"/>
          <w:rtl w:val="0"/>
        </w:rPr>
        <w:t xml:space="preserve">Public Relations</w:t>
      </w:r>
      <w:r w:rsidDel="00000000" w:rsidR="00000000" w:rsidRPr="00000000">
        <w:rPr>
          <w:rtl w:val="0"/>
        </w:rPr>
      </w:r>
    </w:p>
    <w:p w:rsidR="00000000" w:rsidDel="00000000" w:rsidP="00000000" w:rsidRDefault="00000000" w:rsidRPr="00000000" w14:paraId="00000027">
      <w:pPr>
        <w:spacing w:after="1" w:before="1" w:lineRule="auto"/>
        <w:rPr>
          <w:sz w:val="20"/>
          <w:szCs w:val="20"/>
        </w:rPr>
      </w:pPr>
      <w:r w:rsidDel="00000000" w:rsidR="00000000" w:rsidRPr="00000000">
        <w:rPr>
          <w:rFonts w:ascii="Gill Sans" w:cs="Gill Sans" w:eastAsia="Gill Sans" w:hAnsi="Gill Sans"/>
          <w:sz w:val="22"/>
          <w:szCs w:val="22"/>
          <w:rtl w:val="0"/>
        </w:rPr>
        <w:t xml:space="preserve">Hummingbird Media</w:t>
      </w:r>
      <w:r w:rsidDel="00000000" w:rsidR="00000000" w:rsidRPr="00000000">
        <w:rPr>
          <w:rtl w:val="0"/>
        </w:rPr>
      </w:r>
    </w:p>
    <w:p w:rsidR="00000000" w:rsidDel="00000000" w:rsidP="00000000" w:rsidRDefault="00000000" w:rsidRPr="00000000" w14:paraId="00000028">
      <w:pPr>
        <w:spacing w:after="1" w:before="1" w:lineRule="auto"/>
        <w:rPr>
          <w:sz w:val="20"/>
          <w:szCs w:val="20"/>
        </w:rPr>
      </w:pPr>
      <w:r w:rsidDel="00000000" w:rsidR="00000000" w:rsidRPr="00000000">
        <w:rPr>
          <w:rFonts w:ascii="Gill Sans" w:cs="Gill Sans" w:eastAsia="Gill Sans" w:hAnsi="Gill Sans"/>
          <w:sz w:val="22"/>
          <w:szCs w:val="22"/>
          <w:rtl w:val="0"/>
        </w:rPr>
        <w:t xml:space="preserve">+1 (914) 602 2913</w:t>
      </w:r>
      <w:r w:rsidDel="00000000" w:rsidR="00000000" w:rsidRPr="00000000">
        <w:rPr>
          <w:rtl w:val="0"/>
        </w:rPr>
      </w:r>
    </w:p>
    <w:p w:rsidR="00000000" w:rsidDel="00000000" w:rsidP="00000000" w:rsidRDefault="00000000" w:rsidRPr="00000000" w14:paraId="00000029">
      <w:pPr>
        <w:spacing w:after="2" w:before="2" w:lineRule="auto"/>
        <w:rPr>
          <w:rFonts w:ascii="Gill Sans" w:cs="Gill Sans" w:eastAsia="Gill Sans" w:hAnsi="Gill Sans"/>
          <w:color w:val="000000"/>
          <w:sz w:val="22"/>
          <w:szCs w:val="22"/>
          <w:u w:val="single"/>
        </w:rPr>
      </w:pPr>
      <w:hyperlink r:id="rId8">
        <w:r w:rsidDel="00000000" w:rsidR="00000000" w:rsidRPr="00000000">
          <w:rPr>
            <w:rFonts w:ascii="Gill Sans" w:cs="Gill Sans" w:eastAsia="Gill Sans" w:hAnsi="Gill Sans"/>
            <w:color w:val="000000"/>
            <w:sz w:val="22"/>
            <w:szCs w:val="22"/>
            <w:u w:val="single"/>
            <w:rtl w:val="0"/>
          </w:rPr>
          <w:t xml:space="preserve">jeff@hummingbirdmedia.com</w:t>
        </w:r>
      </w:hyperlink>
      <w:r w:rsidDel="00000000" w:rsidR="00000000" w:rsidRPr="00000000">
        <w:rPr>
          <w:rtl w:val="0"/>
        </w:rPr>
      </w:r>
    </w:p>
    <w:p w:rsidR="00000000" w:rsidDel="00000000" w:rsidP="00000000" w:rsidRDefault="00000000" w:rsidRPr="00000000" w14:paraId="0000002A">
      <w:pPr>
        <w:spacing w:after="2" w:before="2" w:lineRule="auto"/>
        <w:rPr>
          <w:rFonts w:ascii="Gill Sans" w:cs="Gill Sans" w:eastAsia="Gill Sans" w:hAnsi="Gill Sans"/>
          <w:color w:val="0000ff"/>
          <w:sz w:val="22"/>
          <w:szCs w:val="22"/>
          <w:u w:val="single"/>
        </w:rPr>
      </w:pPr>
      <w:r w:rsidDel="00000000" w:rsidR="00000000" w:rsidRPr="00000000">
        <w:rPr>
          <w:rtl w:val="0"/>
        </w:rPr>
      </w:r>
    </w:p>
    <w:p w:rsidR="00000000" w:rsidDel="00000000" w:rsidP="00000000" w:rsidRDefault="00000000" w:rsidRPr="00000000" w14:paraId="0000002B">
      <w:pPr>
        <w:spacing w:after="1" w:before="1" w:lineRule="auto"/>
        <w:rPr>
          <w:sz w:val="20"/>
          <w:szCs w:val="20"/>
        </w:rPr>
      </w:pPr>
      <w:r w:rsidDel="00000000" w:rsidR="00000000" w:rsidRPr="00000000">
        <w:rPr>
          <w:rFonts w:ascii="Gill Sans" w:cs="Gill Sans" w:eastAsia="Gill Sans" w:hAnsi="Gill Sans"/>
          <w:sz w:val="22"/>
          <w:szCs w:val="22"/>
          <w:rtl w:val="0"/>
        </w:rPr>
        <w:t xml:space="preserve">Steve Bailey</w:t>
      </w:r>
      <w:r w:rsidDel="00000000" w:rsidR="00000000" w:rsidRPr="00000000">
        <w:rPr>
          <w:rtl w:val="0"/>
        </w:rPr>
      </w:r>
    </w:p>
    <w:p w:rsidR="00000000" w:rsidDel="00000000" w:rsidP="00000000" w:rsidRDefault="00000000" w:rsidRPr="00000000" w14:paraId="0000002C">
      <w:pPr>
        <w:spacing w:after="1" w:before="1" w:lineRule="auto"/>
        <w:rPr>
          <w:sz w:val="20"/>
          <w:szCs w:val="20"/>
        </w:rPr>
      </w:pPr>
      <w:r w:rsidDel="00000000" w:rsidR="00000000" w:rsidRPr="00000000">
        <w:rPr>
          <w:rFonts w:ascii="Gill Sans" w:cs="Gill Sans" w:eastAsia="Gill Sans" w:hAnsi="Gill Sans"/>
          <w:sz w:val="22"/>
          <w:szCs w:val="22"/>
          <w:rtl w:val="0"/>
        </w:rPr>
        <w:t xml:space="preserve">Public Relations</w:t>
      </w:r>
      <w:r w:rsidDel="00000000" w:rsidR="00000000" w:rsidRPr="00000000">
        <w:rPr>
          <w:rtl w:val="0"/>
        </w:rPr>
      </w:r>
    </w:p>
    <w:p w:rsidR="00000000" w:rsidDel="00000000" w:rsidP="00000000" w:rsidRDefault="00000000" w:rsidRPr="00000000" w14:paraId="0000002D">
      <w:pPr>
        <w:spacing w:after="1" w:before="1" w:lineRule="auto"/>
        <w:rPr>
          <w:sz w:val="20"/>
          <w:szCs w:val="20"/>
        </w:rPr>
      </w:pPr>
      <w:r w:rsidDel="00000000" w:rsidR="00000000" w:rsidRPr="00000000">
        <w:rPr>
          <w:rFonts w:ascii="Gill Sans" w:cs="Gill Sans" w:eastAsia="Gill Sans" w:hAnsi="Gill Sans"/>
          <w:sz w:val="22"/>
          <w:szCs w:val="22"/>
          <w:rtl w:val="0"/>
        </w:rPr>
        <w:t xml:space="preserve">Hummingbird Media</w:t>
      </w:r>
      <w:r w:rsidDel="00000000" w:rsidR="00000000" w:rsidRPr="00000000">
        <w:rPr>
          <w:rtl w:val="0"/>
        </w:rPr>
      </w:r>
    </w:p>
    <w:p w:rsidR="00000000" w:rsidDel="00000000" w:rsidP="00000000" w:rsidRDefault="00000000" w:rsidRPr="00000000" w14:paraId="0000002E">
      <w:pPr>
        <w:spacing w:after="1" w:before="1"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+1 (508) 596 932</w:t>
      </w:r>
    </w:p>
    <w:p w:rsidR="00000000" w:rsidDel="00000000" w:rsidP="00000000" w:rsidRDefault="00000000" w:rsidRPr="00000000" w14:paraId="0000002F">
      <w:pPr>
        <w:spacing w:after="1" w:before="1" w:lineRule="auto"/>
        <w:rPr>
          <w:rFonts w:ascii="Gill Sans" w:cs="Gill Sans" w:eastAsia="Gill Sans" w:hAnsi="Gill Sans"/>
          <w:color w:val="000000"/>
          <w:sz w:val="22"/>
          <w:szCs w:val="22"/>
        </w:rPr>
      </w:pPr>
      <w:hyperlink r:id="rId9">
        <w:r w:rsidDel="00000000" w:rsidR="00000000" w:rsidRPr="00000000">
          <w:rPr>
            <w:rFonts w:ascii="Gill Sans" w:cs="Gill Sans" w:eastAsia="Gill Sans" w:hAnsi="Gill Sans"/>
            <w:color w:val="000000"/>
            <w:sz w:val="22"/>
            <w:szCs w:val="22"/>
            <w:u w:val="single"/>
            <w:rtl w:val="0"/>
          </w:rPr>
          <w:t xml:space="preserve">steve@hummingbirdmedia.com</w:t>
        </w:r>
      </w:hyperlink>
      <w:r w:rsidDel="00000000" w:rsidR="00000000" w:rsidRPr="00000000">
        <w:rPr>
          <w:rtl w:val="0"/>
        </w:rPr>
      </w:r>
    </w:p>
    <w:p w:rsidR="00000000" w:rsidDel="00000000" w:rsidP="00000000" w:rsidRDefault="00000000" w:rsidRPr="00000000" w14:paraId="00000030">
      <w:pPr>
        <w:spacing w:after="1" w:before="1" w:lineRule="auto"/>
        <w:rPr>
          <w:sz w:val="20"/>
          <w:szCs w:val="20"/>
        </w:rPr>
      </w:pPr>
      <w:r w:rsidDel="00000000" w:rsidR="00000000" w:rsidRPr="00000000">
        <w:rPr>
          <w:rtl w:val="0"/>
        </w:rPr>
      </w:r>
    </w:p>
    <w:p w:rsidR="00000000" w:rsidDel="00000000" w:rsidP="00000000" w:rsidRDefault="00000000" w:rsidRPr="00000000" w14:paraId="00000031">
      <w:pPr>
        <w:spacing w:after="2" w:before="2" w:lineRule="auto"/>
        <w:rPr/>
      </w:pPr>
      <w:r w:rsidDel="00000000" w:rsidR="00000000" w:rsidRPr="00000000">
        <w:rPr>
          <w:rtl w:val="0"/>
        </w:rPr>
      </w:r>
    </w:p>
    <w:sectPr>
      <w:headerReference r:id="rId10" w:type="first"/>
      <w:pgSz w:h="15840" w:w="12240" w:orient="portrait"/>
      <w:pgMar w:bottom="1440" w:top="976"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Gill San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680"/>
        <w:tab w:val="right" w:pos="9360"/>
      </w:tabs>
      <w:spacing w:after="0" w:lineRule="auto"/>
      <w:ind w:right="-360"/>
      <w:rPr>
        <w:rFonts w:ascii="Gill Sans" w:cs="Gill Sans" w:eastAsia="Gill Sans" w:hAnsi="Gill Sans"/>
        <w:b w:val="1"/>
        <w:color w:val="808080"/>
        <w:sz w:val="28"/>
        <w:szCs w:val="28"/>
      </w:rPr>
    </w:pPr>
    <w:r w:rsidDel="00000000" w:rsidR="00000000" w:rsidRPr="00000000">
      <w:rPr>
        <w:rFonts w:ascii="Gill Sans" w:cs="Gill Sans" w:eastAsia="Gill Sans" w:hAnsi="Gill Sans"/>
        <w:b w:val="1"/>
        <w:color w:val="808080"/>
        <w:sz w:val="28"/>
        <w:szCs w:val="28"/>
        <w:rtl w:val="0"/>
      </w:rPr>
      <w:t xml:space="preserve">PRESS RELEASE</w:t>
      <w:tab/>
      <w:tab/>
      <w:tab/>
      <w:tab/>
      <w:tab/>
      <w:t xml:space="preserve">   </w:t>
    </w:r>
    <w:r w:rsidDel="00000000" w:rsidR="00000000" w:rsidRPr="00000000">
      <w:rPr>
        <w:rFonts w:ascii="Gill Sans" w:cs="Gill Sans" w:eastAsia="Gill Sans" w:hAnsi="Gill Sans"/>
        <w:b w:val="1"/>
        <w:color w:val="808080"/>
        <w:sz w:val="28"/>
        <w:szCs w:val="28"/>
      </w:rPr>
      <w:drawing>
        <wp:inline distB="0" distT="0" distL="0" distR="0">
          <wp:extent cx="1725117" cy="891652"/>
          <wp:effectExtent b="0" l="0" r="0" t="0"/>
          <wp:docPr descr="Logo, company name&#10;&#10;Description automatically generated" id="5"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725117" cy="891652"/>
                  </a:xfrm>
                  <a:prstGeom prst="rect"/>
                  <a:ln/>
                </pic:spPr>
              </pic:pic>
            </a:graphicData>
          </a:graphic>
        </wp:inline>
      </w:drawing>
    </w:r>
    <w:r w:rsidDel="00000000" w:rsidR="00000000" w:rsidRPr="00000000">
      <w:rPr>
        <w:rFonts w:ascii="Gill Sans" w:cs="Gill Sans" w:eastAsia="Gill Sans" w:hAnsi="Gill Sans"/>
        <w:b w:val="1"/>
        <w:color w:val="808080"/>
        <w:sz w:val="28"/>
        <w:szCs w:val="28"/>
        <w:rtl w:val="0"/>
      </w:rPr>
      <w:tab/>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13A1A"/>
    <w:rPr>
      <w:color w:val="000000"/>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sid w:val="00713A1A"/>
    <w:rPr>
      <w:u w:val="single"/>
    </w:rPr>
  </w:style>
  <w:style w:type="paragraph" w:styleId="FreeForm" w:customStyle="1">
    <w:name w:val="Free Form"/>
    <w:rsid w:val="00713A1A"/>
    <w:rPr>
      <w:rFonts w:ascii="Cambria" w:cs="Arial Unicode MS" w:hAnsi="Cambria"/>
      <w:color w:val="000000"/>
    </w:rPr>
  </w:style>
  <w:style w:type="paragraph" w:styleId="Header">
    <w:name w:val="header"/>
    <w:rsid w:val="00713A1A"/>
    <w:pPr>
      <w:tabs>
        <w:tab w:val="center" w:pos="4680"/>
        <w:tab w:val="right" w:pos="9360"/>
      </w:tabs>
    </w:pPr>
    <w:rPr>
      <w:rFonts w:cs="Arial Unicode MS"/>
      <w:color w:val="000000"/>
    </w:rPr>
  </w:style>
  <w:style w:type="character" w:styleId="Link" w:customStyle="1">
    <w:name w:val="Link"/>
    <w:rsid w:val="00713A1A"/>
    <w:rPr>
      <w:color w:val="000099"/>
      <w:u w:val="single"/>
    </w:rPr>
  </w:style>
  <w:style w:type="character" w:styleId="Hyperlink0" w:customStyle="1">
    <w:name w:val="Hyperlink.0"/>
    <w:basedOn w:val="Link"/>
    <w:rsid w:val="00713A1A"/>
    <w:rPr>
      <w:rFonts w:ascii="Gill Sans MT" w:cs="Gill Sans MT" w:eastAsia="Gill Sans MT" w:hAnsi="Gill Sans MT"/>
      <w:color w:val="0000ff"/>
      <w:sz w:val="22"/>
      <w:szCs w:val="22"/>
      <w:u w:val="single"/>
      <w:lang w:val="en-US"/>
    </w:rPr>
  </w:style>
  <w:style w:type="character" w:styleId="usercontent" w:customStyle="1">
    <w:name w:val="usercontent"/>
    <w:rsid w:val="00713A1A"/>
    <w:rPr>
      <w:color w:val="000000"/>
      <w:sz w:val="20"/>
      <w:szCs w:val="20"/>
      <w:lang w:val="en-US"/>
    </w:rPr>
  </w:style>
  <w:style w:type="character" w:styleId="UnresolvedMention1" w:customStyle="1">
    <w:name w:val="Unresolved Mention1"/>
    <w:basedOn w:val="DefaultParagraphFont"/>
    <w:uiPriority w:val="99"/>
    <w:semiHidden w:val="1"/>
    <w:unhideWhenUsed w:val="1"/>
    <w:rsid w:val="00506D57"/>
    <w:rPr>
      <w:color w:val="808080"/>
      <w:shd w:color="auto" w:fill="e6e6e6" w:val="clear"/>
    </w:rPr>
  </w:style>
  <w:style w:type="character" w:styleId="FollowedHyperlink">
    <w:name w:val="FollowedHyperlink"/>
    <w:basedOn w:val="DefaultParagraphFont"/>
    <w:uiPriority w:val="99"/>
    <w:semiHidden w:val="1"/>
    <w:unhideWhenUsed w:val="1"/>
    <w:rsid w:val="00677DB2"/>
    <w:rPr>
      <w:color w:val="ff00ff" w:themeColor="followedHyperlink"/>
      <w:u w:val="single"/>
    </w:rPr>
  </w:style>
  <w:style w:type="paragraph" w:styleId="Footer">
    <w:name w:val="footer"/>
    <w:basedOn w:val="Normal"/>
    <w:link w:val="FooterChar"/>
    <w:uiPriority w:val="99"/>
    <w:unhideWhenUsed w:val="1"/>
    <w:rsid w:val="00445484"/>
    <w:pPr>
      <w:tabs>
        <w:tab w:val="center" w:pos="4680"/>
        <w:tab w:val="right" w:pos="9360"/>
      </w:tabs>
      <w:spacing w:after="0"/>
    </w:pPr>
  </w:style>
  <w:style w:type="character" w:styleId="FooterChar" w:customStyle="1">
    <w:name w:val="Footer Char"/>
    <w:basedOn w:val="DefaultParagraphFont"/>
    <w:link w:val="Footer"/>
    <w:uiPriority w:val="99"/>
    <w:rsid w:val="00445484"/>
    <w:rPr>
      <w:rFonts w:ascii="Arial" w:cs="Arial" w:eastAsia="Arial" w:hAnsi="Arial"/>
      <w:color w:val="000000"/>
      <w:sz w:val="24"/>
      <w:szCs w:val="24"/>
    </w:rPr>
  </w:style>
  <w:style w:type="character" w:styleId="UnresolvedMention">
    <w:name w:val="Unresolved Mention"/>
    <w:basedOn w:val="DefaultParagraphFont"/>
    <w:uiPriority w:val="99"/>
    <w:semiHidden w:val="1"/>
    <w:unhideWhenUsed w:val="1"/>
    <w:rsid w:val="00D70CC1"/>
    <w:rPr>
      <w:color w:val="605e5c"/>
      <w:shd w:color="auto" w:fill="e1dfdd" w:val="clear"/>
    </w:rPr>
  </w:style>
  <w:style w:type="paragraph" w:styleId="ListParagraph">
    <w:name w:val="List Paragraph"/>
    <w:basedOn w:val="Normal"/>
    <w:uiPriority w:val="34"/>
    <w:qFormat w:val="1"/>
    <w:rsid w:val="002527B4"/>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steve@hummingbirdmedi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ampfireaudio.com/" TargetMode="External"/><Relationship Id="rId8" Type="http://schemas.openxmlformats.org/officeDocument/2006/relationships/hyperlink" Target="mailto:lipoff.alexi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GillSans-regular.ttf"/><Relationship Id="rId6"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eTbTL63wFU4yev15WEUGRNmqVg==">AMUW2mVZxrFt9rWZzSs4GyO+ywuQrWuIQXki4sdfv8impFhca++Pt1EYX4P57423w6I+PHiiSk2bh2gyp3kAZirC99iUhI//JTErtZR+IowdgtSMlnWtvMyUdtGEZeA7RMsldS94RNTs51BKbjtvHvF3A/f7FC+6Xw==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2021-06-02T18:31:00Z</dcterms:created>
  <dc:creator>Callista Card</dc:creator>
</cp:coreProperties>
</file>