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63DAE90" w14:textId="25441FCF" w:rsidR="007C6F61"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8C0935">
        <w:rPr>
          <w:rFonts w:asciiTheme="minorHAnsi" w:eastAsiaTheme="minorEastAsia" w:hAnsiTheme="minorHAnsi" w:cstheme="minorHAnsi"/>
          <w:b/>
          <w:bCs/>
          <w:szCs w:val="19"/>
          <w:lang w:val="it-IT" w:eastAsia="zh-CN"/>
        </w:rPr>
        <w:t>25</w:t>
      </w:r>
      <w:r w:rsidR="008C0935" w:rsidRPr="008C0935">
        <w:rPr>
          <w:rFonts w:asciiTheme="minorHAnsi" w:eastAsiaTheme="minorEastAsia" w:hAnsiTheme="minorHAnsi" w:cstheme="minorHAnsi"/>
          <w:b/>
          <w:bCs/>
          <w:szCs w:val="19"/>
          <w:lang w:val="it-IT" w:eastAsia="zh-CN"/>
        </w:rPr>
        <w:t xml:space="preserve"> settembre 2025</w:t>
      </w:r>
    </w:p>
    <w:p w14:paraId="4A2246CB" w14:textId="7294EC64" w:rsidR="00B160AA" w:rsidRPr="00A312CA" w:rsidRDefault="00A312CA" w:rsidP="00B160AA">
      <w:pPr>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r>
    </w:p>
    <w:p w14:paraId="3AA1EB6C" w14:textId="77777777" w:rsidR="00802250" w:rsidRPr="00802250" w:rsidRDefault="00802250" w:rsidP="00802250">
      <w:pPr>
        <w:spacing w:after="160" w:line="259" w:lineRule="auto"/>
        <w:rPr>
          <w:rFonts w:asciiTheme="minorHAnsi" w:eastAsia="Aptos" w:hAnsiTheme="minorHAnsi" w:cstheme="minorHAnsi"/>
          <w:b/>
          <w:bCs/>
          <w:kern w:val="2"/>
          <w:sz w:val="20"/>
          <w:szCs w:val="20"/>
          <w:lang w:val="it-IT"/>
          <w14:ligatures w14:val="standardContextual"/>
        </w:rPr>
      </w:pPr>
      <w:bookmarkStart w:id="0" w:name="_Hlk157503314"/>
      <w:bookmarkEnd w:id="0"/>
      <w:r w:rsidRPr="00802250">
        <w:rPr>
          <w:rFonts w:asciiTheme="minorHAnsi" w:eastAsia="Aptos" w:hAnsiTheme="minorHAnsi" w:cstheme="minorHAnsi"/>
          <w:b/>
          <w:kern w:val="2"/>
          <w:sz w:val="20"/>
          <w:szCs w:val="20"/>
          <w:lang w:val="it-IT" w:bidi="it-IT"/>
          <w14:ligatures w14:val="standardContextual"/>
        </w:rPr>
        <w:t>BOBST NOVAFOLD si evolve con nuovi potenti aggiornamenti per aumentare l'efficienza e la precisione</w:t>
      </w:r>
    </w:p>
    <w:p w14:paraId="70D159FC"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 xml:space="preserve">BOBST ha introdotto una serie di importanti aggiornamenti e nuove opzioni sulla sua linea di piega-incollatrici NOVAFOLD, rafforzando la posizione della macchina come soluzione efficiente e affidabile per le odierne aziende di trasformazione del settore del packaging. </w:t>
      </w:r>
    </w:p>
    <w:p w14:paraId="2A760AE4"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Grazie a questi miglioramenti appena annunciati, NOVAFOLD apre le porte a un'automazione più intelligente, velocità più elevate e maggiore flessibilità, adattandosi perfettamente alle diverse esigenze dell'industria del packaging contemporanea.</w:t>
      </w:r>
    </w:p>
    <w:p w14:paraId="0D8C8780"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Progettati per una produzione ininterrotta 24 ore al giorno 7 giorni su 7 di scatole lineari, a chiusura automatica e a 4 e 6 angoli, i modelli NOVAFOLD 50, 80 e 110 offrono ora maggiore velocità e controllo. La velocità delle cinghie è stata aumentata da 300 a 350 metri al minuto, mentre la capacità di piegatura è stata potenziata a 22.000 scatole all'ora.</w:t>
      </w:r>
    </w:p>
    <w:p w14:paraId="6336F597"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La macchina beneficia inoltre di una sezione di piegatura estesa, che passa da 2.300 mm a 3.000 mm. Ciò consente un processo di piegatura più controllato e graduale, particolarmente vantaggioso quando si lavorano formati più grandi o materiali sensibili, con conseguente miglioramento della qualità di piegatura e riduzione degli sprechi.</w:t>
      </w:r>
    </w:p>
    <w:p w14:paraId="4E78959E"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In linea con l'impegno di BOBST verso l'automazione intelligente e il potenziamento delle capacità degli utenti, la versione aggiornata di NOVAFOLD può essere dotata anche dell'interfaccia macchina SPHERE. Questo sistema consente la memorizzazione digitale delle impostazioni di lavoro, guidando gli operatori con istruzioni di posizionamento precise tramite indicatori digitali. Gli operatori possono salvare e richiamare tutte le impostazioni di lavoro con un intervento minimo, riducendo i tempi di fermo e assicurando uniformità costante nelle tirature ripetute.</w:t>
      </w:r>
    </w:p>
    <w:p w14:paraId="0310C098"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 xml:space="preserve">Questa configurazione avanzata è ulteriormente supportata dalla gestione digitale dei lavori e delle ricette, che consente di creare parametri di lavoro nel back office e di inviarli direttamente a NOVAFOLD tramite l'interfaccia SPHERE. Una volta ricevuti, il sistema fornisce agli operatori un elenco chiaro dei lavori imminenti, eliminando la necessità di inserirli o consultarli manualmente. Ciò consente una preparazione del lavoro proattiva e precisa, configurazioni più rapide e una qualità costante nei vari turni e cambi di operatore. </w:t>
      </w:r>
    </w:p>
    <w:p w14:paraId="34B933CD"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 xml:space="preserve">La linea NOVAFOLD assicura inoltre il mantenimento di una qualità al 100%. ACCUEJECT, già disponibile, garantisce l’espulsione automatica delle scatole difettose alla massima velocità di produzione, assicurando una qualità di produzione stabile e costante. </w:t>
      </w:r>
    </w:p>
    <w:p w14:paraId="40051C3D"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Inoltre, l'aggiornamento della rampa del mettifoglio introduce un sistema di bloccaggio pneumatico che semplifica le regolazioni laterali, migliorando l'ergonomia e riducendo i tempi di configurazione manuale.</w:t>
      </w:r>
    </w:p>
    <w:p w14:paraId="1F1915B2"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I miglioramenti introdotti confermano la volontà di BOBST di investire continuamente nell’innovazione tecnologica per rispondere alle esigenze dei clienti. Che l'obiettivo sia quello di migliorare l'efficienza, semplificare le operazioni o aumentare le capacità di trasformazione, la versione aggiornata di NOVAFOLD offre una piattaforma di piega-incollatura moderna e intelligente in grado di crescere con l'azienda.</w:t>
      </w:r>
    </w:p>
    <w:p w14:paraId="206216B9"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lastRenderedPageBreak/>
        <w:t>"Con questi aggiornamenti, offriamo ai trasformatori una NOVAFOLD più intelligente e performante, perfettamente allineata alle reali esigenze produttive", ha affermato Pierre Binggeli, responsabile della linea di prodotti piega-incollatrici di BOBST. "Ci siamo concentrati sull'aumento della velocità, sul miglioramento della qualità della piegatura e sulla semplificazione dell'impostazione e del cambio dei lavori. Si tratta di un grande passo avanti in termini di prestazioni per una piattaforma che era già altamente affidabile".</w:t>
      </w:r>
    </w:p>
    <w:p w14:paraId="6E0E6E80" w14:textId="77777777" w:rsidR="00802250" w:rsidRPr="00802250" w:rsidRDefault="00802250" w:rsidP="00802250">
      <w:pPr>
        <w:spacing w:after="160" w:line="259" w:lineRule="auto"/>
        <w:rPr>
          <w:rFonts w:asciiTheme="minorHAnsi" w:eastAsia="Aptos" w:hAnsiTheme="minorHAnsi" w:cstheme="minorHAnsi"/>
          <w:kern w:val="2"/>
          <w:sz w:val="20"/>
          <w:szCs w:val="20"/>
          <w:lang w:val="it-IT"/>
          <w14:ligatures w14:val="standardContextual"/>
        </w:rPr>
      </w:pPr>
      <w:r w:rsidRPr="00802250">
        <w:rPr>
          <w:rFonts w:asciiTheme="minorHAnsi" w:eastAsia="Aptos" w:hAnsiTheme="minorHAnsi" w:cstheme="minorHAnsi"/>
          <w:kern w:val="2"/>
          <w:sz w:val="20"/>
          <w:szCs w:val="20"/>
          <w:lang w:val="it-IT" w:bidi="it-IT"/>
          <w14:ligatures w14:val="standardContextual"/>
        </w:rPr>
        <w:t>La gamma NOVAFOLD è supportata dalla rete di assistenza globale BOBST ed è pronta per l'integrazione con BOBST Connect, offrendo visibilità delle prestazioni e processi decisionali basati sui dati.</w:t>
      </w:r>
    </w:p>
    <w:p w14:paraId="28F6A825" w14:textId="53FD6370" w:rsidR="008C0935" w:rsidRDefault="00802250" w:rsidP="00802250">
      <w:pPr>
        <w:spacing w:after="160" w:line="259" w:lineRule="auto"/>
        <w:rPr>
          <w:rFonts w:asciiTheme="minorHAnsi" w:eastAsia="Aptos" w:hAnsiTheme="minorHAnsi" w:cstheme="minorHAnsi"/>
          <w:kern w:val="2"/>
          <w:sz w:val="20"/>
          <w:szCs w:val="20"/>
          <w:lang w:val="it-IT" w:bidi="it-IT"/>
          <w14:ligatures w14:val="standardContextual"/>
        </w:rPr>
      </w:pPr>
      <w:r w:rsidRPr="00802250">
        <w:rPr>
          <w:rFonts w:asciiTheme="minorHAnsi" w:eastAsia="Aptos" w:hAnsiTheme="minorHAnsi" w:cstheme="minorHAnsi"/>
          <w:kern w:val="2"/>
          <w:sz w:val="20"/>
          <w:szCs w:val="20"/>
          <w:lang w:val="it-IT" w:bidi="it-IT"/>
          <w14:ligatures w14:val="standardContextual"/>
        </w:rPr>
        <w:t>Con questi ultimi sviluppi, NOVAFOLD continua a incarnare la promessa fondamentale di BOBST: fornire soluzioni di trasformazione affidabili e di alta qualità che consentano ai trasformatori di progredire a ogni scatola, a ogni turno e ogni giorno.</w:t>
      </w:r>
    </w:p>
    <w:p w14:paraId="4722D894" w14:textId="2D9A18C8" w:rsidR="008C0935" w:rsidRPr="00802250" w:rsidRDefault="008C0935" w:rsidP="00802250">
      <w:pPr>
        <w:spacing w:after="160" w:line="259" w:lineRule="auto"/>
        <w:rPr>
          <w:rFonts w:asciiTheme="minorHAnsi" w:eastAsia="Aptos" w:hAnsiTheme="minorHAnsi" w:cstheme="minorHAnsi"/>
          <w:kern w:val="2"/>
          <w:sz w:val="20"/>
          <w:szCs w:val="20"/>
          <w:lang w:val="it-IT"/>
          <w14:ligatures w14:val="standardContextual"/>
        </w:rPr>
      </w:pPr>
      <w:r>
        <w:rPr>
          <w:rFonts w:asciiTheme="minorHAnsi" w:eastAsia="Aptos" w:hAnsiTheme="minorHAnsi" w:cstheme="minorHAnsi"/>
          <w:kern w:val="2"/>
          <w:sz w:val="20"/>
          <w:szCs w:val="20"/>
          <w:lang w:val="it-IT" w:bidi="it-IT"/>
          <w14:ligatures w14:val="standardContextual"/>
        </w:rPr>
        <w:t>./.</w:t>
      </w: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1680CBE" w14:textId="77777777" w:rsidR="00044C55" w:rsidRPr="00044C55" w:rsidRDefault="00044C55" w:rsidP="00E06F92">
      <w:pPr>
        <w:autoSpaceDE w:val="0"/>
        <w:autoSpaceDN w:val="0"/>
        <w:adjustRightInd w:val="0"/>
        <w:spacing w:line="276"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E06F92">
      <w:pPr>
        <w:spacing w:line="276"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E06F92">
      <w:pPr>
        <w:spacing w:line="276" w:lineRule="auto"/>
        <w:rPr>
          <w:rFonts w:asciiTheme="minorHAnsi" w:hAnsiTheme="minorHAnsi" w:cstheme="minorHAnsi"/>
          <w:lang w:val="it-IT"/>
        </w:rPr>
      </w:pPr>
    </w:p>
    <w:p w14:paraId="54F0ADA3" w14:textId="77777777" w:rsidR="00044C55" w:rsidRPr="00044C55" w:rsidRDefault="00044C55" w:rsidP="00E06F92">
      <w:pPr>
        <w:shd w:val="clear" w:color="auto" w:fill="FFFFFF"/>
        <w:spacing w:line="276"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936041">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5C74" w14:textId="77777777" w:rsidR="003169B0" w:rsidRDefault="003169B0" w:rsidP="00BB5BE9">
      <w:pPr>
        <w:spacing w:line="240" w:lineRule="auto"/>
      </w:pPr>
      <w:r>
        <w:separator/>
      </w:r>
    </w:p>
  </w:endnote>
  <w:endnote w:type="continuationSeparator" w:id="0">
    <w:p w14:paraId="29AD055A" w14:textId="77777777" w:rsidR="003169B0" w:rsidRDefault="003169B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95881" w14:textId="77777777" w:rsidR="003169B0" w:rsidRDefault="003169B0" w:rsidP="00BB5BE9">
      <w:pPr>
        <w:spacing w:line="240" w:lineRule="auto"/>
      </w:pPr>
      <w:r>
        <w:separator/>
      </w:r>
    </w:p>
  </w:footnote>
  <w:footnote w:type="continuationSeparator" w:id="0">
    <w:p w14:paraId="700B70B6" w14:textId="77777777" w:rsidR="003169B0" w:rsidRDefault="003169B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45090B"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45090B"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5FAC"/>
    <w:multiLevelType w:val="hybridMultilevel"/>
    <w:tmpl w:val="A8C665DE"/>
    <w:lvl w:ilvl="0" w:tplc="FB1AB0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4"/>
  </w:num>
  <w:num w:numId="13" w16cid:durableId="295335604">
    <w:abstractNumId w:val="11"/>
  </w:num>
  <w:num w:numId="14" w16cid:durableId="1056393786">
    <w:abstractNumId w:val="12"/>
  </w:num>
  <w:num w:numId="15" w16cid:durableId="773675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87D78"/>
    <w:rsid w:val="000936A8"/>
    <w:rsid w:val="000A7665"/>
    <w:rsid w:val="000C1D0E"/>
    <w:rsid w:val="000D5CF1"/>
    <w:rsid w:val="000E1D4D"/>
    <w:rsid w:val="000E38F3"/>
    <w:rsid w:val="000F06CC"/>
    <w:rsid w:val="000F6BD3"/>
    <w:rsid w:val="0012134F"/>
    <w:rsid w:val="00126BE0"/>
    <w:rsid w:val="00152ECE"/>
    <w:rsid w:val="00162F04"/>
    <w:rsid w:val="00163949"/>
    <w:rsid w:val="00165731"/>
    <w:rsid w:val="001742FB"/>
    <w:rsid w:val="00185617"/>
    <w:rsid w:val="00193026"/>
    <w:rsid w:val="00193DE7"/>
    <w:rsid w:val="001B7908"/>
    <w:rsid w:val="001E6DA7"/>
    <w:rsid w:val="00267312"/>
    <w:rsid w:val="0027064C"/>
    <w:rsid w:val="00271DE8"/>
    <w:rsid w:val="002A3A83"/>
    <w:rsid w:val="002D2103"/>
    <w:rsid w:val="002D738B"/>
    <w:rsid w:val="002F47FE"/>
    <w:rsid w:val="00310503"/>
    <w:rsid w:val="003169B0"/>
    <w:rsid w:val="003351F5"/>
    <w:rsid w:val="00344D5A"/>
    <w:rsid w:val="00355BAA"/>
    <w:rsid w:val="003643B2"/>
    <w:rsid w:val="003A29C4"/>
    <w:rsid w:val="003A6084"/>
    <w:rsid w:val="003B7844"/>
    <w:rsid w:val="003E5180"/>
    <w:rsid w:val="004038E7"/>
    <w:rsid w:val="0040479A"/>
    <w:rsid w:val="004076D0"/>
    <w:rsid w:val="00441DD3"/>
    <w:rsid w:val="0045090B"/>
    <w:rsid w:val="00451DAA"/>
    <w:rsid w:val="00460CE5"/>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708CB"/>
    <w:rsid w:val="006A45F6"/>
    <w:rsid w:val="006B1C2C"/>
    <w:rsid w:val="006C3613"/>
    <w:rsid w:val="006E12E7"/>
    <w:rsid w:val="006F0B12"/>
    <w:rsid w:val="006F0CCC"/>
    <w:rsid w:val="006F5741"/>
    <w:rsid w:val="00753066"/>
    <w:rsid w:val="0076137D"/>
    <w:rsid w:val="007670E8"/>
    <w:rsid w:val="007A73F4"/>
    <w:rsid w:val="007B2868"/>
    <w:rsid w:val="007C6F61"/>
    <w:rsid w:val="007E0A29"/>
    <w:rsid w:val="00802250"/>
    <w:rsid w:val="008073DA"/>
    <w:rsid w:val="00817023"/>
    <w:rsid w:val="00831A2A"/>
    <w:rsid w:val="00832DE0"/>
    <w:rsid w:val="00866A02"/>
    <w:rsid w:val="008A6F0B"/>
    <w:rsid w:val="008B5EC8"/>
    <w:rsid w:val="008B5EF4"/>
    <w:rsid w:val="008C0935"/>
    <w:rsid w:val="008D353F"/>
    <w:rsid w:val="008F266B"/>
    <w:rsid w:val="00905406"/>
    <w:rsid w:val="009334C9"/>
    <w:rsid w:val="00936041"/>
    <w:rsid w:val="009367CA"/>
    <w:rsid w:val="009A0420"/>
    <w:rsid w:val="009A42B7"/>
    <w:rsid w:val="009A53C9"/>
    <w:rsid w:val="009D55C0"/>
    <w:rsid w:val="009D707C"/>
    <w:rsid w:val="009E6CF2"/>
    <w:rsid w:val="009E7F29"/>
    <w:rsid w:val="009F2AFC"/>
    <w:rsid w:val="00A131E9"/>
    <w:rsid w:val="00A312CA"/>
    <w:rsid w:val="00A621D7"/>
    <w:rsid w:val="00A905EC"/>
    <w:rsid w:val="00AB644E"/>
    <w:rsid w:val="00B160AA"/>
    <w:rsid w:val="00B36206"/>
    <w:rsid w:val="00B4790B"/>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693B"/>
    <w:rsid w:val="00D5680F"/>
    <w:rsid w:val="00D61E6B"/>
    <w:rsid w:val="00D734CE"/>
    <w:rsid w:val="00DA070C"/>
    <w:rsid w:val="00DB1DC2"/>
    <w:rsid w:val="00DE5DD2"/>
    <w:rsid w:val="00E0622A"/>
    <w:rsid w:val="00E06F92"/>
    <w:rsid w:val="00E1498B"/>
    <w:rsid w:val="00E47885"/>
    <w:rsid w:val="00E5348C"/>
    <w:rsid w:val="00E53639"/>
    <w:rsid w:val="00E53A84"/>
    <w:rsid w:val="00E71828"/>
    <w:rsid w:val="00EC0ECA"/>
    <w:rsid w:val="00EE17E7"/>
    <w:rsid w:val="00F03D8B"/>
    <w:rsid w:val="00F06ABC"/>
    <w:rsid w:val="00F36CF1"/>
    <w:rsid w:val="00F70BCE"/>
    <w:rsid w:val="00F91C96"/>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2</Pages>
  <Words>809</Words>
  <Characters>4613</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2025-09-24T09:22:00Z</dcterms:created>
  <dcterms:modified xsi:type="dcterms:W3CDTF">2025-09-24T09:25:00Z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