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Constructoras tendrán acceso a financiamiento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Empresas afiliadas a la CMIC podrán solicitar hasta 3,000,000.00 de pesos con tasas preferenciales para arrancar sus proyectos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Ciudad de México, a 22 de septiembre de 2021.-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La plataforma tecnológica que impulsa a las compañías en crecimiento, Konfío, y la Cámara Mexicana de la Industria de la Construcción (CMIC), se unen en una alianza para que las constructoras afiliadas a CMIC accedan a créditos y opciones de financiamiento por hasta $3,000,000.00 a tasas preferenciales y adaptadas a sus necesidades.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“En este escenario, nos emociona seguir contribuyendo positivamente al crecimiento de las empresas mexicanas. Estamos seguros de que esta alianza con la CMIC incrementará el valor de nuestros servicios, al ofrecerles a las compañías beneficiarias un amplio abanico de soluciones financieras y tecnológicas que se adapten a sus necesidades y a la etapa de crecimiento en la que se encuentren, así como a superar los retos tras una época sin precedentes como la que enfrentamos actualmente”,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explicó Luis Mondragón Guerra,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d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irector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co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mercial de Konfío.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Por su parte, el Ing. Francisco Solares Alemán, presidente de CMIC,</w:t>
      </w:r>
      <w:r w:rsidDel="00000000" w:rsidR="00000000" w:rsidRPr="00000000">
        <w:rPr>
          <w:rFonts w:ascii="Century Gothic" w:cs="Century Gothic" w:eastAsia="Century Gothic" w:hAnsi="Century Gothic"/>
          <w:highlight w:val="yellow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comentó que una de las prioridades de su plan de trabajo es crear nuevas alianzas de financiamiento que abran la posibilidad a sus afiliados de acceder a créditos, distintos a las opciones actuales del mercado.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“El contar con un vehículo financiero que se adapte a las necesidades de cada empresa constructora será de gran ayuda, principalmente para las MiPyMEs. Debemos aprovechar los nuevos esquemas financieros que permitan a nuestros afiliados acceder capital de trabajo, coadyuvando en gran medida a reactivar la economía en todas las regiones”,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aseguró el presidente de CMIC.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# # #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Acerca de Konfío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Konfio es la compañía líder de tecnología enfocada en impulsar el crecimiento y productividad de las empresas en México mediante una oferta de tres soluciones empresariales: financiamiento, gestión y pagos. Desde su fundación en 2013, ofrece acceso ágil a crédito empresarial con un proceso de decisión inmediato basado en datos e inteligencia artificial. En 2020 lanzaron las siguientes herramientas: crédito empresarial, ERP-software administrativo y  pagos B2B entre negocios. Hasta la fecha Konfío ha recaudado 269 millones de dólares de inversores como Softbank, VEF, Kaszek Ventures, QED Investors, la Corporación Financiera Internacional y recientemente de Lightrock y Tarsadia Capital.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Hoy Konfio es la entidad que más fondos está canalizando a las pequeñas y medianas empresa en crecimiento, el segmento más importante para el desarrollo del país. Konfío ofrece más que créditos, es un aliado que ayuda a las empresas mexicanas a mejorar su productividad y acelerar sus ventas.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Síguenos en: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LinkedIn: https://www.linkedin.com/company/konfio/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Facebook: https://www.facebook.com/konfio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Instagram: https://www.instagram.com/konfio.mx/?hl=es-la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YouTube: https://www.youtube.com/user/konfio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Twitter: https://twitter.com/konfiomx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Contacto para prensa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another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Daniela Ramos, SR PR Expert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55 2655 9172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daniela.ramos@another.co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Diana Guillén, JR PR Expert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55 6741 4592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diana.guillen@another.co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even"/>
      <w:footerReference r:id="rId9" w:type="default"/>
      <w:footerReference r:id="rId10" w:type="even"/>
      <w:pgSz w:h="15840" w:w="12240" w:orient="portrait"/>
      <w:pgMar w:bottom="1440" w:top="1440" w:left="1440" w:right="1440" w:header="215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" w:cs="Arial Unicode MS" w:eastAsia="Arial Unicode MS" w:hAnsi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76" w:lineRule="auto"/>
      <w:ind w:left="0" w:right="0" w:firstLine="0"/>
      <w:jc w:val="left"/>
      <w:outlineLvl w:val="9"/>
    </w:pPr>
    <w:rPr>
      <w:rFonts w:ascii="Arial" w:cs="Arial Unicode MS" w:eastAsia="Arial Unicode MS" w:hAnsi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vertAlign w:val="baseline"/>
      <w:lang w:val="es-ES_tradnl"/>
    </w:rPr>
  </w:style>
  <w:style w:type="character" w:styleId="Ninguno">
    <w:name w:val="Ninguno"/>
    <w:rPr>
      <w:lang w:val="es-ES_tradnl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76" w:lineRule="auto"/>
      <w:ind w:left="720" w:right="0" w:firstLine="0"/>
      <w:jc w:val="left"/>
      <w:outlineLvl w:val="9"/>
    </w:pPr>
    <w:rPr>
      <w:rFonts w:ascii="Arial" w:cs="Arial Unicode MS" w:eastAsia="Arial Unicode MS" w:hAnsi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vertAlign w:val="baseline"/>
      <w:lang w:val="es-ES_tradnl"/>
    </w:rPr>
  </w:style>
  <w:style w:type="numbering" w:styleId="Estilo importado 1">
    <w:name w:val="Estilo importado 1"/>
    <w:pPr>
      <w:numPr>
        <w:numId w:val="1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2mT/DJI5EnzI4unkRlEe+pqVhw==">AMUW2mUM/voHAFtT24zpIuablr9zeDhxJDEwCKGL3QvKpjQDhUPHb6DtXcx3+/k3I+7A57FGwQBaojPw8vO7FzA+5+Kqfwj53NXfV0SOIA896BjWHiaEy9s=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