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49E1EEE3" w:rsidP="1D76A98B" w:rsidRDefault="49E1EEE3" w14:paraId="2B38FFB0" w14:textId="5170EBB9">
      <w:pPr>
        <w:pStyle w:val="Heading1"/>
        <w:spacing w:before="322" w:beforeAutospacing="off" w:after="322" w:afterAutospacing="off"/>
        <w:jc w:val="center"/>
        <w:rPr>
          <w:rFonts w:ascii="Book Antiqua" w:hAnsi="Book Antiqua" w:eastAsia="Book Antiqua" w:cs="Book Antiqua"/>
          <w:b w:val="1"/>
          <w:bCs w:val="1"/>
          <w:noProof w:val="0"/>
          <w:color w:val="auto"/>
          <w:sz w:val="28"/>
          <w:szCs w:val="28"/>
          <w:lang w:val="en-AU"/>
        </w:rPr>
      </w:pPr>
      <w:r w:rsidRPr="1D76A98B" w:rsidR="49E1EEE3">
        <w:rPr>
          <w:rFonts w:ascii="Book Antiqua" w:hAnsi="Book Antiqua" w:eastAsia="Book Antiqua" w:cs="Book Antiqua"/>
          <w:b w:val="1"/>
          <w:bCs w:val="1"/>
          <w:noProof w:val="0"/>
          <w:color w:val="auto"/>
          <w:sz w:val="28"/>
          <w:szCs w:val="28"/>
          <w:lang w:val="en-AU"/>
        </w:rPr>
        <w:t>Turkish Airlines reporta una utilidad operativa de USD 929 millones en el tercer trimestre de 2026</w:t>
      </w:r>
    </w:p>
    <w:p w:rsidR="49E1EEE3" w:rsidP="1D76A98B" w:rsidRDefault="49E1EEE3" w14:paraId="4D0D14A5" w14:textId="5719BD92">
      <w:pPr>
        <w:spacing w:before="240" w:beforeAutospacing="off" w:after="240" w:afterAutospacing="off"/>
        <w:jc w:val="center"/>
        <w:rPr>
          <w:rFonts w:ascii="Times New Roman" w:hAnsi="Times New Roman" w:eastAsia="Times New Roman" w:cs="Times New Roman"/>
          <w:b w:val="0"/>
          <w:bCs w:val="0"/>
          <w:i w:val="1"/>
          <w:iCs w:val="1"/>
          <w:noProof w:val="0"/>
          <w:color w:val="auto"/>
          <w:sz w:val="28"/>
          <w:szCs w:val="28"/>
          <w:lang w:val="en-AU"/>
        </w:rPr>
      </w:pPr>
      <w:r w:rsidRPr="1D76A98B" w:rsidR="49E1EEE3">
        <w:rPr>
          <w:rFonts w:ascii="Times New Roman" w:hAnsi="Times New Roman" w:eastAsia="Times New Roman" w:cs="Times New Roman"/>
          <w:b w:val="0"/>
          <w:bCs w:val="0"/>
          <w:i w:val="1"/>
          <w:iCs w:val="1"/>
          <w:noProof w:val="0"/>
          <w:color w:val="auto"/>
          <w:sz w:val="28"/>
          <w:szCs w:val="28"/>
          <w:lang w:val="en-AU"/>
        </w:rPr>
        <w:t>La aerolínea registró ingresos por USD 8,300 millones, impulsados por el crecimiento en el tráfico de pasajeros y carga, pese al aumento de los costos de combustible y las presiones inflacionarias.</w:t>
      </w:r>
    </w:p>
    <w:p w:rsidR="49E1EEE3" w:rsidP="1D76A98B" w:rsidRDefault="49E1EEE3" w14:paraId="115D03F7" w14:textId="2C5D2153">
      <w:pPr>
        <w:pStyle w:val="ListParagraph"/>
        <w:numPr>
          <w:ilvl w:val="0"/>
          <w:numId w:val="4"/>
        </w:numPr>
        <w:jc w:val="both"/>
        <w:rPr>
          <w:rFonts w:ascii="Book Antiqua" w:hAnsi="Book Antiqua" w:eastAsia="Book Antiqua" w:cs="Book Antiqua"/>
          <w:noProof w:val="0"/>
          <w:sz w:val="24"/>
          <w:szCs w:val="24"/>
          <w:lang w:val="en-AU"/>
        </w:rPr>
      </w:pPr>
      <w:r w:rsidRPr="1D76A98B" w:rsidR="49E1EEE3">
        <w:rPr>
          <w:rFonts w:ascii="Book Antiqua" w:hAnsi="Book Antiqua" w:eastAsia="Book Antiqua" w:cs="Book Antiqua"/>
          <w:noProof w:val="0"/>
          <w:sz w:val="24"/>
          <w:szCs w:val="24"/>
          <w:lang w:val="en-AU"/>
        </w:rPr>
        <w:t xml:space="preserve">Los </w:t>
      </w:r>
      <w:r w:rsidRPr="1D76A98B" w:rsidR="49E1EEE3">
        <w:rPr>
          <w:rFonts w:ascii="Book Antiqua" w:hAnsi="Book Antiqua" w:eastAsia="Book Antiqua" w:cs="Book Antiqua"/>
          <w:noProof w:val="0"/>
          <w:sz w:val="24"/>
          <w:szCs w:val="24"/>
          <w:lang w:val="en-AU"/>
        </w:rPr>
        <w:t>ingresos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totales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aumentaron</w:t>
      </w:r>
      <w:r w:rsidRPr="1D76A98B" w:rsidR="49E1EEE3">
        <w:rPr>
          <w:rFonts w:ascii="Book Antiqua" w:hAnsi="Book Antiqua" w:eastAsia="Book Antiqua" w:cs="Book Antiqua"/>
          <w:noProof w:val="0"/>
          <w:sz w:val="24"/>
          <w:szCs w:val="24"/>
          <w:lang w:val="en-AU"/>
        </w:rPr>
        <w:t xml:space="preserve"> un 19.3% </w:t>
      </w:r>
      <w:r w:rsidRPr="1D76A98B" w:rsidR="49E1EEE3">
        <w:rPr>
          <w:rFonts w:ascii="Book Antiqua" w:hAnsi="Book Antiqua" w:eastAsia="Book Antiqua" w:cs="Book Antiqua"/>
          <w:noProof w:val="0"/>
          <w:sz w:val="24"/>
          <w:szCs w:val="24"/>
          <w:lang w:val="en-AU"/>
        </w:rPr>
        <w:t>interanual</w:t>
      </w:r>
      <w:r w:rsidRPr="1D76A98B" w:rsidR="49E1EEE3">
        <w:rPr>
          <w:rFonts w:ascii="Book Antiqua" w:hAnsi="Book Antiqua" w:eastAsia="Book Antiqua" w:cs="Book Antiqua"/>
          <w:noProof w:val="0"/>
          <w:sz w:val="24"/>
          <w:szCs w:val="24"/>
          <w:lang w:val="en-AU"/>
        </w:rPr>
        <w:t xml:space="preserve">, hasta </w:t>
      </w:r>
      <w:r w:rsidRPr="1D76A98B" w:rsidR="49E1EEE3">
        <w:rPr>
          <w:rFonts w:ascii="Book Antiqua" w:hAnsi="Book Antiqua" w:eastAsia="Book Antiqua" w:cs="Book Antiqua"/>
          <w:noProof w:val="0"/>
          <w:sz w:val="24"/>
          <w:szCs w:val="24"/>
          <w:lang w:val="en-AU"/>
        </w:rPr>
        <w:t>alcanzar</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USD 8,300 </w:t>
      </w:r>
      <w:r w:rsidRPr="1D76A98B" w:rsidR="49E1EEE3">
        <w:rPr>
          <w:rFonts w:ascii="Book Antiqua" w:hAnsi="Book Antiqua" w:eastAsia="Book Antiqua" w:cs="Book Antiqua"/>
          <w:noProof w:val="0"/>
          <w:sz w:val="24"/>
          <w:szCs w:val="24"/>
          <w:lang w:val="en-AU"/>
        </w:rPr>
        <w:t>millones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en</w:t>
      </w:r>
      <w:r w:rsidRPr="1D76A98B" w:rsidR="49E1EEE3">
        <w:rPr>
          <w:rFonts w:ascii="Book Antiqua" w:hAnsi="Book Antiqua" w:eastAsia="Book Antiqua" w:cs="Book Antiqua"/>
          <w:noProof w:val="0"/>
          <w:sz w:val="24"/>
          <w:szCs w:val="24"/>
          <w:lang w:val="en-AU"/>
        </w:rPr>
        <w:t xml:space="preserve"> el </w:t>
      </w:r>
      <w:r w:rsidRPr="1D76A98B" w:rsidR="49E1EEE3">
        <w:rPr>
          <w:rFonts w:ascii="Book Antiqua" w:hAnsi="Book Antiqua" w:eastAsia="Book Antiqua" w:cs="Book Antiqua"/>
          <w:noProof w:val="0"/>
          <w:sz w:val="24"/>
          <w:szCs w:val="24"/>
          <w:lang w:val="en-AU"/>
        </w:rPr>
        <w:t>tercer</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trimestre</w:t>
      </w:r>
      <w:r w:rsidRPr="1D76A98B" w:rsidR="49E1EEE3">
        <w:rPr>
          <w:rFonts w:ascii="Book Antiqua" w:hAnsi="Book Antiqua" w:eastAsia="Book Antiqua" w:cs="Book Antiqua"/>
          <w:noProof w:val="0"/>
          <w:sz w:val="24"/>
          <w:szCs w:val="24"/>
          <w:lang w:val="en-AU"/>
        </w:rPr>
        <w:t xml:space="preserve"> de 2026.</w:t>
      </w:r>
    </w:p>
    <w:p w:rsidR="49E1EEE3" w:rsidP="1D76A98B" w:rsidRDefault="49E1EEE3" w14:paraId="646D4AA7" w14:textId="352F2A63">
      <w:pPr>
        <w:pStyle w:val="ListParagraph"/>
        <w:numPr>
          <w:ilvl w:val="0"/>
          <w:numId w:val="4"/>
        </w:numPr>
        <w:spacing w:before="240" w:beforeAutospacing="off" w:after="240" w:afterAutospacing="off"/>
        <w:jc w:val="both"/>
        <w:rPr>
          <w:rFonts w:ascii="Book Antiqua" w:hAnsi="Book Antiqua" w:eastAsia="Book Antiqua" w:cs="Book Antiqua"/>
          <w:noProof w:val="0"/>
          <w:sz w:val="24"/>
          <w:szCs w:val="24"/>
          <w:lang w:val="en-AU"/>
        </w:rPr>
      </w:pPr>
      <w:r w:rsidRPr="1D76A98B" w:rsidR="49E1EEE3">
        <w:rPr>
          <w:rFonts w:ascii="Book Antiqua" w:hAnsi="Book Antiqua" w:eastAsia="Book Antiqua" w:cs="Book Antiqua"/>
          <w:noProof w:val="0"/>
          <w:sz w:val="24"/>
          <w:szCs w:val="24"/>
          <w:lang w:val="en-AU"/>
        </w:rPr>
        <w:t>Impulsado por una sólida demanda, particularmente desde Asia, así como desde Europa y Turquí</w:t>
      </w:r>
      <w:r w:rsidRPr="1D76A98B" w:rsidR="0D94CFFC">
        <w:rPr>
          <w:rFonts w:ascii="Book Antiqua" w:hAnsi="Book Antiqua" w:eastAsia="Book Antiqua" w:cs="Book Antiqua"/>
          <w:noProof w:val="0"/>
          <w:sz w:val="24"/>
          <w:szCs w:val="24"/>
          <w:lang w:val="en-AU"/>
        </w:rPr>
        <w:t>a</w:t>
      </w:r>
      <w:r w:rsidRPr="1D76A98B" w:rsidR="49E1EEE3">
        <w:rPr>
          <w:rFonts w:ascii="Book Antiqua" w:hAnsi="Book Antiqua" w:eastAsia="Book Antiqua" w:cs="Book Antiqua"/>
          <w:noProof w:val="0"/>
          <w:sz w:val="24"/>
          <w:szCs w:val="24"/>
          <w:lang w:val="en-AU"/>
        </w:rPr>
        <w:t>, el factor de ocupación de pasajeros aumentó 1.5 puntos porcentuales, hasta situarse en 87.1%.</w:t>
      </w:r>
    </w:p>
    <w:p w:rsidR="49E1EEE3" w:rsidP="1D76A98B" w:rsidRDefault="49E1EEE3" w14:paraId="1BB55D97" w14:textId="2D1406FF">
      <w:pPr>
        <w:pStyle w:val="ListParagraph"/>
        <w:numPr>
          <w:ilvl w:val="0"/>
          <w:numId w:val="4"/>
        </w:numPr>
        <w:spacing w:before="240" w:beforeAutospacing="off" w:after="240" w:afterAutospacing="off"/>
        <w:jc w:val="both"/>
        <w:rPr>
          <w:rFonts w:ascii="Book Antiqua" w:hAnsi="Book Antiqua" w:eastAsia="Book Antiqua" w:cs="Book Antiqua"/>
          <w:noProof w:val="0"/>
          <w:sz w:val="24"/>
          <w:szCs w:val="24"/>
          <w:lang w:val="en-AU"/>
        </w:rPr>
      </w:pPr>
      <w:r w:rsidRPr="1D76A98B" w:rsidR="49E1EEE3">
        <w:rPr>
          <w:rFonts w:ascii="Book Antiqua" w:hAnsi="Book Antiqua" w:eastAsia="Book Antiqua" w:cs="Book Antiqua"/>
          <w:noProof w:val="0"/>
          <w:sz w:val="24"/>
          <w:szCs w:val="24"/>
          <w:lang w:val="en-AU"/>
        </w:rPr>
        <w:t>El EBITDAR (utilidad antes de intereses, impuestos, depreciación, amortización y rentas) alcanzó los USD 3,700 millones durante los primeros nueve meses de 2026. Debido al fuerte incremento en los precios del combustible para aeronaves y a las presiones inflacionarias, el margen EBITDAR disminuyó 6.2 puntos porcentuales interanuales, hasta ubicarse en 17.6%.</w:t>
      </w:r>
    </w:p>
    <w:p w:rsidR="49E1EEE3" w:rsidP="1D76A98B" w:rsidRDefault="49E1EEE3" w14:paraId="543FA42E" w14:textId="744F4AFE">
      <w:pPr>
        <w:pStyle w:val="ListParagraph"/>
        <w:numPr>
          <w:ilvl w:val="0"/>
          <w:numId w:val="4"/>
        </w:numPr>
        <w:spacing w:before="240" w:beforeAutospacing="off" w:after="240" w:afterAutospacing="off"/>
        <w:jc w:val="both"/>
        <w:rPr>
          <w:rFonts w:ascii="Book Antiqua" w:hAnsi="Book Antiqua" w:eastAsia="Book Antiqua" w:cs="Book Antiqua"/>
          <w:noProof w:val="0"/>
          <w:sz w:val="24"/>
          <w:szCs w:val="24"/>
          <w:lang w:val="en-AU"/>
        </w:rPr>
      </w:pPr>
      <w:r w:rsidRPr="1D76A98B" w:rsidR="49E1EEE3">
        <w:rPr>
          <w:rFonts w:ascii="Book Antiqua" w:hAnsi="Book Antiqua" w:eastAsia="Book Antiqua" w:cs="Book Antiqua"/>
          <w:noProof w:val="0"/>
          <w:sz w:val="24"/>
          <w:szCs w:val="24"/>
          <w:lang w:val="en-AU"/>
        </w:rPr>
        <w:t>Las inversiones totales ascendieron a USD 4,600 millones durante los primeros nueve meses del año, mientras que los activos totales consolidados superaron los USD 52,000 millones.</w:t>
      </w:r>
    </w:p>
    <w:p w:rsidR="49E1EEE3" w:rsidP="1D76A98B" w:rsidRDefault="49E1EEE3" w14:paraId="44BAB6B9" w14:textId="0F3DC5B2">
      <w:pPr>
        <w:spacing w:before="240" w:beforeAutospacing="off" w:after="240" w:afterAutospacing="off"/>
        <w:ind w:firstLine="720"/>
        <w:jc w:val="both"/>
        <w:rPr>
          <w:rFonts w:ascii="Book Antiqua" w:hAnsi="Book Antiqua" w:eastAsia="Book Antiqua" w:cs="Book Antiqua"/>
          <w:noProof w:val="0"/>
          <w:sz w:val="24"/>
          <w:szCs w:val="24"/>
          <w:lang w:val="en-AU"/>
        </w:rPr>
      </w:pPr>
      <w:r w:rsidRPr="1D76A98B" w:rsidR="49E1EEE3">
        <w:rPr>
          <w:rFonts w:ascii="Book Antiqua" w:hAnsi="Book Antiqua" w:eastAsia="Book Antiqua" w:cs="Book Antiqua"/>
          <w:noProof w:val="0"/>
          <w:sz w:val="24"/>
          <w:szCs w:val="24"/>
          <w:lang w:val="en-AU"/>
        </w:rPr>
        <w:t>Impulsada por el aumento de las tensiones geopolíticas y el incremento de los costos energéticos, la inflación mundial continuó ejerciendo presión sobre la industria de la aviación durante el tercer trimestre de 2026. Mientras que las presiones inflacionarias generaron una carga adicional sobre los gastos no relacionados con el combustible, los costos de combustible para aeronaves de Turkish Airlines aumentaron un 118% desde principios de año. Como reflejo del impacto del conflicto en curso en Medio Oriente sobre la demanda y las condiciones operativas, Turkish Airlines revisó a la baja su objetivo de crecimiento del 10% en la capacidad de pasajeros para 2026; durante el tercer trimestre, la capacidad aumentó un 3.2%.</w:t>
      </w:r>
    </w:p>
    <w:p w:rsidR="49E1EEE3" w:rsidP="1D76A98B" w:rsidRDefault="49E1EEE3" w14:paraId="2E7AF642" w14:textId="545CFFFF">
      <w:pPr>
        <w:spacing w:before="240" w:beforeAutospacing="off" w:after="240" w:afterAutospacing="off"/>
        <w:ind w:firstLine="720"/>
        <w:jc w:val="both"/>
        <w:rPr>
          <w:rFonts w:ascii="Book Antiqua" w:hAnsi="Book Antiqua" w:eastAsia="Book Antiqua" w:cs="Book Antiqua"/>
          <w:noProof w:val="0"/>
          <w:sz w:val="24"/>
          <w:szCs w:val="24"/>
          <w:lang w:val="en-AU"/>
        </w:rPr>
      </w:pPr>
      <w:r w:rsidRPr="1D76A98B" w:rsidR="49E1EEE3">
        <w:rPr>
          <w:rFonts w:ascii="Book Antiqua" w:hAnsi="Book Antiqua" w:eastAsia="Book Antiqua" w:cs="Book Antiqua"/>
          <w:noProof w:val="0"/>
          <w:sz w:val="24"/>
          <w:szCs w:val="24"/>
          <w:lang w:val="en-AU"/>
        </w:rPr>
        <w:t>Ante estas desafiantes condiciones operativas, Turkish Airlines buscó mitigar el impacto de los acontecimientos adversos mediante su modelo de negocio flexible, su extensa red de vuelos y una gestión ágil de la capacidad. Al dirigir su capacidad hacia mercados con una sólida dinámica de demanda, Turkish Airlines mantuvo su posición como la principal aerolínea de red de Europa por número de vuelos y aumentó tanto el número de pasajeros como el factor de ocupación durante el tercer trimestre. Entre julio y septiembre de 2026, el factor de ocupación de pasajeros aumentó 1.5 puntos porcentuales interanuales, hasta alcanzar el 87.1%, mientras que el número de pasajeros creció un 4.7%, hasta llegar a 28.5 millones.</w:t>
      </w:r>
    </w:p>
    <w:p w:rsidR="49E1EEE3" w:rsidP="1D76A98B" w:rsidRDefault="49E1EEE3" w14:paraId="42D39C04" w14:textId="1BCB4DD7">
      <w:pPr>
        <w:spacing w:before="240" w:beforeAutospacing="off" w:after="240" w:afterAutospacing="off"/>
        <w:ind w:firstLine="720"/>
        <w:jc w:val="both"/>
        <w:rPr>
          <w:rFonts w:ascii="Book Antiqua" w:hAnsi="Book Antiqua" w:eastAsia="Book Antiqua" w:cs="Book Antiqua"/>
          <w:noProof w:val="0"/>
          <w:sz w:val="24"/>
          <w:szCs w:val="24"/>
          <w:lang w:val="en-AU"/>
        </w:rPr>
      </w:pPr>
      <w:r w:rsidRPr="1D76A98B" w:rsidR="49E1EEE3">
        <w:rPr>
          <w:rFonts w:ascii="Book Antiqua" w:hAnsi="Book Antiqua" w:eastAsia="Book Antiqua" w:cs="Book Antiqua"/>
          <w:noProof w:val="0"/>
          <w:sz w:val="24"/>
          <w:szCs w:val="24"/>
          <w:lang w:val="en-AU"/>
        </w:rPr>
        <w:t xml:space="preserve">El </w:t>
      </w:r>
      <w:r w:rsidRPr="1D76A98B" w:rsidR="49E1EEE3">
        <w:rPr>
          <w:rFonts w:ascii="Book Antiqua" w:hAnsi="Book Antiqua" w:eastAsia="Book Antiqua" w:cs="Book Antiqua"/>
          <w:noProof w:val="0"/>
          <w:sz w:val="24"/>
          <w:szCs w:val="24"/>
          <w:lang w:val="en-AU"/>
        </w:rPr>
        <w:t>sólido</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crecimiento</w:t>
      </w:r>
      <w:r w:rsidRPr="1D76A98B" w:rsidR="49E1EEE3">
        <w:rPr>
          <w:rFonts w:ascii="Book Antiqua" w:hAnsi="Book Antiqua" w:eastAsia="Book Antiqua" w:cs="Book Antiqua"/>
          <w:noProof w:val="0"/>
          <w:sz w:val="24"/>
          <w:szCs w:val="24"/>
          <w:lang w:val="en-AU"/>
        </w:rPr>
        <w:t xml:space="preserve"> de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ingresos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por</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pasajeros</w:t>
      </w:r>
      <w:r w:rsidRPr="1D76A98B" w:rsidR="49E1EEE3">
        <w:rPr>
          <w:rFonts w:ascii="Book Antiqua" w:hAnsi="Book Antiqua" w:eastAsia="Book Antiqua" w:cs="Book Antiqua"/>
          <w:noProof w:val="0"/>
          <w:sz w:val="24"/>
          <w:szCs w:val="24"/>
          <w:lang w:val="en-AU"/>
        </w:rPr>
        <w:t xml:space="preserve"> y </w:t>
      </w:r>
      <w:r w:rsidRPr="1D76A98B" w:rsidR="49E1EEE3">
        <w:rPr>
          <w:rFonts w:ascii="Book Antiqua" w:hAnsi="Book Antiqua" w:eastAsia="Book Antiqua" w:cs="Book Antiqua"/>
          <w:noProof w:val="0"/>
          <w:sz w:val="24"/>
          <w:szCs w:val="24"/>
          <w:lang w:val="en-AU"/>
        </w:rPr>
        <w:t>carga</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compensó</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parcialmente</w:t>
      </w:r>
      <w:r w:rsidRPr="1D76A98B" w:rsidR="49E1EEE3">
        <w:rPr>
          <w:rFonts w:ascii="Book Antiqua" w:hAnsi="Book Antiqua" w:eastAsia="Book Antiqua" w:cs="Book Antiqua"/>
          <w:noProof w:val="0"/>
          <w:sz w:val="24"/>
          <w:szCs w:val="24"/>
          <w:lang w:val="en-AU"/>
        </w:rPr>
        <w:t xml:space="preserve"> el </w:t>
      </w:r>
      <w:r w:rsidRPr="1D76A98B" w:rsidR="49E1EEE3">
        <w:rPr>
          <w:rFonts w:ascii="Book Antiqua" w:hAnsi="Book Antiqua" w:eastAsia="Book Antiqua" w:cs="Book Antiqua"/>
          <w:noProof w:val="0"/>
          <w:sz w:val="24"/>
          <w:szCs w:val="24"/>
          <w:lang w:val="en-AU"/>
        </w:rPr>
        <w:t>impacto</w:t>
      </w:r>
      <w:r w:rsidRPr="1D76A98B" w:rsidR="49E1EEE3">
        <w:rPr>
          <w:rFonts w:ascii="Book Antiqua" w:hAnsi="Book Antiqua" w:eastAsia="Book Antiqua" w:cs="Book Antiqua"/>
          <w:noProof w:val="0"/>
          <w:sz w:val="24"/>
          <w:szCs w:val="24"/>
          <w:lang w:val="en-AU"/>
        </w:rPr>
        <w:t xml:space="preserve"> del </w:t>
      </w:r>
      <w:r w:rsidRPr="1D76A98B" w:rsidR="49E1EEE3">
        <w:rPr>
          <w:rFonts w:ascii="Book Antiqua" w:hAnsi="Book Antiqua" w:eastAsia="Book Antiqua" w:cs="Book Antiqua"/>
          <w:noProof w:val="0"/>
          <w:sz w:val="24"/>
          <w:szCs w:val="24"/>
          <w:lang w:val="en-AU"/>
        </w:rPr>
        <w:t>aumento</w:t>
      </w:r>
      <w:r w:rsidRPr="1D76A98B" w:rsidR="49E1EEE3">
        <w:rPr>
          <w:rFonts w:ascii="Book Antiqua" w:hAnsi="Book Antiqua" w:eastAsia="Book Antiqua" w:cs="Book Antiqua"/>
          <w:noProof w:val="0"/>
          <w:sz w:val="24"/>
          <w:szCs w:val="24"/>
          <w:lang w:val="en-AU"/>
        </w:rPr>
        <w:t xml:space="preserve"> de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costos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sobre</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resultados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financieros</w:t>
      </w:r>
      <w:r w:rsidRPr="1D76A98B" w:rsidR="49E1EEE3">
        <w:rPr>
          <w:rFonts w:ascii="Book Antiqua" w:hAnsi="Book Antiqua" w:eastAsia="Book Antiqua" w:cs="Book Antiqua"/>
          <w:noProof w:val="0"/>
          <w:sz w:val="24"/>
          <w:szCs w:val="24"/>
          <w:lang w:val="en-AU"/>
        </w:rPr>
        <w:t xml:space="preserve">. Los </w:t>
      </w:r>
      <w:r w:rsidRPr="1D76A98B" w:rsidR="49E1EEE3">
        <w:rPr>
          <w:rFonts w:ascii="Book Antiqua" w:hAnsi="Book Antiqua" w:eastAsia="Book Antiqua" w:cs="Book Antiqua"/>
          <w:noProof w:val="0"/>
          <w:sz w:val="24"/>
          <w:szCs w:val="24"/>
          <w:lang w:val="en-AU"/>
        </w:rPr>
        <w:t>ingresos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totales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aumentaron</w:t>
      </w:r>
      <w:r w:rsidRPr="1D76A98B" w:rsidR="49E1EEE3">
        <w:rPr>
          <w:rFonts w:ascii="Book Antiqua" w:hAnsi="Book Antiqua" w:eastAsia="Book Antiqua" w:cs="Book Antiqua"/>
          <w:noProof w:val="0"/>
          <w:sz w:val="24"/>
          <w:szCs w:val="24"/>
          <w:lang w:val="en-AU"/>
        </w:rPr>
        <w:t xml:space="preserve"> un 19.3% </w:t>
      </w:r>
      <w:r w:rsidRPr="1D76A98B" w:rsidR="49E1EEE3">
        <w:rPr>
          <w:rFonts w:ascii="Book Antiqua" w:hAnsi="Book Antiqua" w:eastAsia="Book Antiqua" w:cs="Book Antiqua"/>
          <w:noProof w:val="0"/>
          <w:sz w:val="24"/>
          <w:szCs w:val="24"/>
          <w:lang w:val="en-AU"/>
        </w:rPr>
        <w:t>interanual</w:t>
      </w:r>
      <w:r w:rsidRPr="1D76A98B" w:rsidR="49E1EEE3">
        <w:rPr>
          <w:rFonts w:ascii="Book Antiqua" w:hAnsi="Book Antiqua" w:eastAsia="Book Antiqua" w:cs="Book Antiqua"/>
          <w:noProof w:val="0"/>
          <w:sz w:val="24"/>
          <w:szCs w:val="24"/>
          <w:lang w:val="en-AU"/>
        </w:rPr>
        <w:t xml:space="preserve">, hasta </w:t>
      </w:r>
      <w:r w:rsidRPr="1D76A98B" w:rsidR="49E1EEE3">
        <w:rPr>
          <w:rFonts w:ascii="Book Antiqua" w:hAnsi="Book Antiqua" w:eastAsia="Book Antiqua" w:cs="Book Antiqua"/>
          <w:noProof w:val="0"/>
          <w:sz w:val="24"/>
          <w:szCs w:val="24"/>
          <w:lang w:val="en-AU"/>
        </w:rPr>
        <w:t>alcanzar</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USD 8,300 </w:t>
      </w:r>
      <w:r w:rsidRPr="1D76A98B" w:rsidR="49E1EEE3">
        <w:rPr>
          <w:rFonts w:ascii="Book Antiqua" w:hAnsi="Book Antiqua" w:eastAsia="Book Antiqua" w:cs="Book Antiqua"/>
          <w:noProof w:val="0"/>
          <w:sz w:val="24"/>
          <w:szCs w:val="24"/>
          <w:lang w:val="en-AU"/>
        </w:rPr>
        <w:t>millones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en</w:t>
      </w:r>
      <w:r w:rsidRPr="1D76A98B" w:rsidR="49E1EEE3">
        <w:rPr>
          <w:rFonts w:ascii="Book Antiqua" w:hAnsi="Book Antiqua" w:eastAsia="Book Antiqua" w:cs="Book Antiqua"/>
          <w:noProof w:val="0"/>
          <w:sz w:val="24"/>
          <w:szCs w:val="24"/>
          <w:lang w:val="en-AU"/>
        </w:rPr>
        <w:t xml:space="preserve"> el </w:t>
      </w:r>
      <w:r w:rsidRPr="1D76A98B" w:rsidR="49E1EEE3">
        <w:rPr>
          <w:rFonts w:ascii="Book Antiqua" w:hAnsi="Book Antiqua" w:eastAsia="Book Antiqua" w:cs="Book Antiqua"/>
          <w:noProof w:val="0"/>
          <w:sz w:val="24"/>
          <w:szCs w:val="24"/>
          <w:lang w:val="en-AU"/>
        </w:rPr>
        <w:t>tercer</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trimestre</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Aprovechando</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su</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sólida</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infraestructura</w:t>
      </w:r>
      <w:r w:rsidRPr="1D76A98B" w:rsidR="49E1EEE3">
        <w:rPr>
          <w:rFonts w:ascii="Book Antiqua" w:hAnsi="Book Antiqua" w:eastAsia="Book Antiqua" w:cs="Book Antiqua"/>
          <w:noProof w:val="0"/>
          <w:sz w:val="24"/>
          <w:szCs w:val="24"/>
          <w:lang w:val="en-AU"/>
        </w:rPr>
        <w:t xml:space="preserve"> y </w:t>
      </w:r>
      <w:r w:rsidRPr="1D76A98B" w:rsidR="49E1EEE3">
        <w:rPr>
          <w:rFonts w:ascii="Book Antiqua" w:hAnsi="Book Antiqua" w:eastAsia="Book Antiqua" w:cs="Book Antiqua"/>
          <w:noProof w:val="0"/>
          <w:sz w:val="24"/>
          <w:szCs w:val="24"/>
          <w:lang w:val="en-AU"/>
        </w:rPr>
        <w:t>ubicación</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estratégica</w:t>
      </w:r>
      <w:r w:rsidRPr="1D76A98B" w:rsidR="49E1EEE3">
        <w:rPr>
          <w:rFonts w:ascii="Book Antiqua" w:hAnsi="Book Antiqua" w:eastAsia="Book Antiqua" w:cs="Book Antiqua"/>
          <w:noProof w:val="0"/>
          <w:sz w:val="24"/>
          <w:szCs w:val="24"/>
          <w:lang w:val="en-AU"/>
        </w:rPr>
        <w:t xml:space="preserve">, Turkish Cargo </w:t>
      </w:r>
      <w:r w:rsidRPr="1D76A98B" w:rsidR="49E1EEE3">
        <w:rPr>
          <w:rFonts w:ascii="Book Antiqua" w:hAnsi="Book Antiqua" w:eastAsia="Book Antiqua" w:cs="Book Antiqua"/>
          <w:noProof w:val="0"/>
          <w:sz w:val="24"/>
          <w:szCs w:val="24"/>
          <w:lang w:val="en-AU"/>
        </w:rPr>
        <w:t>incrementó</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su</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volumen</w:t>
      </w:r>
      <w:r w:rsidRPr="1D76A98B" w:rsidR="49E1EEE3">
        <w:rPr>
          <w:rFonts w:ascii="Book Antiqua" w:hAnsi="Book Antiqua" w:eastAsia="Book Antiqua" w:cs="Book Antiqua"/>
          <w:noProof w:val="0"/>
          <w:sz w:val="24"/>
          <w:szCs w:val="24"/>
          <w:lang w:val="en-AU"/>
        </w:rPr>
        <w:t xml:space="preserve"> de </w:t>
      </w:r>
      <w:r w:rsidRPr="1D76A98B" w:rsidR="49E1EEE3">
        <w:rPr>
          <w:rFonts w:ascii="Book Antiqua" w:hAnsi="Book Antiqua" w:eastAsia="Book Antiqua" w:cs="Book Antiqua"/>
          <w:noProof w:val="0"/>
          <w:sz w:val="24"/>
          <w:szCs w:val="24"/>
          <w:lang w:val="en-AU"/>
        </w:rPr>
        <w:t>carga</w:t>
      </w:r>
      <w:r w:rsidRPr="1D76A98B" w:rsidR="49E1EEE3">
        <w:rPr>
          <w:rFonts w:ascii="Book Antiqua" w:hAnsi="Book Antiqua" w:eastAsia="Book Antiqua" w:cs="Book Antiqua"/>
          <w:noProof w:val="0"/>
          <w:sz w:val="24"/>
          <w:szCs w:val="24"/>
          <w:lang w:val="en-AU"/>
        </w:rPr>
        <w:t xml:space="preserve"> un 7.4%, </w:t>
      </w:r>
      <w:r w:rsidRPr="1D76A98B" w:rsidR="49E1EEE3">
        <w:rPr>
          <w:rFonts w:ascii="Book Antiqua" w:hAnsi="Book Antiqua" w:eastAsia="Book Antiqua" w:cs="Book Antiqua"/>
          <w:noProof w:val="0"/>
          <w:sz w:val="24"/>
          <w:szCs w:val="24"/>
          <w:lang w:val="en-AU"/>
        </w:rPr>
        <w:t>mientras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que</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ingresos</w:t>
      </w:r>
      <w:r w:rsidRPr="1D76A98B" w:rsidR="49E1EEE3">
        <w:rPr>
          <w:rFonts w:ascii="Book Antiqua" w:hAnsi="Book Antiqua" w:eastAsia="Book Antiqua" w:cs="Book Antiqua"/>
          <w:noProof w:val="0"/>
          <w:sz w:val="24"/>
          <w:szCs w:val="24"/>
          <w:lang w:val="en-AU"/>
        </w:rPr>
        <w:t xml:space="preserve"> de </w:t>
      </w:r>
      <w:r w:rsidRPr="1D76A98B" w:rsidR="49E1EEE3">
        <w:rPr>
          <w:rFonts w:ascii="Book Antiqua" w:hAnsi="Book Antiqua" w:eastAsia="Book Antiqua" w:cs="Book Antiqua"/>
          <w:noProof w:val="0"/>
          <w:sz w:val="24"/>
          <w:szCs w:val="24"/>
          <w:lang w:val="en-AU"/>
        </w:rPr>
        <w:t>carga</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aumentaron</w:t>
      </w:r>
      <w:r w:rsidRPr="1D76A98B" w:rsidR="49E1EEE3">
        <w:rPr>
          <w:rFonts w:ascii="Book Antiqua" w:hAnsi="Book Antiqua" w:eastAsia="Book Antiqua" w:cs="Book Antiqua"/>
          <w:noProof w:val="0"/>
          <w:sz w:val="24"/>
          <w:szCs w:val="24"/>
          <w:lang w:val="en-AU"/>
        </w:rPr>
        <w:t xml:space="preserve"> un 45.6%, hasta </w:t>
      </w:r>
      <w:r w:rsidRPr="1D76A98B" w:rsidR="49E1EEE3">
        <w:rPr>
          <w:rFonts w:ascii="Book Antiqua" w:hAnsi="Book Antiqua" w:eastAsia="Book Antiqua" w:cs="Book Antiqua"/>
          <w:noProof w:val="0"/>
          <w:sz w:val="24"/>
          <w:szCs w:val="24"/>
          <w:lang w:val="en-AU"/>
        </w:rPr>
        <w:t>superar</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USD 1,200 </w:t>
      </w:r>
      <w:r w:rsidRPr="1D76A98B" w:rsidR="49E1EEE3">
        <w:rPr>
          <w:rFonts w:ascii="Book Antiqua" w:hAnsi="Book Antiqua" w:eastAsia="Book Antiqua" w:cs="Book Antiqua"/>
          <w:noProof w:val="0"/>
          <w:sz w:val="24"/>
          <w:szCs w:val="24"/>
          <w:lang w:val="en-AU"/>
        </w:rPr>
        <w:t>millones</w:t>
      </w:r>
      <w:r w:rsidRPr="1D76A98B" w:rsidR="49E1EEE3">
        <w:rPr>
          <w:rFonts w:ascii="Book Antiqua" w:hAnsi="Book Antiqua" w:eastAsia="Book Antiqua" w:cs="Book Antiqua"/>
          <w:noProof w:val="0"/>
          <w:sz w:val="24"/>
          <w:szCs w:val="24"/>
          <w:lang w:val="en-AU"/>
        </w:rPr>
        <w:t xml:space="preserve">. Sin embargo, el considerable </w:t>
      </w:r>
      <w:r w:rsidRPr="1D76A98B" w:rsidR="49E1EEE3">
        <w:rPr>
          <w:rFonts w:ascii="Book Antiqua" w:hAnsi="Book Antiqua" w:eastAsia="Book Antiqua" w:cs="Book Antiqua"/>
          <w:noProof w:val="0"/>
          <w:sz w:val="24"/>
          <w:szCs w:val="24"/>
          <w:lang w:val="en-AU"/>
        </w:rPr>
        <w:t>incremento</w:t>
      </w:r>
      <w:r w:rsidRPr="1D76A98B" w:rsidR="49E1EEE3">
        <w:rPr>
          <w:rFonts w:ascii="Book Antiqua" w:hAnsi="Book Antiqua" w:eastAsia="Book Antiqua" w:cs="Book Antiqua"/>
          <w:noProof w:val="0"/>
          <w:sz w:val="24"/>
          <w:szCs w:val="24"/>
          <w:lang w:val="en-AU"/>
        </w:rPr>
        <w:t xml:space="preserve"> de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costos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particularmente</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relacionados</w:t>
      </w:r>
      <w:r w:rsidRPr="1D76A98B" w:rsidR="49E1EEE3">
        <w:rPr>
          <w:rFonts w:ascii="Book Antiqua" w:hAnsi="Book Antiqua" w:eastAsia="Book Antiqua" w:cs="Book Antiqua"/>
          <w:noProof w:val="0"/>
          <w:sz w:val="24"/>
          <w:szCs w:val="24"/>
          <w:lang w:val="en-AU"/>
        </w:rPr>
        <w:t xml:space="preserve"> con el combustible para </w:t>
      </w:r>
      <w:r w:rsidRPr="1D76A98B" w:rsidR="49E1EEE3">
        <w:rPr>
          <w:rFonts w:ascii="Book Antiqua" w:hAnsi="Book Antiqua" w:eastAsia="Book Antiqua" w:cs="Book Antiqua"/>
          <w:noProof w:val="0"/>
          <w:sz w:val="24"/>
          <w:szCs w:val="24"/>
          <w:lang w:val="en-AU"/>
        </w:rPr>
        <w:t>aeronaves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superó</w:t>
      </w:r>
      <w:r w:rsidRPr="1D76A98B" w:rsidR="49E1EEE3">
        <w:rPr>
          <w:rFonts w:ascii="Book Antiqua" w:hAnsi="Book Antiqua" w:eastAsia="Book Antiqua" w:cs="Book Antiqua"/>
          <w:noProof w:val="0"/>
          <w:sz w:val="24"/>
          <w:szCs w:val="24"/>
          <w:lang w:val="en-AU"/>
        </w:rPr>
        <w:t xml:space="preserve"> el </w:t>
      </w:r>
      <w:r w:rsidRPr="1D76A98B" w:rsidR="49E1EEE3">
        <w:rPr>
          <w:rFonts w:ascii="Book Antiqua" w:hAnsi="Book Antiqua" w:eastAsia="Book Antiqua" w:cs="Book Antiqua"/>
          <w:noProof w:val="0"/>
          <w:sz w:val="24"/>
          <w:szCs w:val="24"/>
          <w:lang w:val="en-AU"/>
        </w:rPr>
        <w:t>crecimiento</w:t>
      </w:r>
      <w:r w:rsidRPr="1D76A98B" w:rsidR="49E1EEE3">
        <w:rPr>
          <w:rFonts w:ascii="Book Antiqua" w:hAnsi="Book Antiqua" w:eastAsia="Book Antiqua" w:cs="Book Antiqua"/>
          <w:noProof w:val="0"/>
          <w:sz w:val="24"/>
          <w:szCs w:val="24"/>
          <w:lang w:val="en-AU"/>
        </w:rPr>
        <w:t xml:space="preserve"> de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ingresos</w:t>
      </w:r>
      <w:r w:rsidRPr="1D76A98B" w:rsidR="49E1EEE3">
        <w:rPr>
          <w:rFonts w:ascii="Book Antiqua" w:hAnsi="Book Antiqua" w:eastAsia="Book Antiqua" w:cs="Book Antiqua"/>
          <w:noProof w:val="0"/>
          <w:sz w:val="24"/>
          <w:szCs w:val="24"/>
          <w:lang w:val="en-AU"/>
        </w:rPr>
        <w:t xml:space="preserve"> y </w:t>
      </w:r>
      <w:r w:rsidRPr="1D76A98B" w:rsidR="49E1EEE3">
        <w:rPr>
          <w:rFonts w:ascii="Book Antiqua" w:hAnsi="Book Antiqua" w:eastAsia="Book Antiqua" w:cs="Book Antiqua"/>
          <w:noProof w:val="0"/>
          <w:sz w:val="24"/>
          <w:szCs w:val="24"/>
          <w:lang w:val="en-AU"/>
        </w:rPr>
        <w:t>afectó</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negativamente</w:t>
      </w:r>
      <w:r w:rsidRPr="1D76A98B" w:rsidR="49E1EEE3">
        <w:rPr>
          <w:rFonts w:ascii="Book Antiqua" w:hAnsi="Book Antiqua" w:eastAsia="Book Antiqua" w:cs="Book Antiqua"/>
          <w:noProof w:val="0"/>
          <w:sz w:val="24"/>
          <w:szCs w:val="24"/>
          <w:lang w:val="en-AU"/>
        </w:rPr>
        <w:t xml:space="preserve"> la </w:t>
      </w:r>
      <w:r w:rsidRPr="1D76A98B" w:rsidR="49E1EEE3">
        <w:rPr>
          <w:rFonts w:ascii="Book Antiqua" w:hAnsi="Book Antiqua" w:eastAsia="Book Antiqua" w:cs="Book Antiqua"/>
          <w:noProof w:val="0"/>
          <w:sz w:val="24"/>
          <w:szCs w:val="24"/>
          <w:lang w:val="en-AU"/>
        </w:rPr>
        <w:t>rentabilidad</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operativa</w:t>
      </w:r>
      <w:r w:rsidRPr="1D76A98B" w:rsidR="49E1EEE3">
        <w:rPr>
          <w:rFonts w:ascii="Book Antiqua" w:hAnsi="Book Antiqua" w:eastAsia="Book Antiqua" w:cs="Book Antiqua"/>
          <w:noProof w:val="0"/>
          <w:sz w:val="24"/>
          <w:szCs w:val="24"/>
          <w:lang w:val="en-AU"/>
        </w:rPr>
        <w:t xml:space="preserve">. Para </w:t>
      </w:r>
      <w:r w:rsidRPr="1D76A98B" w:rsidR="49E1EEE3">
        <w:rPr>
          <w:rFonts w:ascii="Book Antiqua" w:hAnsi="Book Antiqua" w:eastAsia="Book Antiqua" w:cs="Book Antiqua"/>
          <w:noProof w:val="0"/>
          <w:sz w:val="24"/>
          <w:szCs w:val="24"/>
          <w:lang w:val="en-AU"/>
        </w:rPr>
        <w:t>limitar</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este</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impacto</w:t>
      </w:r>
      <w:r w:rsidRPr="1D76A98B" w:rsidR="49E1EEE3">
        <w:rPr>
          <w:rFonts w:ascii="Book Antiqua" w:hAnsi="Book Antiqua" w:eastAsia="Book Antiqua" w:cs="Book Antiqua"/>
          <w:noProof w:val="0"/>
          <w:sz w:val="24"/>
          <w:szCs w:val="24"/>
          <w:lang w:val="en-AU"/>
        </w:rPr>
        <w:t xml:space="preserve">, la </w:t>
      </w:r>
      <w:r w:rsidRPr="1D76A98B" w:rsidR="49E1EEE3">
        <w:rPr>
          <w:rFonts w:ascii="Book Antiqua" w:hAnsi="Book Antiqua" w:eastAsia="Book Antiqua" w:cs="Book Antiqua"/>
          <w:noProof w:val="0"/>
          <w:sz w:val="24"/>
          <w:szCs w:val="24"/>
          <w:lang w:val="en-AU"/>
        </w:rPr>
        <w:t>aerolínea</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bandera</w:t>
      </w:r>
      <w:r w:rsidRPr="1D76A98B" w:rsidR="49E1EEE3">
        <w:rPr>
          <w:rFonts w:ascii="Book Antiqua" w:hAnsi="Book Antiqua" w:eastAsia="Book Antiqua" w:cs="Book Antiqua"/>
          <w:noProof w:val="0"/>
          <w:sz w:val="24"/>
          <w:szCs w:val="24"/>
          <w:lang w:val="en-AU"/>
        </w:rPr>
        <w:t xml:space="preserve"> se </w:t>
      </w:r>
      <w:r w:rsidRPr="1D76A98B" w:rsidR="49E1EEE3">
        <w:rPr>
          <w:rFonts w:ascii="Book Antiqua" w:hAnsi="Book Antiqua" w:eastAsia="Book Antiqua" w:cs="Book Antiqua"/>
          <w:noProof w:val="0"/>
          <w:sz w:val="24"/>
          <w:szCs w:val="24"/>
          <w:lang w:val="en-AU"/>
        </w:rPr>
        <w:t>enfocó</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en</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iniciativas</w:t>
      </w:r>
      <w:r w:rsidRPr="1D76A98B" w:rsidR="49E1EEE3">
        <w:rPr>
          <w:rFonts w:ascii="Book Antiqua" w:hAnsi="Book Antiqua" w:eastAsia="Book Antiqua" w:cs="Book Antiqua"/>
          <w:noProof w:val="0"/>
          <w:sz w:val="24"/>
          <w:szCs w:val="24"/>
          <w:lang w:val="en-AU"/>
        </w:rPr>
        <w:t xml:space="preserve"> de </w:t>
      </w:r>
      <w:r w:rsidRPr="1D76A98B" w:rsidR="49E1EEE3">
        <w:rPr>
          <w:rFonts w:ascii="Book Antiqua" w:hAnsi="Book Antiqua" w:eastAsia="Book Antiqua" w:cs="Book Antiqua"/>
          <w:noProof w:val="0"/>
          <w:sz w:val="24"/>
          <w:szCs w:val="24"/>
          <w:lang w:val="en-AU"/>
        </w:rPr>
        <w:t>eficiencia</w:t>
      </w:r>
      <w:r w:rsidRPr="1D76A98B" w:rsidR="49E1EEE3">
        <w:rPr>
          <w:rFonts w:ascii="Book Antiqua" w:hAnsi="Book Antiqua" w:eastAsia="Book Antiqua" w:cs="Book Antiqua"/>
          <w:noProof w:val="0"/>
          <w:sz w:val="24"/>
          <w:szCs w:val="24"/>
          <w:lang w:val="en-AU"/>
        </w:rPr>
        <w:t xml:space="preserve">, al </w:t>
      </w:r>
      <w:r w:rsidRPr="1D76A98B" w:rsidR="49E1EEE3">
        <w:rPr>
          <w:rFonts w:ascii="Book Antiqua" w:hAnsi="Book Antiqua" w:eastAsia="Book Antiqua" w:cs="Book Antiqua"/>
          <w:noProof w:val="0"/>
          <w:sz w:val="24"/>
          <w:szCs w:val="24"/>
          <w:lang w:val="en-AU"/>
        </w:rPr>
        <w:t>tiempo</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que</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revisó</w:t>
      </w:r>
      <w:r w:rsidRPr="1D76A98B" w:rsidR="49E1EEE3">
        <w:rPr>
          <w:rFonts w:ascii="Book Antiqua" w:hAnsi="Book Antiqua" w:eastAsia="Book Antiqua" w:cs="Book Antiqua"/>
          <w:noProof w:val="0"/>
          <w:sz w:val="24"/>
          <w:szCs w:val="24"/>
          <w:lang w:val="en-AU"/>
        </w:rPr>
        <w:t xml:space="preserve"> de </w:t>
      </w:r>
      <w:r w:rsidRPr="1D76A98B" w:rsidR="49E1EEE3">
        <w:rPr>
          <w:rFonts w:ascii="Book Antiqua" w:hAnsi="Book Antiqua" w:eastAsia="Book Antiqua" w:cs="Book Antiqua"/>
          <w:noProof w:val="0"/>
          <w:sz w:val="24"/>
          <w:szCs w:val="24"/>
          <w:lang w:val="en-AU"/>
        </w:rPr>
        <w:t>manera</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selectiva</w:t>
      </w:r>
      <w:r w:rsidRPr="1D76A98B" w:rsidR="49E1EEE3">
        <w:rPr>
          <w:rFonts w:ascii="Book Antiqua" w:hAnsi="Book Antiqua" w:eastAsia="Book Antiqua" w:cs="Book Antiqua"/>
          <w:noProof w:val="0"/>
          <w:sz w:val="24"/>
          <w:szCs w:val="24"/>
          <w:lang w:val="en-AU"/>
        </w:rPr>
        <w:t xml:space="preserve"> sus planes de </w:t>
      </w:r>
      <w:r w:rsidRPr="1D76A98B" w:rsidR="49E1EEE3">
        <w:rPr>
          <w:rFonts w:ascii="Book Antiqua" w:hAnsi="Book Antiqua" w:eastAsia="Book Antiqua" w:cs="Book Antiqua"/>
          <w:noProof w:val="0"/>
          <w:sz w:val="24"/>
          <w:szCs w:val="24"/>
          <w:lang w:val="en-AU"/>
        </w:rPr>
        <w:t>inversión</w:t>
      </w:r>
      <w:r w:rsidRPr="1D76A98B" w:rsidR="49E1EEE3">
        <w:rPr>
          <w:rFonts w:ascii="Book Antiqua" w:hAnsi="Book Antiqua" w:eastAsia="Book Antiqua" w:cs="Book Antiqua"/>
          <w:noProof w:val="0"/>
          <w:sz w:val="24"/>
          <w:szCs w:val="24"/>
          <w:lang w:val="en-AU"/>
        </w:rPr>
        <w:t xml:space="preserve">. Gracias </w:t>
      </w:r>
      <w:r w:rsidRPr="1D76A98B" w:rsidR="49E1EEE3">
        <w:rPr>
          <w:rFonts w:ascii="Book Antiqua" w:hAnsi="Book Antiqua" w:eastAsia="Book Antiqua" w:cs="Book Antiqua"/>
          <w:noProof w:val="0"/>
          <w:sz w:val="24"/>
          <w:szCs w:val="24"/>
          <w:lang w:val="en-AU"/>
        </w:rPr>
        <w:t>a</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estas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medidas</w:t>
      </w:r>
      <w:r w:rsidRPr="1D76A98B" w:rsidR="49E1EEE3">
        <w:rPr>
          <w:rFonts w:ascii="Book Antiqua" w:hAnsi="Book Antiqua" w:eastAsia="Book Antiqua" w:cs="Book Antiqua"/>
          <w:noProof w:val="0"/>
          <w:sz w:val="24"/>
          <w:szCs w:val="24"/>
          <w:lang w:val="en-AU"/>
        </w:rPr>
        <w:t xml:space="preserve">, el EBITDAR </w:t>
      </w:r>
      <w:r w:rsidRPr="1D76A98B" w:rsidR="49E1EEE3">
        <w:rPr>
          <w:rFonts w:ascii="Book Antiqua" w:hAnsi="Book Antiqua" w:eastAsia="Book Antiqua" w:cs="Book Antiqua"/>
          <w:noProof w:val="0"/>
          <w:sz w:val="24"/>
          <w:szCs w:val="24"/>
          <w:lang w:val="en-AU"/>
        </w:rPr>
        <w:t>alcanzó</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USD 3,700 </w:t>
      </w:r>
      <w:r w:rsidRPr="1D76A98B" w:rsidR="49E1EEE3">
        <w:rPr>
          <w:rFonts w:ascii="Book Antiqua" w:hAnsi="Book Antiqua" w:eastAsia="Book Antiqua" w:cs="Book Antiqua"/>
          <w:noProof w:val="0"/>
          <w:sz w:val="24"/>
          <w:szCs w:val="24"/>
          <w:lang w:val="en-AU"/>
        </w:rPr>
        <w:t>millones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durante</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los</w:t>
      </w:r>
      <w:r w:rsidRPr="1D76A98B" w:rsidR="49E1EEE3">
        <w:rPr>
          <w:rFonts w:ascii="Book Antiqua" w:hAnsi="Book Antiqua" w:eastAsia="Book Antiqua" w:cs="Book Antiqua"/>
          <w:noProof w:val="0"/>
          <w:sz w:val="24"/>
          <w:szCs w:val="24"/>
          <w:lang w:val="en-AU"/>
        </w:rPr>
        <w:t xml:space="preserve"> primeros </w:t>
      </w:r>
      <w:r w:rsidRPr="1D76A98B" w:rsidR="49E1EEE3">
        <w:rPr>
          <w:rFonts w:ascii="Book Antiqua" w:hAnsi="Book Antiqua" w:eastAsia="Book Antiqua" w:cs="Book Antiqua"/>
          <w:noProof w:val="0"/>
          <w:sz w:val="24"/>
          <w:szCs w:val="24"/>
          <w:lang w:val="en-AU"/>
        </w:rPr>
        <w:t>nueve</w:t>
      </w:r>
      <w:r w:rsidRPr="1D76A98B" w:rsidR="49E1EEE3">
        <w:rPr>
          <w:rFonts w:ascii="Book Antiqua" w:hAnsi="Book Antiqua" w:eastAsia="Book Antiqua" w:cs="Book Antiqua"/>
          <w:noProof w:val="0"/>
          <w:sz w:val="24"/>
          <w:szCs w:val="24"/>
          <w:lang w:val="en-AU"/>
        </w:rPr>
        <w:t xml:space="preserve"> meses del </w:t>
      </w:r>
      <w:r w:rsidRPr="1D76A98B" w:rsidR="49E1EEE3">
        <w:rPr>
          <w:rFonts w:ascii="Book Antiqua" w:hAnsi="Book Antiqua" w:eastAsia="Book Antiqua" w:cs="Book Antiqua"/>
          <w:noProof w:val="0"/>
          <w:sz w:val="24"/>
          <w:szCs w:val="24"/>
          <w:lang w:val="en-AU"/>
        </w:rPr>
        <w:t>año</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mientras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que</w:t>
      </w:r>
      <w:r w:rsidRPr="1D76A98B" w:rsidR="49E1EEE3">
        <w:rPr>
          <w:rFonts w:ascii="Book Antiqua" w:hAnsi="Book Antiqua" w:eastAsia="Book Antiqua" w:cs="Book Antiqua"/>
          <w:noProof w:val="0"/>
          <w:sz w:val="24"/>
          <w:szCs w:val="24"/>
          <w:lang w:val="en-AU"/>
        </w:rPr>
        <w:t xml:space="preserve"> el </w:t>
      </w:r>
      <w:r w:rsidRPr="1D76A98B" w:rsidR="49E1EEE3">
        <w:rPr>
          <w:rFonts w:ascii="Book Antiqua" w:hAnsi="Book Antiqua" w:eastAsia="Book Antiqua" w:cs="Book Antiqua"/>
          <w:noProof w:val="0"/>
          <w:sz w:val="24"/>
          <w:szCs w:val="24"/>
          <w:lang w:val="en-AU"/>
        </w:rPr>
        <w:t>margen</w:t>
      </w:r>
      <w:r w:rsidRPr="1D76A98B" w:rsidR="49E1EEE3">
        <w:rPr>
          <w:rFonts w:ascii="Book Antiqua" w:hAnsi="Book Antiqua" w:eastAsia="Book Antiqua" w:cs="Book Antiqua"/>
          <w:noProof w:val="0"/>
          <w:sz w:val="24"/>
          <w:szCs w:val="24"/>
          <w:lang w:val="en-AU"/>
        </w:rPr>
        <w:t xml:space="preserve"> EBITDAR </w:t>
      </w:r>
      <w:r w:rsidRPr="1D76A98B" w:rsidR="49E1EEE3">
        <w:rPr>
          <w:rFonts w:ascii="Book Antiqua" w:hAnsi="Book Antiqua" w:eastAsia="Book Antiqua" w:cs="Book Antiqua"/>
          <w:noProof w:val="0"/>
          <w:sz w:val="24"/>
          <w:szCs w:val="24"/>
          <w:lang w:val="en-AU"/>
        </w:rPr>
        <w:t>disminuyó</w:t>
      </w:r>
      <w:r w:rsidRPr="1D76A98B" w:rsidR="49E1EEE3">
        <w:rPr>
          <w:rFonts w:ascii="Book Antiqua" w:hAnsi="Book Antiqua" w:eastAsia="Book Antiqua" w:cs="Book Antiqua"/>
          <w:noProof w:val="0"/>
          <w:sz w:val="24"/>
          <w:szCs w:val="24"/>
          <w:lang w:val="en-AU"/>
        </w:rPr>
        <w:t xml:space="preserve"> 6.2 puntos </w:t>
      </w:r>
      <w:r w:rsidRPr="1D76A98B" w:rsidR="49E1EEE3">
        <w:rPr>
          <w:rFonts w:ascii="Book Antiqua" w:hAnsi="Book Antiqua" w:eastAsia="Book Antiqua" w:cs="Book Antiqua"/>
          <w:noProof w:val="0"/>
          <w:sz w:val="24"/>
          <w:szCs w:val="24"/>
          <w:lang w:val="en-AU"/>
        </w:rPr>
        <w:t>porcentuales</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interanuales</w:t>
      </w:r>
      <w:r w:rsidRPr="1D76A98B" w:rsidR="49E1EEE3">
        <w:rPr>
          <w:rFonts w:ascii="Book Antiqua" w:hAnsi="Book Antiqua" w:eastAsia="Book Antiqua" w:cs="Book Antiqua"/>
          <w:noProof w:val="0"/>
          <w:sz w:val="24"/>
          <w:szCs w:val="24"/>
          <w:lang w:val="en-AU"/>
        </w:rPr>
        <w:t xml:space="preserve">, hasta </w:t>
      </w:r>
      <w:r w:rsidRPr="1D76A98B" w:rsidR="49E1EEE3">
        <w:rPr>
          <w:rFonts w:ascii="Book Antiqua" w:hAnsi="Book Antiqua" w:eastAsia="Book Antiqua" w:cs="Book Antiqua"/>
          <w:noProof w:val="0"/>
          <w:sz w:val="24"/>
          <w:szCs w:val="24"/>
          <w:lang w:val="en-AU"/>
        </w:rPr>
        <w:t>ubicarse</w:t>
      </w:r>
      <w:r w:rsidRPr="1D76A98B" w:rsidR="49E1EEE3">
        <w:rPr>
          <w:rFonts w:ascii="Book Antiqua" w:hAnsi="Book Antiqua" w:eastAsia="Book Antiqua" w:cs="Book Antiqua"/>
          <w:noProof w:val="0"/>
          <w:sz w:val="24"/>
          <w:szCs w:val="24"/>
          <w:lang w:val="en-AU"/>
        </w:rPr>
        <w:t xml:space="preserve"> </w:t>
      </w:r>
      <w:r w:rsidRPr="1D76A98B" w:rsidR="49E1EEE3">
        <w:rPr>
          <w:rFonts w:ascii="Book Antiqua" w:hAnsi="Book Antiqua" w:eastAsia="Book Antiqua" w:cs="Book Antiqua"/>
          <w:noProof w:val="0"/>
          <w:sz w:val="24"/>
          <w:szCs w:val="24"/>
          <w:lang w:val="en-AU"/>
        </w:rPr>
        <w:t>en</w:t>
      </w:r>
      <w:r w:rsidRPr="1D76A98B" w:rsidR="49E1EEE3">
        <w:rPr>
          <w:rFonts w:ascii="Book Antiqua" w:hAnsi="Book Antiqua" w:eastAsia="Book Antiqua" w:cs="Book Antiqua"/>
          <w:noProof w:val="0"/>
          <w:sz w:val="24"/>
          <w:szCs w:val="24"/>
          <w:lang w:val="en-AU"/>
        </w:rPr>
        <w:t xml:space="preserve"> 17.6%.</w:t>
      </w:r>
    </w:p>
    <w:p w:rsidR="49E1EEE3" w:rsidP="1D76A98B" w:rsidRDefault="49E1EEE3" w14:paraId="29C5B569" w14:textId="0A47C2A9">
      <w:pPr>
        <w:spacing w:before="240" w:beforeAutospacing="off" w:after="240" w:afterAutospacing="off"/>
        <w:ind w:firstLine="720"/>
        <w:jc w:val="both"/>
        <w:rPr>
          <w:rFonts w:ascii="Book Antiqua" w:hAnsi="Book Antiqua" w:eastAsia="Book Antiqua" w:cs="Book Antiqua"/>
          <w:noProof w:val="0"/>
          <w:sz w:val="24"/>
          <w:szCs w:val="24"/>
          <w:lang w:val="en-AU"/>
        </w:rPr>
      </w:pPr>
      <w:r w:rsidRPr="1D76A98B" w:rsidR="49E1EEE3">
        <w:rPr>
          <w:rFonts w:ascii="Book Antiqua" w:hAnsi="Book Antiqua" w:eastAsia="Book Antiqua" w:cs="Book Antiqua"/>
          <w:noProof w:val="0"/>
          <w:sz w:val="24"/>
          <w:szCs w:val="24"/>
          <w:lang w:val="en-AU"/>
        </w:rPr>
        <w:t xml:space="preserve">Al comentar los resultados del tercer trimestre de 2026, el </w:t>
      </w:r>
      <w:r w:rsidRPr="1D76A98B" w:rsidR="49E1EEE3">
        <w:rPr>
          <w:rFonts w:ascii="Book Antiqua" w:hAnsi="Book Antiqua" w:eastAsia="Book Antiqua" w:cs="Book Antiqua"/>
          <w:b w:val="1"/>
          <w:bCs w:val="1"/>
          <w:noProof w:val="0"/>
          <w:sz w:val="24"/>
          <w:szCs w:val="24"/>
          <w:lang w:val="en-AU"/>
        </w:rPr>
        <w:t>presidente del Consejo de Administración y del Comité Ejecutivo de Turkish Airlines, el profesor Murat Şeker</w:t>
      </w:r>
      <w:r w:rsidRPr="1D76A98B" w:rsidR="49E1EEE3">
        <w:rPr>
          <w:rFonts w:ascii="Book Antiqua" w:hAnsi="Book Antiqua" w:eastAsia="Book Antiqua" w:cs="Book Antiqua"/>
          <w:noProof w:val="0"/>
          <w:sz w:val="24"/>
          <w:szCs w:val="24"/>
          <w:lang w:val="en-AU"/>
        </w:rPr>
        <w:t>, declaró:</w:t>
      </w:r>
    </w:p>
    <w:p w:rsidR="49E1EEE3" w:rsidP="1D76A98B" w:rsidRDefault="49E1EEE3" w14:paraId="55A2DC05" w14:textId="4B1408F5">
      <w:pPr>
        <w:spacing w:before="240" w:beforeAutospacing="off" w:after="240" w:afterAutospacing="off"/>
        <w:ind w:firstLine="720"/>
        <w:jc w:val="both"/>
        <w:rPr>
          <w:rFonts w:ascii="Book Antiqua" w:hAnsi="Book Antiqua" w:eastAsia="Book Antiqua" w:cs="Book Antiqua"/>
          <w:i w:val="1"/>
          <w:iCs w:val="1"/>
          <w:noProof w:val="0"/>
          <w:sz w:val="24"/>
          <w:szCs w:val="24"/>
          <w:lang w:val="en-AU"/>
        </w:rPr>
      </w:pPr>
      <w:r w:rsidRPr="1D76A98B" w:rsidR="49E1EEE3">
        <w:rPr>
          <w:rFonts w:ascii="Book Antiqua" w:hAnsi="Book Antiqua" w:eastAsia="Book Antiqua" w:cs="Book Antiqua"/>
          <w:i w:val="1"/>
          <w:iCs w:val="1"/>
          <w:noProof w:val="0"/>
          <w:sz w:val="24"/>
          <w:szCs w:val="24"/>
          <w:lang w:val="en-AU"/>
        </w:rPr>
        <w:t>“El conflicto en Medio Oriente y la persistencia de los elevados precios del combustible para aeronaves ejercieron una presión considerable sobre la industria mundial de la aviación durante el tercer trimestre. Ante este escenario, mantuvimos nuestro enfoque en la eficiencia operativa y la disciplina de costos, al tiempo que nos adaptamos a las cambiantes condiciones de la demanda aprovechando las oportunidades que ofrece nuestra extensa red de vuelos.</w:t>
      </w:r>
    </w:p>
    <w:p w:rsidR="49E1EEE3" w:rsidP="1D76A98B" w:rsidRDefault="49E1EEE3" w14:paraId="740D994E" w14:textId="515A341E">
      <w:pPr>
        <w:spacing w:before="240" w:beforeAutospacing="off" w:after="240" w:afterAutospacing="off"/>
        <w:ind w:firstLine="720"/>
        <w:jc w:val="both"/>
        <w:rPr>
          <w:rFonts w:ascii="Book Antiqua" w:hAnsi="Book Antiqua" w:eastAsia="Book Antiqua" w:cs="Book Antiqua"/>
          <w:i w:val="1"/>
          <w:iCs w:val="1"/>
          <w:noProof w:val="0"/>
          <w:sz w:val="24"/>
          <w:szCs w:val="24"/>
          <w:lang w:val="en-AU"/>
        </w:rPr>
      </w:pPr>
      <w:r w:rsidRPr="1D76A98B" w:rsidR="49E1EEE3">
        <w:rPr>
          <w:rFonts w:ascii="Book Antiqua" w:hAnsi="Book Antiqua" w:eastAsia="Book Antiqua" w:cs="Book Antiqua"/>
          <w:i w:val="1"/>
          <w:iCs w:val="1"/>
          <w:noProof w:val="0"/>
          <w:sz w:val="24"/>
          <w:szCs w:val="24"/>
          <w:lang w:val="en-AU"/>
        </w:rPr>
        <w:t>“A pesar de un entorno operativo cada vez más desafiante, el crecimiento del número de pasajeros y de nuestros factores de ocupación en cada uno de los meses del tercer trimestre demuestra claramente la solidez de nuestro modelo de negocio flexible y de nuestras capacidades operativas.</w:t>
      </w:r>
    </w:p>
    <w:p w:rsidR="49E1EEE3" w:rsidP="1D76A98B" w:rsidRDefault="49E1EEE3" w14:paraId="791203B0" w14:textId="4BA621FD">
      <w:pPr>
        <w:spacing w:before="240" w:beforeAutospacing="off" w:after="240" w:afterAutospacing="off"/>
        <w:ind w:firstLine="720"/>
        <w:jc w:val="both"/>
        <w:rPr>
          <w:rFonts w:ascii="Book Antiqua" w:hAnsi="Book Antiqua" w:eastAsia="Book Antiqua" w:cs="Book Antiqua"/>
          <w:i w:val="1"/>
          <w:iCs w:val="1"/>
          <w:noProof w:val="0"/>
          <w:sz w:val="24"/>
          <w:szCs w:val="24"/>
          <w:lang w:val="es-ES"/>
        </w:rPr>
      </w:pPr>
      <w:r w:rsidRPr="1D76A98B" w:rsidR="49E1EEE3">
        <w:rPr>
          <w:rFonts w:ascii="Book Antiqua" w:hAnsi="Book Antiqua" w:eastAsia="Book Antiqua" w:cs="Book Antiqua"/>
          <w:i w:val="1"/>
          <w:iCs w:val="1"/>
          <w:noProof w:val="0"/>
          <w:sz w:val="24"/>
          <w:szCs w:val="24"/>
          <w:lang w:val="es-ES"/>
        </w:rPr>
        <w:t>“Dadas las circunstancias actuales, estamos adoptando un enfoque selectivo para la asignación de capital y dirigiendo nuestros recursos hacia inversiones estratégicas con un alto potencial de creación de valor. Respaldados por nuestro sólido balance financiero, continuamos invirtiendo en nuestra marca y en la experiencia del cliente. Los reconocimientos que nos otorgaron APEX y Skytrax destacan aún más el reconocimiento internacional de estos esfuerzos.</w:t>
      </w:r>
    </w:p>
    <w:p w:rsidR="49E1EEE3" w:rsidP="1D76A98B" w:rsidRDefault="49E1EEE3" w14:paraId="44312769" w14:textId="777E65F8">
      <w:pPr>
        <w:spacing w:before="240" w:beforeAutospacing="off" w:after="240" w:afterAutospacing="off"/>
        <w:ind w:firstLine="720"/>
        <w:jc w:val="both"/>
        <w:rPr>
          <w:rFonts w:ascii="Book Antiqua" w:hAnsi="Book Antiqua" w:eastAsia="Book Antiqua" w:cs="Book Antiqua"/>
          <w:i w:val="1"/>
          <w:iCs w:val="1"/>
          <w:noProof w:val="0"/>
          <w:sz w:val="24"/>
          <w:szCs w:val="24"/>
          <w:lang w:val="en-AU"/>
        </w:rPr>
      </w:pPr>
      <w:r w:rsidRPr="1D76A98B" w:rsidR="49E1EEE3">
        <w:rPr>
          <w:rFonts w:ascii="Book Antiqua" w:hAnsi="Book Antiqua" w:eastAsia="Book Antiqua" w:cs="Book Antiqua"/>
          <w:i w:val="1"/>
          <w:iCs w:val="1"/>
          <w:noProof w:val="0"/>
          <w:sz w:val="24"/>
          <w:szCs w:val="24"/>
          <w:lang w:val="en-AU"/>
        </w:rPr>
        <w:t>“En línea con nuestro compromiso con la excelencia operativa y una mayor conectividad mundial, continuaremos acercando a las personas y las culturas, al tiempo que realizamos contribuciones sostenibles a la industria de la aviación”.</w:t>
      </w:r>
    </w:p>
    <w:p w:rsidR="49E1EEE3" w:rsidP="1D76A98B" w:rsidRDefault="49E1EEE3" w14:paraId="599BB083" w14:textId="4A70A2EE">
      <w:pPr>
        <w:pStyle w:val="Heading2"/>
        <w:spacing w:before="299" w:beforeAutospacing="off" w:after="299" w:afterAutospacing="off"/>
        <w:jc w:val="both"/>
        <w:rPr>
          <w:rFonts w:ascii="Book Antiqua" w:hAnsi="Book Antiqua" w:eastAsia="Book Antiqua" w:cs="Book Antiqua"/>
          <w:b w:val="1"/>
          <w:bCs w:val="1"/>
          <w:noProof w:val="0"/>
          <w:color w:val="auto"/>
          <w:sz w:val="18"/>
          <w:szCs w:val="18"/>
          <w:lang w:val="en-AU"/>
        </w:rPr>
      </w:pPr>
      <w:r w:rsidRPr="1D76A98B" w:rsidR="49E1EEE3">
        <w:rPr>
          <w:rFonts w:ascii="Book Antiqua" w:hAnsi="Book Antiqua" w:eastAsia="Book Antiqua" w:cs="Book Antiqua"/>
          <w:b w:val="1"/>
          <w:bCs w:val="1"/>
          <w:noProof w:val="0"/>
          <w:color w:val="auto"/>
          <w:sz w:val="18"/>
          <w:szCs w:val="18"/>
          <w:lang w:val="en-AU"/>
        </w:rPr>
        <w:t>Acerca de Turkish Airlines</w:t>
      </w:r>
    </w:p>
    <w:p w:rsidR="49E1EEE3" w:rsidP="1D76A98B" w:rsidRDefault="49E1EEE3" w14:paraId="1B57301F" w14:textId="16081C95">
      <w:pPr>
        <w:spacing w:before="240" w:beforeAutospacing="off" w:after="240" w:afterAutospacing="off"/>
        <w:jc w:val="both"/>
        <w:rPr>
          <w:rFonts w:ascii="Book Antiqua" w:hAnsi="Book Antiqua" w:eastAsia="Book Antiqua" w:cs="Book Antiqua"/>
          <w:noProof w:val="0"/>
          <w:color w:val="auto"/>
          <w:sz w:val="18"/>
          <w:szCs w:val="18"/>
          <w:lang w:val="en-AU"/>
        </w:rPr>
      </w:pPr>
      <w:r w:rsidRPr="1D76A98B" w:rsidR="49E1EEE3">
        <w:rPr>
          <w:rFonts w:ascii="Book Antiqua" w:hAnsi="Book Antiqua" w:eastAsia="Book Antiqua" w:cs="Book Antiqua"/>
          <w:noProof w:val="0"/>
          <w:color w:val="auto"/>
          <w:sz w:val="18"/>
          <w:szCs w:val="18"/>
          <w:lang w:val="en-AU"/>
        </w:rPr>
        <w:t xml:space="preserve">Fundada en 1933 con una flota de cinco aeronaves, Turkish Airlines, miembro de Star Alliance, cuenta actualmente con una flota de 571 aeronaves de pasajeros y carga que vuelan a 358 destinos en 133 países: 305 internacionales y 53 nacionales. Para obtener más información sobre Turkish Airlines, visite su sitio web oficial, </w:t>
      </w:r>
      <w:hyperlink r:id="R28c2c4bb9b564147">
        <w:r w:rsidRPr="1D76A98B" w:rsidR="49E1EEE3">
          <w:rPr>
            <w:rStyle w:val="Hyperlink"/>
            <w:rFonts w:ascii="Book Antiqua" w:hAnsi="Book Antiqua" w:eastAsia="Book Antiqua" w:cs="Book Antiqua"/>
            <w:noProof w:val="0"/>
            <w:color w:val="auto"/>
            <w:sz w:val="18"/>
            <w:szCs w:val="18"/>
            <w:lang w:val="en-AU"/>
          </w:rPr>
          <w:t>www.turkishairlines.com</w:t>
        </w:r>
      </w:hyperlink>
      <w:r w:rsidRPr="1D76A98B" w:rsidR="49E1EEE3">
        <w:rPr>
          <w:rFonts w:ascii="Book Antiqua" w:hAnsi="Book Antiqua" w:eastAsia="Book Antiqua" w:cs="Book Antiqua"/>
          <w:noProof w:val="0"/>
          <w:color w:val="auto"/>
          <w:sz w:val="18"/>
          <w:szCs w:val="18"/>
          <w:lang w:val="en-AU"/>
        </w:rPr>
        <w:t>, o sus cuentas en Facebook, X, YouTube, LinkedIn e Instagram.</w:t>
      </w:r>
    </w:p>
    <w:p w:rsidR="49E1EEE3" w:rsidP="1D76A98B" w:rsidRDefault="49E1EEE3" w14:paraId="04BCFD99" w14:textId="079772D8">
      <w:pPr>
        <w:pStyle w:val="Heading2"/>
        <w:spacing w:before="299" w:beforeAutospacing="off" w:after="299" w:afterAutospacing="off"/>
        <w:jc w:val="both"/>
        <w:rPr>
          <w:rFonts w:ascii="Book Antiqua" w:hAnsi="Book Antiqua" w:eastAsia="Book Antiqua" w:cs="Book Antiqua"/>
          <w:b w:val="1"/>
          <w:bCs w:val="1"/>
          <w:noProof w:val="0"/>
          <w:color w:val="auto"/>
          <w:sz w:val="18"/>
          <w:szCs w:val="18"/>
          <w:lang w:val="en-AU"/>
        </w:rPr>
      </w:pPr>
      <w:r w:rsidRPr="1D76A98B" w:rsidR="49E1EEE3">
        <w:rPr>
          <w:rFonts w:ascii="Book Antiqua" w:hAnsi="Book Antiqua" w:eastAsia="Book Antiqua" w:cs="Book Antiqua"/>
          <w:b w:val="1"/>
          <w:bCs w:val="1"/>
          <w:noProof w:val="0"/>
          <w:color w:val="auto"/>
          <w:sz w:val="18"/>
          <w:szCs w:val="18"/>
          <w:lang w:val="en-AU"/>
        </w:rPr>
        <w:t>Acerca de Star Alliance</w:t>
      </w:r>
    </w:p>
    <w:p w:rsidR="49E1EEE3" w:rsidP="1D76A98B" w:rsidRDefault="49E1EEE3" w14:paraId="32E3D2EA" w14:textId="0CC4DF3F">
      <w:pPr>
        <w:spacing w:before="240" w:beforeAutospacing="off" w:after="240" w:afterAutospacing="off"/>
        <w:jc w:val="both"/>
        <w:rPr>
          <w:rFonts w:ascii="Book Antiqua" w:hAnsi="Book Antiqua" w:eastAsia="Book Antiqua" w:cs="Book Antiqua"/>
          <w:noProof w:val="0"/>
          <w:color w:val="auto"/>
          <w:sz w:val="18"/>
          <w:szCs w:val="18"/>
          <w:lang w:val="en-AU"/>
        </w:rPr>
      </w:pPr>
      <w:r w:rsidRPr="1D76A98B" w:rsidR="49E1EEE3">
        <w:rPr>
          <w:rFonts w:ascii="Book Antiqua" w:hAnsi="Book Antiqua" w:eastAsia="Book Antiqua" w:cs="Book Antiqua"/>
          <w:noProof w:val="0"/>
          <w:color w:val="auto"/>
          <w:sz w:val="18"/>
          <w:szCs w:val="18"/>
          <w:lang w:val="en-AU"/>
        </w:rPr>
        <w:t>Establecida en 1997 como la primera alianza de aerolíneas verdaderamente mundial, la red de Star Alliance se fundó sobre una propuesta de valor para el cliente basada en el alcance global, el reconocimiento mundial y un servicio sin interrupciones. Desde su creación, ha ofrecido la red de aerolíneas más grande y completa, con un firme enfoque en mejorar la experiencia del cliente a lo largo de todo su viaje dentro de la alianza.</w:t>
      </w:r>
    </w:p>
    <w:p w:rsidR="49E1EEE3" w:rsidP="1D76A98B" w:rsidRDefault="49E1EEE3" w14:paraId="682C8866" w14:textId="5A3DB701">
      <w:pPr>
        <w:spacing w:before="240" w:beforeAutospacing="off" w:after="240" w:afterAutospacing="off"/>
        <w:jc w:val="both"/>
        <w:rPr>
          <w:rFonts w:ascii="Book Antiqua" w:hAnsi="Book Antiqua" w:eastAsia="Book Antiqua" w:cs="Book Antiqua"/>
          <w:noProof w:val="0"/>
          <w:color w:val="auto"/>
          <w:sz w:val="18"/>
          <w:szCs w:val="18"/>
          <w:lang w:val="en-AU"/>
        </w:rPr>
      </w:pPr>
      <w:r w:rsidRPr="1D76A98B" w:rsidR="49E1EEE3">
        <w:rPr>
          <w:rFonts w:ascii="Book Antiqua" w:hAnsi="Book Antiqua" w:eastAsia="Book Antiqua" w:cs="Book Antiqua"/>
          <w:noProof w:val="0"/>
          <w:color w:val="auto"/>
          <w:sz w:val="18"/>
          <w:szCs w:val="18"/>
          <w:lang w:val="en-AU"/>
        </w:rPr>
        <w:t>Las aerolíneas miembro son: Aegean Airlines, Air Canada, Air China, Air India, Air New Zealand, ANA, Asiana Airlines, Austrian, Avianca, Brussels Airlines, Copa Airlines, Croatia Airlines, EGYPTAIR, Ethiopian Airlines, EVA Air, LOT Polish Airlines, Lufthansa, Shenzhen Airlines, Singapore Airlines, South African Airways, SWISS, TAP Air Portugal, THAI, Turkish Airlines y United.</w:t>
      </w:r>
    </w:p>
    <w:p w:rsidR="49E1EEE3" w:rsidP="1D76A98B" w:rsidRDefault="49E1EEE3" w14:paraId="5C4209F6" w14:textId="30A2E269">
      <w:pPr>
        <w:spacing w:before="240" w:beforeAutospacing="off" w:after="240" w:afterAutospacing="off"/>
        <w:jc w:val="both"/>
        <w:rPr>
          <w:rFonts w:ascii="Book Antiqua" w:hAnsi="Book Antiqua" w:eastAsia="Book Antiqua" w:cs="Book Antiqua"/>
          <w:noProof w:val="0"/>
          <w:color w:val="auto"/>
          <w:sz w:val="18"/>
          <w:szCs w:val="18"/>
          <w:lang w:val="en-AU"/>
        </w:rPr>
      </w:pPr>
      <w:r w:rsidRPr="1D76A98B" w:rsidR="49E1EEE3">
        <w:rPr>
          <w:rFonts w:ascii="Book Antiqua" w:hAnsi="Book Antiqua" w:eastAsia="Book Antiqua" w:cs="Book Antiqua"/>
          <w:noProof w:val="0"/>
          <w:color w:val="auto"/>
          <w:sz w:val="18"/>
          <w:szCs w:val="18"/>
          <w:lang w:val="en-AU"/>
        </w:rPr>
        <w:t>En conjunto, la red de Star Alliance ofrece actualmente 17,500 vuelos diarios a más de 1,150 aeropuertos en 189 países. La aerolínea Juneyao Airlines, socio de conexión de Star Alliance, ofrece vuelos de conexión adicionales.</w:t>
      </w:r>
    </w:p>
    <w:p w:rsidR="1D76A98B" w:rsidP="1D76A98B" w:rsidRDefault="1D76A98B" w14:paraId="4CCB653E" w14:textId="7702106F">
      <w:pPr>
        <w:shd w:val="clear" w:color="auto" w:fill="FFFFFF" w:themeFill="background1"/>
        <w:spacing w:before="0" w:beforeAutospacing="off" w:after="0" w:afterAutospacing="off" w:line="207" w:lineRule="auto"/>
        <w:jc w:val="both"/>
        <w:rPr>
          <w:rFonts w:ascii="Book Antiqua" w:hAnsi="Book Antiqua" w:eastAsia="Book Antiqua" w:cs="Book Antiqua"/>
          <w:b w:val="0"/>
          <w:bCs w:val="0"/>
          <w:i w:val="0"/>
          <w:iCs w:val="0"/>
          <w:caps w:val="0"/>
          <w:smallCaps w:val="0"/>
          <w:noProof w:val="0"/>
          <w:color w:val="000000" w:themeColor="text1" w:themeTint="FF" w:themeShade="FF"/>
          <w:sz w:val="18"/>
          <w:szCs w:val="18"/>
          <w:lang w:val="en-AU"/>
        </w:rPr>
      </w:pPr>
    </w:p>
    <w:p w:rsidR="380BA290" w:rsidP="380BA290" w:rsidRDefault="380BA290" w14:paraId="2076467B" w14:textId="4DDF424F">
      <w:pPr>
        <w:rPr>
          <w:rFonts w:ascii="Book Antiqua" w:hAnsi="Book Antiqua"/>
          <w:color w:val="000000" w:themeColor="text1" w:themeTint="FF" w:themeShade="FF"/>
          <w:lang w:eastAsia="en-GB"/>
        </w:rPr>
      </w:pPr>
    </w:p>
    <w:sectPr w:rsidRPr="00F65C33" w:rsidR="00CC59A2">
      <w:headerReference w:type="default" r:id="rId32"/>
      <w:footerReference w:type="default" r:id="rId3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49A2" w:rsidP="0073744B" w:rsidRDefault="001049A2" w14:paraId="31D2C9F2" w14:textId="77777777">
      <w:r>
        <w:separator/>
      </w:r>
    </w:p>
  </w:endnote>
  <w:endnote w:type="continuationSeparator" w:id="0">
    <w:p w:rsidR="001049A2" w:rsidP="0073744B" w:rsidRDefault="001049A2" w14:paraId="75D8C9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exSansBookT">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156AC" w:rsidR="008D14F6" w:rsidP="008D14F6" w:rsidRDefault="008D14F6" w14:paraId="7C521C5C" w14:textId="77777777">
    <w:pPr>
      <w:tabs>
        <w:tab w:val="center" w:pos="4513"/>
        <w:tab w:val="right" w:pos="9026"/>
      </w:tabs>
      <w:jc w:val="both"/>
      <w:rPr>
        <w:rFonts w:ascii="Arial" w:hAnsi="Arial" w:cs="Arial"/>
        <w:sz w:val="16"/>
        <w:szCs w:val="16"/>
      </w:rPr>
    </w:pPr>
    <w:r w:rsidRPr="00E156AC">
      <w:rPr>
        <w:rFonts w:ascii="Arial" w:hAnsi="Arial" w:cs="Arial"/>
        <w:sz w:val="16"/>
        <w:szCs w:val="16"/>
      </w:rPr>
      <w:t>Turkish Airlines Inc.</w:t>
    </w:r>
  </w:p>
  <w:p w:rsidRPr="00E156AC" w:rsidR="008D14F6" w:rsidP="008D14F6" w:rsidRDefault="008D14F6" w14:paraId="7516E43D" w14:textId="77777777">
    <w:pPr>
      <w:tabs>
        <w:tab w:val="center" w:pos="4513"/>
        <w:tab w:val="right" w:pos="9026"/>
      </w:tabs>
      <w:jc w:val="both"/>
      <w:rPr>
        <w:rFonts w:ascii="Arial" w:hAnsi="Arial" w:cs="Arial"/>
        <w:sz w:val="16"/>
        <w:szCs w:val="16"/>
      </w:rPr>
    </w:pPr>
    <w:r w:rsidRPr="00E156AC">
      <w:rPr>
        <w:rFonts w:ascii="Arial" w:hAnsi="Arial" w:cs="Arial"/>
        <w:sz w:val="16"/>
        <w:szCs w:val="16"/>
      </w:rPr>
      <w:t>Directorate of Communications</w:t>
    </w:r>
  </w:p>
  <w:p w:rsidRPr="00E156AC" w:rsidR="008D14F6" w:rsidP="008D14F6" w:rsidRDefault="008D14F6" w14:paraId="0A3EEAE1" w14:textId="77777777">
    <w:pPr>
      <w:tabs>
        <w:tab w:val="center" w:pos="4513"/>
        <w:tab w:val="right" w:pos="9026"/>
      </w:tabs>
      <w:jc w:val="both"/>
      <w:rPr>
        <w:rFonts w:ascii="Arial" w:hAnsi="Arial" w:cs="Arial"/>
        <w:sz w:val="16"/>
        <w:szCs w:val="16"/>
      </w:rPr>
    </w:pPr>
    <w:r w:rsidRPr="00E156AC">
      <w:rPr>
        <w:noProof/>
      </w:rPr>
      <w:drawing>
        <wp:anchor distT="0" distB="0" distL="114300" distR="114300" simplePos="0" relativeHeight="251659264" behindDoc="1" locked="0" layoutInCell="1" allowOverlap="1" wp14:anchorId="262B6A53" wp14:editId="6A9ABA3B">
          <wp:simplePos x="0" y="0"/>
          <wp:positionH relativeFrom="margin">
            <wp:align>right</wp:align>
          </wp:positionH>
          <wp:positionV relativeFrom="paragraph">
            <wp:posOffset>13390</wp:posOffset>
          </wp:positionV>
          <wp:extent cx="1378585" cy="363855"/>
          <wp:effectExtent l="0" t="0" r="0" b="0"/>
          <wp:wrapSquare wrapText="bothSides"/>
          <wp:docPr id="78296763" name="Picture 7829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8585" cy="363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56AC">
      <w:rPr>
        <w:rFonts w:ascii="Arial" w:hAnsi="Arial" w:cs="Arial"/>
        <w:sz w:val="16"/>
        <w:szCs w:val="16"/>
      </w:rPr>
      <w:t>General Management Building</w:t>
    </w:r>
  </w:p>
  <w:p w:rsidRPr="00E156AC" w:rsidR="008D14F6" w:rsidP="008D14F6" w:rsidRDefault="008D14F6" w14:paraId="2AC570D0" w14:textId="77777777">
    <w:pPr>
      <w:tabs>
        <w:tab w:val="center" w:pos="4513"/>
        <w:tab w:val="right" w:pos="9026"/>
      </w:tabs>
      <w:jc w:val="both"/>
      <w:rPr>
        <w:rFonts w:ascii="Arial" w:hAnsi="Arial" w:cs="Arial"/>
        <w:sz w:val="16"/>
        <w:szCs w:val="16"/>
      </w:rPr>
    </w:pPr>
    <w:r w:rsidRPr="00E156AC">
      <w:rPr>
        <w:rFonts w:ascii="Arial" w:hAnsi="Arial" w:cs="Arial"/>
        <w:sz w:val="16"/>
        <w:szCs w:val="16"/>
      </w:rPr>
      <w:t xml:space="preserve">34149, </w:t>
    </w:r>
    <w:proofErr w:type="spellStart"/>
    <w:r w:rsidRPr="00E156AC">
      <w:rPr>
        <w:rFonts w:ascii="Arial" w:hAnsi="Arial" w:cs="Arial"/>
        <w:sz w:val="16"/>
        <w:szCs w:val="16"/>
      </w:rPr>
      <w:t>Yesilköy</w:t>
    </w:r>
    <w:proofErr w:type="spellEnd"/>
    <w:r w:rsidRPr="00E156AC">
      <w:rPr>
        <w:rFonts w:ascii="Arial" w:hAnsi="Arial" w:cs="Arial"/>
        <w:sz w:val="16"/>
        <w:szCs w:val="16"/>
      </w:rPr>
      <w:t>-Istanbul</w:t>
    </w:r>
  </w:p>
  <w:p w:rsidRPr="00E156AC" w:rsidR="008D14F6" w:rsidP="008D14F6" w:rsidRDefault="008D14F6" w14:paraId="7385A271" w14:textId="77777777">
    <w:pPr>
      <w:tabs>
        <w:tab w:val="right" w:pos="9360"/>
      </w:tabs>
      <w:jc w:val="both"/>
      <w:rPr>
        <w:rFonts w:ascii="Arial" w:hAnsi="Arial" w:cs="Arial"/>
        <w:sz w:val="16"/>
        <w:szCs w:val="16"/>
      </w:rPr>
    </w:pPr>
    <w:r w:rsidRPr="00E156AC">
      <w:rPr>
        <w:rFonts w:ascii="Arial" w:hAnsi="Arial" w:cs="Arial"/>
        <w:sz w:val="16"/>
        <w:szCs w:val="16"/>
      </w:rPr>
      <w:t>Tel:  +90 (212) 463 63 63 – 11153 / 11173</w:t>
    </w:r>
    <w:r>
      <w:rPr>
        <w:rFonts w:ascii="Arial" w:hAnsi="Arial" w:cs="Arial"/>
        <w:sz w:val="16"/>
        <w:szCs w:val="16"/>
      </w:rPr>
      <w:tab/>
    </w:r>
  </w:p>
  <w:p w:rsidRPr="00E156AC" w:rsidR="008D14F6" w:rsidP="008D14F6" w:rsidRDefault="008D14F6" w14:paraId="68B5C2CF" w14:textId="77777777">
    <w:pPr>
      <w:tabs>
        <w:tab w:val="center" w:pos="4513"/>
        <w:tab w:val="right" w:pos="9026"/>
      </w:tabs>
      <w:jc w:val="both"/>
      <w:rPr>
        <w:rFonts w:ascii="Arial" w:hAnsi="Arial" w:cs="Arial"/>
        <w:sz w:val="16"/>
        <w:szCs w:val="16"/>
      </w:rPr>
    </w:pPr>
    <w:r w:rsidRPr="00E156AC">
      <w:rPr>
        <w:rFonts w:ascii="Arial" w:hAnsi="Arial" w:cs="Arial"/>
        <w:sz w:val="16"/>
        <w:szCs w:val="16"/>
      </w:rPr>
      <w:t>Fax: +90 (212) 465 20 78</w:t>
    </w:r>
  </w:p>
  <w:p w:rsidRPr="00E156AC" w:rsidR="008D14F6" w:rsidP="008D14F6" w:rsidRDefault="008D14F6" w14:paraId="1FFF5F7C" w14:textId="77777777">
    <w:hyperlink w:history="1" r:id="rId2">
      <w:r w:rsidRPr="00E156AC">
        <w:rPr>
          <w:rFonts w:ascii="Arial" w:hAnsi="Arial" w:cs="Arial"/>
          <w:color w:val="0000FF"/>
          <w:sz w:val="16"/>
          <w:szCs w:val="16"/>
          <w:u w:val="single"/>
        </w:rPr>
        <w:t>press@thy.com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49A2" w:rsidP="0073744B" w:rsidRDefault="001049A2" w14:paraId="188A33B6" w14:textId="77777777">
      <w:r>
        <w:separator/>
      </w:r>
    </w:p>
  </w:footnote>
  <w:footnote w:type="continuationSeparator" w:id="0">
    <w:p w:rsidR="001049A2" w:rsidP="0073744B" w:rsidRDefault="001049A2" w14:paraId="424C27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3744B" w:rsidRDefault="0073744B" w14:paraId="6372AA12" w14:textId="1E7768E5">
    <w:pPr>
      <w:pStyle w:val="Header"/>
    </w:pPr>
    <w:r w:rsidRPr="001D0AE5">
      <w:rPr>
        <w:noProof/>
      </w:rPr>
      <w:drawing>
        <wp:inline distT="0" distB="0" distL="0" distR="0" wp14:anchorId="65FFE8C3" wp14:editId="1579F93C">
          <wp:extent cx="5731510" cy="466518"/>
          <wp:effectExtent l="0" t="0" r="2540" b="0"/>
          <wp:docPr id="8" name="Picture 8" descr="Q:\Users\a_okuyan\Desktop\Press Release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sers\a_okuyan\Desktop\Press Release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4665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269ac5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66c38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A961246"/>
    <w:multiLevelType w:val="hybridMultilevel"/>
    <w:tmpl w:val="7DAC8E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06A73E5"/>
    <w:multiLevelType w:val="multilevel"/>
    <w:tmpl w:val="DF1CCB6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4">
    <w:abstractNumId w:val="3"/>
  </w:num>
  <w:num w:numId="3">
    <w:abstractNumId w:val="2"/>
  </w:num>
  <w:num w:numId="1" w16cid:durableId="1391998675">
    <w:abstractNumId w:val="1"/>
  </w:num>
  <w:num w:numId="2" w16cid:durableId="1064446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4B"/>
    <w:rsid w:val="00003C1D"/>
    <w:rsid w:val="00010692"/>
    <w:rsid w:val="00027B60"/>
    <w:rsid w:val="00030634"/>
    <w:rsid w:val="00035944"/>
    <w:rsid w:val="0003720C"/>
    <w:rsid w:val="000417A0"/>
    <w:rsid w:val="000463F5"/>
    <w:rsid w:val="00047DAA"/>
    <w:rsid w:val="00053809"/>
    <w:rsid w:val="00055BD9"/>
    <w:rsid w:val="000567BF"/>
    <w:rsid w:val="00057F29"/>
    <w:rsid w:val="00071990"/>
    <w:rsid w:val="000759B4"/>
    <w:rsid w:val="0007681D"/>
    <w:rsid w:val="0009399C"/>
    <w:rsid w:val="000A1B52"/>
    <w:rsid w:val="000A6A93"/>
    <w:rsid w:val="000B0A34"/>
    <w:rsid w:val="000D7F7C"/>
    <w:rsid w:val="000E5465"/>
    <w:rsid w:val="000E5691"/>
    <w:rsid w:val="001049A2"/>
    <w:rsid w:val="00106AE3"/>
    <w:rsid w:val="00114E03"/>
    <w:rsid w:val="00117182"/>
    <w:rsid w:val="001264F6"/>
    <w:rsid w:val="00143C60"/>
    <w:rsid w:val="0015128C"/>
    <w:rsid w:val="00167737"/>
    <w:rsid w:val="001753A7"/>
    <w:rsid w:val="0018516C"/>
    <w:rsid w:val="00195383"/>
    <w:rsid w:val="001A401D"/>
    <w:rsid w:val="001B2E07"/>
    <w:rsid w:val="001B6095"/>
    <w:rsid w:val="001C129C"/>
    <w:rsid w:val="001C46D2"/>
    <w:rsid w:val="001C6E6F"/>
    <w:rsid w:val="001D5AAF"/>
    <w:rsid w:val="001D5EA5"/>
    <w:rsid w:val="001E1C6E"/>
    <w:rsid w:val="001E71E2"/>
    <w:rsid w:val="00224260"/>
    <w:rsid w:val="00224A45"/>
    <w:rsid w:val="00263D86"/>
    <w:rsid w:val="002836B9"/>
    <w:rsid w:val="00291165"/>
    <w:rsid w:val="0029252E"/>
    <w:rsid w:val="0029496F"/>
    <w:rsid w:val="002A65F1"/>
    <w:rsid w:val="002B7579"/>
    <w:rsid w:val="002D430C"/>
    <w:rsid w:val="002D4960"/>
    <w:rsid w:val="002F2B7D"/>
    <w:rsid w:val="003068DE"/>
    <w:rsid w:val="0030741B"/>
    <w:rsid w:val="00313447"/>
    <w:rsid w:val="00335ABD"/>
    <w:rsid w:val="0036023D"/>
    <w:rsid w:val="003634C0"/>
    <w:rsid w:val="003670A8"/>
    <w:rsid w:val="0038417A"/>
    <w:rsid w:val="00384718"/>
    <w:rsid w:val="00395106"/>
    <w:rsid w:val="00395E9B"/>
    <w:rsid w:val="003A11C1"/>
    <w:rsid w:val="003A1393"/>
    <w:rsid w:val="003B254E"/>
    <w:rsid w:val="003C7C39"/>
    <w:rsid w:val="003D41D7"/>
    <w:rsid w:val="003E46F1"/>
    <w:rsid w:val="003E6E74"/>
    <w:rsid w:val="0041570B"/>
    <w:rsid w:val="004224CC"/>
    <w:rsid w:val="0043191C"/>
    <w:rsid w:val="0044264D"/>
    <w:rsid w:val="0044399F"/>
    <w:rsid w:val="00443DF9"/>
    <w:rsid w:val="00445B26"/>
    <w:rsid w:val="0045178E"/>
    <w:rsid w:val="00476047"/>
    <w:rsid w:val="00483767"/>
    <w:rsid w:val="00483F29"/>
    <w:rsid w:val="00490196"/>
    <w:rsid w:val="00495C9E"/>
    <w:rsid w:val="0049772F"/>
    <w:rsid w:val="004B31EC"/>
    <w:rsid w:val="004C389D"/>
    <w:rsid w:val="004D7341"/>
    <w:rsid w:val="004F764D"/>
    <w:rsid w:val="00507E58"/>
    <w:rsid w:val="005106CC"/>
    <w:rsid w:val="00522DB1"/>
    <w:rsid w:val="00541652"/>
    <w:rsid w:val="00543785"/>
    <w:rsid w:val="0054422C"/>
    <w:rsid w:val="00564946"/>
    <w:rsid w:val="0057052F"/>
    <w:rsid w:val="00574832"/>
    <w:rsid w:val="00582065"/>
    <w:rsid w:val="0059440D"/>
    <w:rsid w:val="00594C9B"/>
    <w:rsid w:val="0059574A"/>
    <w:rsid w:val="005967E4"/>
    <w:rsid w:val="005D73E3"/>
    <w:rsid w:val="005E2403"/>
    <w:rsid w:val="0060227D"/>
    <w:rsid w:val="00624525"/>
    <w:rsid w:val="00624767"/>
    <w:rsid w:val="006275A6"/>
    <w:rsid w:val="00634602"/>
    <w:rsid w:val="00634C1F"/>
    <w:rsid w:val="00644067"/>
    <w:rsid w:val="00651443"/>
    <w:rsid w:val="00654157"/>
    <w:rsid w:val="00673341"/>
    <w:rsid w:val="006911CF"/>
    <w:rsid w:val="006C4CFD"/>
    <w:rsid w:val="006C5623"/>
    <w:rsid w:val="006E1ABD"/>
    <w:rsid w:val="0070181D"/>
    <w:rsid w:val="007050D6"/>
    <w:rsid w:val="00711650"/>
    <w:rsid w:val="00712AFF"/>
    <w:rsid w:val="00715EF9"/>
    <w:rsid w:val="007206A5"/>
    <w:rsid w:val="0073744B"/>
    <w:rsid w:val="007827FF"/>
    <w:rsid w:val="00796110"/>
    <w:rsid w:val="007B25C0"/>
    <w:rsid w:val="007B2D96"/>
    <w:rsid w:val="007B52B6"/>
    <w:rsid w:val="007C4C2C"/>
    <w:rsid w:val="007D0319"/>
    <w:rsid w:val="007D1A1D"/>
    <w:rsid w:val="007E6A2B"/>
    <w:rsid w:val="007F6B33"/>
    <w:rsid w:val="00807A0B"/>
    <w:rsid w:val="00810123"/>
    <w:rsid w:val="00813E14"/>
    <w:rsid w:val="00862308"/>
    <w:rsid w:val="00865901"/>
    <w:rsid w:val="0088316F"/>
    <w:rsid w:val="00885C1F"/>
    <w:rsid w:val="00885FAC"/>
    <w:rsid w:val="00893707"/>
    <w:rsid w:val="008B079F"/>
    <w:rsid w:val="008B5A5C"/>
    <w:rsid w:val="008D04D8"/>
    <w:rsid w:val="008D14F6"/>
    <w:rsid w:val="008D567E"/>
    <w:rsid w:val="008E00B4"/>
    <w:rsid w:val="008E0B27"/>
    <w:rsid w:val="0091294D"/>
    <w:rsid w:val="00935A7D"/>
    <w:rsid w:val="009709F4"/>
    <w:rsid w:val="00970E07"/>
    <w:rsid w:val="009A077F"/>
    <w:rsid w:val="009D1355"/>
    <w:rsid w:val="009D6434"/>
    <w:rsid w:val="009E11A1"/>
    <w:rsid w:val="009E2BF3"/>
    <w:rsid w:val="009E58DC"/>
    <w:rsid w:val="009F1DCD"/>
    <w:rsid w:val="00A1670A"/>
    <w:rsid w:val="00A33703"/>
    <w:rsid w:val="00A64CDF"/>
    <w:rsid w:val="00A749CE"/>
    <w:rsid w:val="00A82764"/>
    <w:rsid w:val="00A84039"/>
    <w:rsid w:val="00A90F51"/>
    <w:rsid w:val="00A93699"/>
    <w:rsid w:val="00A95A29"/>
    <w:rsid w:val="00AA06E8"/>
    <w:rsid w:val="00AA1B34"/>
    <w:rsid w:val="00AB2AC9"/>
    <w:rsid w:val="00AC1D47"/>
    <w:rsid w:val="00AC4D7E"/>
    <w:rsid w:val="00AE44DD"/>
    <w:rsid w:val="00AE7102"/>
    <w:rsid w:val="00AE7C87"/>
    <w:rsid w:val="00B03F68"/>
    <w:rsid w:val="00B15DBB"/>
    <w:rsid w:val="00B17FDA"/>
    <w:rsid w:val="00B31914"/>
    <w:rsid w:val="00B356EC"/>
    <w:rsid w:val="00B374DD"/>
    <w:rsid w:val="00B61BFC"/>
    <w:rsid w:val="00B64294"/>
    <w:rsid w:val="00B73E1F"/>
    <w:rsid w:val="00B7476D"/>
    <w:rsid w:val="00B83BB8"/>
    <w:rsid w:val="00B91838"/>
    <w:rsid w:val="00BA3F6B"/>
    <w:rsid w:val="00BC147A"/>
    <w:rsid w:val="00BC6CB8"/>
    <w:rsid w:val="00BF25DA"/>
    <w:rsid w:val="00BF3B86"/>
    <w:rsid w:val="00BF70E9"/>
    <w:rsid w:val="00C12E16"/>
    <w:rsid w:val="00C24A3C"/>
    <w:rsid w:val="00C44D3C"/>
    <w:rsid w:val="00C772A1"/>
    <w:rsid w:val="00C93E9B"/>
    <w:rsid w:val="00CA0483"/>
    <w:rsid w:val="00CB3A07"/>
    <w:rsid w:val="00CB706A"/>
    <w:rsid w:val="00CC59A2"/>
    <w:rsid w:val="00CC6DBE"/>
    <w:rsid w:val="00CE69AA"/>
    <w:rsid w:val="00CE7896"/>
    <w:rsid w:val="00CF1212"/>
    <w:rsid w:val="00D05218"/>
    <w:rsid w:val="00D16D0A"/>
    <w:rsid w:val="00D22BF6"/>
    <w:rsid w:val="00D264BB"/>
    <w:rsid w:val="00D37C4A"/>
    <w:rsid w:val="00D43602"/>
    <w:rsid w:val="00D52929"/>
    <w:rsid w:val="00D6144E"/>
    <w:rsid w:val="00D70FD4"/>
    <w:rsid w:val="00D75452"/>
    <w:rsid w:val="00D77B5B"/>
    <w:rsid w:val="00D84AF5"/>
    <w:rsid w:val="00D92F5F"/>
    <w:rsid w:val="00D948EC"/>
    <w:rsid w:val="00D94D40"/>
    <w:rsid w:val="00DA02AE"/>
    <w:rsid w:val="00DA44B9"/>
    <w:rsid w:val="00DA7E9C"/>
    <w:rsid w:val="00DC3C4D"/>
    <w:rsid w:val="00DC5A00"/>
    <w:rsid w:val="00DE61EB"/>
    <w:rsid w:val="00DF223E"/>
    <w:rsid w:val="00DF262C"/>
    <w:rsid w:val="00E0715A"/>
    <w:rsid w:val="00E441A0"/>
    <w:rsid w:val="00E65E7D"/>
    <w:rsid w:val="00E666D3"/>
    <w:rsid w:val="00E71E42"/>
    <w:rsid w:val="00E75609"/>
    <w:rsid w:val="00E832EA"/>
    <w:rsid w:val="00E90361"/>
    <w:rsid w:val="00E94494"/>
    <w:rsid w:val="00EA2317"/>
    <w:rsid w:val="00EB25AB"/>
    <w:rsid w:val="00EC6152"/>
    <w:rsid w:val="00ED0FA2"/>
    <w:rsid w:val="00ED3EC4"/>
    <w:rsid w:val="00ED51B6"/>
    <w:rsid w:val="00EE0830"/>
    <w:rsid w:val="00EE7C83"/>
    <w:rsid w:val="00EF2023"/>
    <w:rsid w:val="00F000EB"/>
    <w:rsid w:val="00F005E6"/>
    <w:rsid w:val="00F16EEC"/>
    <w:rsid w:val="00F25611"/>
    <w:rsid w:val="00F313C0"/>
    <w:rsid w:val="00F52534"/>
    <w:rsid w:val="00F65C33"/>
    <w:rsid w:val="00F711F5"/>
    <w:rsid w:val="00F77620"/>
    <w:rsid w:val="00F837EF"/>
    <w:rsid w:val="00F85D99"/>
    <w:rsid w:val="00F94761"/>
    <w:rsid w:val="00FA2C80"/>
    <w:rsid w:val="00FB1C71"/>
    <w:rsid w:val="00FB2693"/>
    <w:rsid w:val="00FC4108"/>
    <w:rsid w:val="00FD4D82"/>
    <w:rsid w:val="00FE049F"/>
    <w:rsid w:val="00FE2F50"/>
    <w:rsid w:val="00FE4896"/>
    <w:rsid w:val="00FF221C"/>
    <w:rsid w:val="00FF4AF4"/>
    <w:rsid w:val="03CB910A"/>
    <w:rsid w:val="0D94CFFC"/>
    <w:rsid w:val="1D76A98B"/>
    <w:rsid w:val="3502A9D6"/>
    <w:rsid w:val="380BA290"/>
    <w:rsid w:val="3C44849C"/>
    <w:rsid w:val="3CD1B4B7"/>
    <w:rsid w:val="3D29C78A"/>
    <w:rsid w:val="451E5EB5"/>
    <w:rsid w:val="49E1EEE3"/>
    <w:rsid w:val="54F1F5CA"/>
    <w:rsid w:val="76241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46C36"/>
  <w15:chartTrackingRefBased/>
  <w15:docId w15:val="{FF5DE9B8-05B1-4989-8CB6-F23ADE53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3744B"/>
    <w:pPr>
      <w:spacing w:after="0" w:line="240" w:lineRule="auto"/>
    </w:pPr>
    <w:rPr>
      <w:rFonts w:ascii="Times New Roman" w:hAnsi="Times New Roman" w:eastAsia="Times New Roman" w:cs="Times New Roman"/>
      <w:kern w:val="0"/>
      <w:sz w:val="18"/>
      <w:szCs w:val="18"/>
      <w:lang w:val="en-US" w:eastAsia="tr-TR"/>
      <w14:ligatures w14:val="none"/>
    </w:rPr>
  </w:style>
  <w:style w:type="paragraph" w:styleId="Heading1">
    <w:name w:val="heading 1"/>
    <w:basedOn w:val="Normal"/>
    <w:next w:val="Normal"/>
    <w:link w:val="Heading1Char"/>
    <w:uiPriority w:val="9"/>
    <w:qFormat/>
    <w:rsid w:val="0073744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44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4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4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4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4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44B"/>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3744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3744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3744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3744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3744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3744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3744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3744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3744B"/>
    <w:rPr>
      <w:rFonts w:eastAsiaTheme="majorEastAsia" w:cstheme="majorBidi"/>
      <w:color w:val="272727" w:themeColor="text1" w:themeTint="D8"/>
    </w:rPr>
  </w:style>
  <w:style w:type="paragraph" w:styleId="Title">
    <w:name w:val="Title"/>
    <w:basedOn w:val="Normal"/>
    <w:next w:val="Normal"/>
    <w:link w:val="TitleChar"/>
    <w:uiPriority w:val="10"/>
    <w:qFormat/>
    <w:rsid w:val="0073744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3744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3744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37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44B"/>
    <w:pPr>
      <w:spacing w:before="160"/>
      <w:jc w:val="center"/>
    </w:pPr>
    <w:rPr>
      <w:i/>
      <w:iCs/>
      <w:color w:val="404040" w:themeColor="text1" w:themeTint="BF"/>
    </w:rPr>
  </w:style>
  <w:style w:type="character" w:styleId="QuoteChar" w:customStyle="1">
    <w:name w:val="Quote Char"/>
    <w:basedOn w:val="DefaultParagraphFont"/>
    <w:link w:val="Quote"/>
    <w:uiPriority w:val="29"/>
    <w:rsid w:val="0073744B"/>
    <w:rPr>
      <w:i/>
      <w:iCs/>
      <w:color w:val="404040" w:themeColor="text1" w:themeTint="BF"/>
    </w:rPr>
  </w:style>
  <w:style w:type="paragraph" w:styleId="ListParagraph">
    <w:name w:val="List Paragraph"/>
    <w:basedOn w:val="Normal"/>
    <w:uiPriority w:val="34"/>
    <w:qFormat/>
    <w:rsid w:val="0073744B"/>
    <w:pPr>
      <w:ind w:left="720"/>
      <w:contextualSpacing/>
    </w:pPr>
  </w:style>
  <w:style w:type="character" w:styleId="IntenseEmphasis">
    <w:name w:val="Intense Emphasis"/>
    <w:basedOn w:val="DefaultParagraphFont"/>
    <w:uiPriority w:val="21"/>
    <w:qFormat/>
    <w:rsid w:val="0073744B"/>
    <w:rPr>
      <w:i/>
      <w:iCs/>
      <w:color w:val="0F4761" w:themeColor="accent1" w:themeShade="BF"/>
    </w:rPr>
  </w:style>
  <w:style w:type="paragraph" w:styleId="IntenseQuote">
    <w:name w:val="Intense Quote"/>
    <w:basedOn w:val="Normal"/>
    <w:next w:val="Normal"/>
    <w:link w:val="IntenseQuoteChar"/>
    <w:uiPriority w:val="30"/>
    <w:qFormat/>
    <w:rsid w:val="0073744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3744B"/>
    <w:rPr>
      <w:i/>
      <w:iCs/>
      <w:color w:val="0F4761" w:themeColor="accent1" w:themeShade="BF"/>
    </w:rPr>
  </w:style>
  <w:style w:type="character" w:styleId="IntenseReference">
    <w:name w:val="Intense Reference"/>
    <w:basedOn w:val="DefaultParagraphFont"/>
    <w:uiPriority w:val="32"/>
    <w:qFormat/>
    <w:rsid w:val="0073744B"/>
    <w:rPr>
      <w:b/>
      <w:bCs/>
      <w:smallCaps/>
      <w:color w:val="0F4761" w:themeColor="accent1" w:themeShade="BF"/>
      <w:spacing w:val="5"/>
    </w:rPr>
  </w:style>
  <w:style w:type="paragraph" w:styleId="Header">
    <w:name w:val="header"/>
    <w:basedOn w:val="Normal"/>
    <w:link w:val="HeaderChar"/>
    <w:uiPriority w:val="99"/>
    <w:unhideWhenUsed/>
    <w:rsid w:val="0073744B"/>
    <w:pPr>
      <w:tabs>
        <w:tab w:val="center" w:pos="4513"/>
        <w:tab w:val="right" w:pos="9026"/>
      </w:tabs>
    </w:pPr>
  </w:style>
  <w:style w:type="character" w:styleId="HeaderChar" w:customStyle="1">
    <w:name w:val="Header Char"/>
    <w:basedOn w:val="DefaultParagraphFont"/>
    <w:link w:val="Header"/>
    <w:uiPriority w:val="99"/>
    <w:rsid w:val="0073744B"/>
  </w:style>
  <w:style w:type="paragraph" w:styleId="Footer">
    <w:name w:val="footer"/>
    <w:basedOn w:val="Normal"/>
    <w:link w:val="FooterChar"/>
    <w:uiPriority w:val="99"/>
    <w:unhideWhenUsed/>
    <w:rsid w:val="0073744B"/>
    <w:pPr>
      <w:tabs>
        <w:tab w:val="center" w:pos="4513"/>
        <w:tab w:val="right" w:pos="9026"/>
      </w:tabs>
    </w:pPr>
  </w:style>
  <w:style w:type="character" w:styleId="FooterChar" w:customStyle="1">
    <w:name w:val="Footer Char"/>
    <w:basedOn w:val="DefaultParagraphFont"/>
    <w:link w:val="Footer"/>
    <w:uiPriority w:val="99"/>
    <w:rsid w:val="0073744B"/>
  </w:style>
  <w:style w:type="character" w:styleId="Hyperlink">
    <w:name w:val="Hyperlink"/>
    <w:uiPriority w:val="99"/>
    <w:rsid w:val="0073744B"/>
    <w:rPr>
      <w:rFonts w:cs="Times New Roman"/>
      <w:color w:val="0000FF"/>
      <w:u w:val="single"/>
    </w:rPr>
  </w:style>
  <w:style w:type="paragraph" w:styleId="Revision">
    <w:name w:val="Revision"/>
    <w:hidden/>
    <w:uiPriority w:val="99"/>
    <w:semiHidden/>
    <w:rsid w:val="00B15DBB"/>
    <w:pPr>
      <w:spacing w:after="0" w:line="240" w:lineRule="auto"/>
    </w:pPr>
    <w:rPr>
      <w:rFonts w:ascii="Times New Roman" w:hAnsi="Times New Roman" w:eastAsia="Times New Roman" w:cs="Times New Roman"/>
      <w:kern w:val="0"/>
      <w:sz w:val="18"/>
      <w:szCs w:val="18"/>
      <w:lang w:val="tr-TR" w:eastAsia="tr-TR"/>
      <w14:ligatures w14:val="none"/>
    </w:rPr>
  </w:style>
  <w:style w:type="character" w:styleId="CommentReference">
    <w:name w:val="annotation reference"/>
    <w:basedOn w:val="DefaultParagraphFont"/>
    <w:uiPriority w:val="99"/>
    <w:rsid w:val="00C44D3C"/>
    <w:rPr>
      <w:sz w:val="16"/>
      <w:szCs w:val="16"/>
    </w:rPr>
  </w:style>
  <w:style w:type="paragraph" w:styleId="CommentText">
    <w:name w:val="annotation text"/>
    <w:basedOn w:val="Normal"/>
    <w:link w:val="CommentTextChar"/>
    <w:rsid w:val="00C44D3C"/>
    <w:pPr>
      <w:suppressAutoHyphens/>
      <w:autoSpaceDN w:val="0"/>
      <w:textAlignment w:val="baseline"/>
    </w:pPr>
    <w:rPr>
      <w:rFonts w:ascii="ApexSansBookT" w:hAnsi="ApexSansBookT" w:eastAsia="Calibri" w:cs="Arial"/>
      <w:sz w:val="20"/>
      <w:szCs w:val="20"/>
      <w:lang w:eastAsia="en-US"/>
    </w:rPr>
  </w:style>
  <w:style w:type="character" w:styleId="CommentTextChar" w:customStyle="1">
    <w:name w:val="Comment Text Char"/>
    <w:basedOn w:val="DefaultParagraphFont"/>
    <w:link w:val="CommentText"/>
    <w:rsid w:val="00C44D3C"/>
    <w:rPr>
      <w:rFonts w:ascii="ApexSansBookT" w:hAnsi="ApexSansBookT" w:eastAsia="Calibri" w:cs="Arial"/>
      <w:kern w:val="0"/>
      <w:sz w:val="20"/>
      <w:szCs w:val="20"/>
      <w:lang w:val="en-US"/>
      <w14:ligatures w14:val="none"/>
    </w:rPr>
  </w:style>
  <w:style w:type="character" w:styleId="UnresolvedMention">
    <w:name w:val="Unresolved Mention"/>
    <w:basedOn w:val="DefaultParagraphFont"/>
    <w:uiPriority w:val="99"/>
    <w:semiHidden/>
    <w:unhideWhenUsed/>
    <w:rsid w:val="00C44D3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35944"/>
    <w:pPr>
      <w:suppressAutoHyphens w:val="0"/>
      <w:autoSpaceDN/>
      <w:textAlignment w:val="auto"/>
    </w:pPr>
    <w:rPr>
      <w:rFonts w:ascii="Times New Roman" w:hAnsi="Times New Roman" w:eastAsia="Times New Roman" w:cs="Times New Roman"/>
      <w:b/>
      <w:bCs/>
      <w:lang w:val="tr-TR" w:eastAsia="tr-TR"/>
    </w:rPr>
  </w:style>
  <w:style w:type="character" w:styleId="CommentSubjectChar" w:customStyle="1">
    <w:name w:val="Comment Subject Char"/>
    <w:basedOn w:val="CommentTextChar"/>
    <w:link w:val="CommentSubject"/>
    <w:uiPriority w:val="99"/>
    <w:semiHidden/>
    <w:rsid w:val="00035944"/>
    <w:rPr>
      <w:rFonts w:ascii="Times New Roman" w:hAnsi="Times New Roman" w:eastAsia="Times New Roman" w:cs="Times New Roman"/>
      <w:b/>
      <w:bCs/>
      <w:kern w:val="0"/>
      <w:sz w:val="20"/>
      <w:szCs w:val="20"/>
      <w:lang w:val="tr-TR" w:eastAsia="tr-TR"/>
      <w14:ligatures w14:val="none"/>
    </w:rPr>
  </w:style>
  <w:style w:type="character" w:styleId="CommentTextChar1" w:customStyle="1">
    <w:name w:val="Comment Text Char1"/>
    <w:basedOn w:val="DefaultParagraphFont"/>
    <w:uiPriority w:val="99"/>
    <w:rsid w:val="006911CF"/>
    <w:rPr>
      <w:rFonts w:ascii="ApexSansBookT" w:hAnsi="ApexSansBook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34" /><Relationship Type="http://schemas.openxmlformats.org/officeDocument/2006/relationships/footer" Target="footer1.xml" Id="rId33" /><Relationship Type="http://schemas.openxmlformats.org/officeDocument/2006/relationships/customXml" Target="../customXml/item3.xml" Id="rId38"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32" /><Relationship Type="http://schemas.openxmlformats.org/officeDocument/2006/relationships/customXml" Target="../customXml/item2.xml" Id="rId37" /><Relationship Type="http://schemas.openxmlformats.org/officeDocument/2006/relationships/footnotes" Target="footnotes.xml" Id="rId5" /><Relationship Type="http://schemas.openxmlformats.org/officeDocument/2006/relationships/customXml" Target="../customXml/item1.xml" Id="rId36" /><Relationship Type="http://schemas.openxmlformats.org/officeDocument/2006/relationships/webSettings" Target="webSettings.xml" Id="rId4" /><Relationship Type="http://schemas.openxmlformats.org/officeDocument/2006/relationships/theme" Target="theme/theme1.xml" Id="rId35" /><Relationship Type="http://schemas.openxmlformats.org/officeDocument/2006/relationships/settings" Target="settings.xml" Id="rId3" /><Relationship Type="http://schemas.openxmlformats.org/officeDocument/2006/relationships/hyperlink" Target="https://www.turkishairlines.com/" TargetMode="External" Id="R28c2c4bb9b564147" /></Relationships>
</file>

<file path=word/_rels/footer1.xml.rels><?xml version="1.0" encoding="UTF-8" standalone="yes"?>
<Relationships xmlns="http://schemas.openxmlformats.org/package/2006/relationships"><Relationship Id="rId2" Type="http://schemas.openxmlformats.org/officeDocument/2006/relationships/hyperlink" Target="mailto:press@thy.com" TargetMode="External"/><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26D380-5430-43FC-B886-098F88C099D0}"/>
</file>

<file path=customXml/itemProps2.xml><?xml version="1.0" encoding="utf-8"?>
<ds:datastoreItem xmlns:ds="http://schemas.openxmlformats.org/officeDocument/2006/customXml" ds:itemID="{2F388747-B922-4438-8A8B-90A66BC8D7B8}"/>
</file>

<file path=customXml/itemProps3.xml><?xml version="1.0" encoding="utf-8"?>
<ds:datastoreItem xmlns:ds="http://schemas.openxmlformats.org/officeDocument/2006/customXml" ds:itemID="{95EA3423-7D1F-49EB-AEF0-9AAF86A37D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Ismail Selim Essiz</dc:creator>
  <keywords/>
  <dc:description/>
  <lastModifiedBy>Guest User</lastModifiedBy>
  <revision>4</revision>
  <dcterms:created xsi:type="dcterms:W3CDTF">2026-10-16T06:39:00.0000000Z</dcterms:created>
  <dcterms:modified xsi:type="dcterms:W3CDTF">2026-11-05T21:43:12.0363191Z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