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12" w:rsidRDefault="004C0112">
      <w:pPr>
        <w:rPr>
          <w:rFonts w:cstheme="minorHAnsi"/>
          <w:color w:val="808080" w:themeColor="background1" w:themeShade="80"/>
        </w:rPr>
      </w:pPr>
    </w:p>
    <w:p w:rsidR="0075278D" w:rsidRDefault="0075278D" w:rsidP="0075278D">
      <w:pPr>
        <w:spacing w:after="0" w:line="240" w:lineRule="auto"/>
        <w:rPr>
          <w:rFonts w:cstheme="minorHAnsi"/>
          <w:color w:val="808080" w:themeColor="background1" w:themeShade="80"/>
        </w:rPr>
      </w:pPr>
    </w:p>
    <w:p w:rsidR="004C0112" w:rsidRPr="00E269EE" w:rsidRDefault="004C0112" w:rsidP="004C0112">
      <w:pPr>
        <w:rPr>
          <w:b/>
          <w:sz w:val="28"/>
          <w:szCs w:val="28"/>
        </w:rPr>
      </w:pPr>
      <w:r w:rsidRPr="00E269EE">
        <w:rPr>
          <w:b/>
          <w:sz w:val="28"/>
          <w:szCs w:val="28"/>
        </w:rPr>
        <w:t xml:space="preserve">Bijlage 1: </w:t>
      </w:r>
      <w:bookmarkStart w:id="0" w:name="_GoBack"/>
      <w:r w:rsidRPr="00E269EE">
        <w:rPr>
          <w:b/>
          <w:sz w:val="28"/>
          <w:szCs w:val="28"/>
        </w:rPr>
        <w:t xml:space="preserve">Het onderzoek en de restauratie van ‘De kunstkamer van Cornelis van der Geest’ in detail  </w:t>
      </w:r>
    </w:p>
    <w:bookmarkEnd w:id="0"/>
    <w:p w:rsidR="004C0112" w:rsidRPr="00E269EE" w:rsidRDefault="004C0112" w:rsidP="004C0112">
      <w:pPr>
        <w:rPr>
          <w:b/>
          <w:sz w:val="20"/>
          <w:szCs w:val="20"/>
        </w:rPr>
      </w:pPr>
      <w:r w:rsidRPr="00E269EE">
        <w:rPr>
          <w:b/>
          <w:sz w:val="20"/>
          <w:szCs w:val="20"/>
        </w:rPr>
        <w:t>Na een complexe restauratie van ruim twee jaar hangt ‘De</w:t>
      </w:r>
      <w:r w:rsidRPr="00E269EE">
        <w:rPr>
          <w:b/>
          <w:i/>
          <w:sz w:val="20"/>
          <w:szCs w:val="20"/>
        </w:rPr>
        <w:t xml:space="preserve"> </w:t>
      </w:r>
      <w:r w:rsidRPr="00E269EE">
        <w:rPr>
          <w:b/>
          <w:sz w:val="20"/>
          <w:szCs w:val="20"/>
        </w:rPr>
        <w:t>kunstkamer van Cornelis van der Geest’ terug in het Rubenshuis. Het internationaal topstuk uit de eigen collectie kreeg in het Koninklijk Instituut voor het Kunstpatrimonium (KIK) een integrale conservatie- en restauratiebehandeling. Dankzij een zorgvuldige restauratie van het houten paneel, een vooruitstrevende ondersteuning aan de achterzijde en een bescherming op maat, is de duurzame bewaring van dit topstuk verzekerd voor toekomstige generaties.</w:t>
      </w:r>
    </w:p>
    <w:p w:rsidR="004C0112" w:rsidRPr="00E269EE" w:rsidRDefault="004C0112" w:rsidP="004C0112">
      <w:pPr>
        <w:rPr>
          <w:sz w:val="20"/>
          <w:szCs w:val="20"/>
        </w:rPr>
      </w:pPr>
      <w:r w:rsidRPr="00E269EE">
        <w:rPr>
          <w:sz w:val="20"/>
          <w:szCs w:val="20"/>
        </w:rPr>
        <w:t xml:space="preserve">In 2009 wijdde het Rubenshuis de tentoonstelling </w:t>
      </w:r>
      <w:r w:rsidRPr="00E269EE">
        <w:rPr>
          <w:i/>
          <w:sz w:val="20"/>
          <w:szCs w:val="20"/>
        </w:rPr>
        <w:t>Kamers vol Kunst</w:t>
      </w:r>
      <w:r w:rsidRPr="00E269EE">
        <w:rPr>
          <w:sz w:val="20"/>
          <w:szCs w:val="20"/>
        </w:rPr>
        <w:t xml:space="preserve"> aan het schilderij en het unieke genre van de kunstkamers. </w:t>
      </w:r>
      <w:r w:rsidRPr="00E269EE">
        <w:rPr>
          <w:i/>
          <w:sz w:val="20"/>
          <w:szCs w:val="20"/>
        </w:rPr>
        <w:t>De kunstkamer van Cornelis van der Geest</w:t>
      </w:r>
      <w:r w:rsidRPr="00E269EE">
        <w:rPr>
          <w:sz w:val="20"/>
          <w:szCs w:val="20"/>
        </w:rPr>
        <w:t xml:space="preserve"> werd hiervoor speciaal gerestaureerd. De focus lag toen op de verflaag en de inlijsting. Rond het schilderij kwam een </w:t>
      </w:r>
      <w:proofErr w:type="spellStart"/>
      <w:r w:rsidRPr="00E269EE">
        <w:rPr>
          <w:sz w:val="20"/>
          <w:szCs w:val="20"/>
        </w:rPr>
        <w:t>klimaatbox</w:t>
      </w:r>
      <w:proofErr w:type="spellEnd"/>
      <w:r w:rsidRPr="00E269EE">
        <w:rPr>
          <w:sz w:val="20"/>
          <w:szCs w:val="20"/>
        </w:rPr>
        <w:t xml:space="preserve"> om de stabiliteit van het houten paneel te vergroten. </w:t>
      </w:r>
    </w:p>
    <w:p w:rsidR="004C0112" w:rsidRPr="00E269EE" w:rsidRDefault="004C0112" w:rsidP="004C0112">
      <w:pPr>
        <w:rPr>
          <w:b/>
          <w:sz w:val="20"/>
          <w:szCs w:val="20"/>
        </w:rPr>
      </w:pPr>
      <w:r w:rsidRPr="00E269EE">
        <w:rPr>
          <w:b/>
          <w:sz w:val="20"/>
          <w:szCs w:val="20"/>
        </w:rPr>
        <w:t>Restauratie na restauratie</w:t>
      </w:r>
    </w:p>
    <w:p w:rsidR="004C0112" w:rsidRPr="00E269EE" w:rsidRDefault="004C0112" w:rsidP="004C0112">
      <w:pPr>
        <w:rPr>
          <w:sz w:val="20"/>
          <w:szCs w:val="20"/>
        </w:rPr>
      </w:pPr>
      <w:r w:rsidRPr="00E269EE">
        <w:rPr>
          <w:sz w:val="20"/>
          <w:szCs w:val="20"/>
        </w:rPr>
        <w:t xml:space="preserve">Ondanks die maatregelen verschenen tien jaar later op verschillende plaatsen opnieuw barsten, verfopstuwingen en craquelures. Het grote probleem was de drager zelf. Het eikenhouten paneel is opgebouwd uit zeven horizontale en één verticale plank die in tegengestelde richting krimpen en uitzetten. Deze complexe structuur veroorzaakt spanningen in het paneel met barsten tot gevolg. </w:t>
      </w:r>
    </w:p>
    <w:p w:rsidR="004C0112" w:rsidRPr="00E269EE" w:rsidRDefault="004C0112" w:rsidP="004C0112">
      <w:pPr>
        <w:rPr>
          <w:sz w:val="20"/>
          <w:szCs w:val="20"/>
        </w:rPr>
      </w:pPr>
      <w:r w:rsidRPr="00E269EE">
        <w:rPr>
          <w:sz w:val="20"/>
          <w:szCs w:val="20"/>
        </w:rPr>
        <w:t>Uit het onderzoek tijdens de restauratie blijkt dat de centrale voeg het al in de 18de eeuw moet hebben begeven. In de 19de en 20ste eeuw werden al verschillende pogingen ondernomen om het paneel te stabiliseren. Helaas resulteerden deze ingrepen in de verdere achteruitgang van het schilderij. Rond 1850 bracht men een niet-flexibele houten lattenstructuur aan op de achterzijde van het paneel, een zogenaamde ‘parkettering’. Het systeem belemmerde echter het natuurlijke zwel- en krimpgedrag van de planken en veroorzaakte in combinatie met klimaatschommelingen nog meer barsten. In 1970 werd de parkettering vervangen door klampen. Ook die houten blokjes gaven het gehavende paneel te weinig ondersteuning en bewegingsvrijheid met zichtbare schade in de verflaag tot gevolg.</w:t>
      </w:r>
    </w:p>
    <w:p w:rsidR="004C0112" w:rsidRPr="00E269EE" w:rsidRDefault="004C0112" w:rsidP="004C0112">
      <w:pPr>
        <w:rPr>
          <w:b/>
          <w:sz w:val="20"/>
          <w:szCs w:val="20"/>
        </w:rPr>
      </w:pPr>
      <w:r w:rsidRPr="00E269EE">
        <w:rPr>
          <w:b/>
          <w:sz w:val="20"/>
          <w:szCs w:val="20"/>
        </w:rPr>
        <w:t>Een duurzame restauratie</w:t>
      </w:r>
    </w:p>
    <w:p w:rsidR="004C0112" w:rsidRPr="00E269EE" w:rsidRDefault="004C0112" w:rsidP="004C0112">
      <w:pPr>
        <w:rPr>
          <w:sz w:val="20"/>
          <w:szCs w:val="20"/>
        </w:rPr>
      </w:pPr>
      <w:r w:rsidRPr="00E269EE">
        <w:rPr>
          <w:sz w:val="20"/>
          <w:szCs w:val="20"/>
        </w:rPr>
        <w:t xml:space="preserve">Een duurzame oplossing, die rekening houdt met de bewegingen in het paneel zelf, drong zich op. Op 1 april 2019 vertrok het topstuk van Willem van </w:t>
      </w:r>
      <w:proofErr w:type="spellStart"/>
      <w:r w:rsidRPr="00E269EE">
        <w:rPr>
          <w:sz w:val="20"/>
          <w:szCs w:val="20"/>
        </w:rPr>
        <w:t>Haecht</w:t>
      </w:r>
      <w:proofErr w:type="spellEnd"/>
      <w:r w:rsidRPr="00E269EE">
        <w:rPr>
          <w:sz w:val="20"/>
          <w:szCs w:val="20"/>
        </w:rPr>
        <w:t xml:space="preserve"> naar het Koninklijk Instituut voor het Kunstpatrimonium (KIK) in Brussel voor onderzoek en restauratie door </w:t>
      </w:r>
      <w:proofErr w:type="spellStart"/>
      <w:r w:rsidRPr="00E269EE">
        <w:rPr>
          <w:sz w:val="20"/>
          <w:szCs w:val="20"/>
        </w:rPr>
        <w:t>paneelexperte</w:t>
      </w:r>
      <w:proofErr w:type="spellEnd"/>
      <w:r w:rsidRPr="00E269EE">
        <w:rPr>
          <w:sz w:val="20"/>
          <w:szCs w:val="20"/>
        </w:rPr>
        <w:t xml:space="preserve"> Aline </w:t>
      </w:r>
      <w:proofErr w:type="spellStart"/>
      <w:r w:rsidRPr="00E269EE">
        <w:rPr>
          <w:sz w:val="20"/>
          <w:szCs w:val="20"/>
        </w:rPr>
        <w:t>Genbrugge</w:t>
      </w:r>
      <w:proofErr w:type="spellEnd"/>
      <w:r w:rsidRPr="00E269EE">
        <w:rPr>
          <w:sz w:val="20"/>
          <w:szCs w:val="20"/>
        </w:rPr>
        <w:t>. Als Vlaams Topstuk kon het schilderij hiervoor rekenen op subsidies van de Vlaamse Gemeenschap.</w:t>
      </w:r>
    </w:p>
    <w:p w:rsidR="004C0112" w:rsidRPr="00E269EE" w:rsidRDefault="004C0112" w:rsidP="004C0112">
      <w:pPr>
        <w:rPr>
          <w:b/>
          <w:sz w:val="20"/>
          <w:szCs w:val="20"/>
        </w:rPr>
      </w:pPr>
      <w:r w:rsidRPr="00E269EE">
        <w:rPr>
          <w:b/>
          <w:sz w:val="20"/>
          <w:szCs w:val="20"/>
        </w:rPr>
        <w:t>Het onderzoek en de ontdekkingen</w:t>
      </w:r>
    </w:p>
    <w:p w:rsidR="00922B8E" w:rsidRDefault="004C0112" w:rsidP="004C0112">
      <w:pPr>
        <w:rPr>
          <w:sz w:val="20"/>
          <w:szCs w:val="20"/>
        </w:rPr>
      </w:pPr>
      <w:r w:rsidRPr="00E269EE">
        <w:rPr>
          <w:sz w:val="20"/>
          <w:szCs w:val="20"/>
        </w:rPr>
        <w:t>Het KIK onderwierp het schilderij eerst aan een uitgebreid onderzoek om zo de totstandkoming en fysieke geschiedenis van het werk in kaart te brengen. Het multidisciplinair onderzoek – met visuele analyse, beeldvorming (UV, IR, RX scans), labo-onderzoek en chemische beeldvorming (ma-</w:t>
      </w:r>
      <w:proofErr w:type="spellStart"/>
      <w:r w:rsidRPr="00E269EE">
        <w:rPr>
          <w:sz w:val="20"/>
          <w:szCs w:val="20"/>
        </w:rPr>
        <w:t>xrf</w:t>
      </w:r>
      <w:proofErr w:type="spellEnd"/>
      <w:r w:rsidRPr="00E269EE">
        <w:rPr>
          <w:sz w:val="20"/>
          <w:szCs w:val="20"/>
        </w:rPr>
        <w:t xml:space="preserve"> scan) –bracht aan het licht dat het paneel tijdens de uitvoering vergroot werd met twee planken. Deze werden toegevoegd in de fase van de ondertekening, die op dat moment ook werd gewijzigd. De beeldvorming toont aan dat bijna elk afzonderlijk schilderijtje geschilderd werd op een </w:t>
      </w:r>
      <w:r w:rsidRPr="00E269EE">
        <w:rPr>
          <w:i/>
          <w:sz w:val="20"/>
          <w:szCs w:val="20"/>
        </w:rPr>
        <w:t>mise-en-</w:t>
      </w:r>
      <w:proofErr w:type="spellStart"/>
      <w:r w:rsidRPr="00E269EE">
        <w:rPr>
          <w:i/>
          <w:sz w:val="20"/>
          <w:szCs w:val="20"/>
        </w:rPr>
        <w:t>carreau</w:t>
      </w:r>
      <w:proofErr w:type="spellEnd"/>
      <w:r w:rsidRPr="00E269EE">
        <w:rPr>
          <w:sz w:val="20"/>
          <w:szCs w:val="20"/>
        </w:rPr>
        <w:t xml:space="preserve">, een raster om een afbeelding op schaal te brengen. De onderzoekers konden ook het vluchtpunt in de kunstkamer identificeren. De onzichtbare </w:t>
      </w:r>
    </w:p>
    <w:p w:rsidR="00922B8E" w:rsidRDefault="00922B8E" w:rsidP="004C0112">
      <w:pPr>
        <w:rPr>
          <w:sz w:val="20"/>
          <w:szCs w:val="20"/>
        </w:rPr>
      </w:pPr>
    </w:p>
    <w:p w:rsidR="004C0112" w:rsidRPr="00E269EE" w:rsidRDefault="004C0112" w:rsidP="004C0112">
      <w:pPr>
        <w:rPr>
          <w:sz w:val="20"/>
          <w:szCs w:val="20"/>
        </w:rPr>
      </w:pPr>
      <w:r w:rsidRPr="00E269EE">
        <w:rPr>
          <w:sz w:val="20"/>
          <w:szCs w:val="20"/>
        </w:rPr>
        <w:t xml:space="preserve">perspectieflijnen leiden de blik naar </w:t>
      </w:r>
      <w:r w:rsidRPr="00E269EE">
        <w:rPr>
          <w:i/>
          <w:sz w:val="20"/>
          <w:szCs w:val="20"/>
        </w:rPr>
        <w:t>De Amazonenslag</w:t>
      </w:r>
      <w:r w:rsidRPr="00E269EE">
        <w:rPr>
          <w:sz w:val="20"/>
          <w:szCs w:val="20"/>
        </w:rPr>
        <w:t xml:space="preserve"> van Rubens, een compositie die Rubens vermoedelijk in 1615 voor Van der Geest had geschilderd (nu te zien in de </w:t>
      </w:r>
      <w:proofErr w:type="spellStart"/>
      <w:r w:rsidRPr="00E269EE">
        <w:rPr>
          <w:sz w:val="20"/>
          <w:szCs w:val="20"/>
        </w:rPr>
        <w:t>Alte</w:t>
      </w:r>
      <w:proofErr w:type="spellEnd"/>
      <w:r w:rsidRPr="00E269EE">
        <w:rPr>
          <w:sz w:val="20"/>
          <w:szCs w:val="20"/>
        </w:rPr>
        <w:t xml:space="preserve"> </w:t>
      </w:r>
      <w:proofErr w:type="spellStart"/>
      <w:r w:rsidRPr="00E269EE">
        <w:rPr>
          <w:sz w:val="20"/>
          <w:szCs w:val="20"/>
        </w:rPr>
        <w:t>Pinakothek</w:t>
      </w:r>
      <w:proofErr w:type="spellEnd"/>
      <w:r w:rsidRPr="00E269EE">
        <w:rPr>
          <w:sz w:val="20"/>
          <w:szCs w:val="20"/>
        </w:rPr>
        <w:t xml:space="preserve"> in München). </w:t>
      </w:r>
    </w:p>
    <w:p w:rsidR="004C0112" w:rsidRPr="00E269EE" w:rsidRDefault="004C0112" w:rsidP="004C0112">
      <w:pPr>
        <w:rPr>
          <w:b/>
          <w:sz w:val="20"/>
          <w:szCs w:val="20"/>
        </w:rPr>
      </w:pPr>
      <w:r w:rsidRPr="00E269EE">
        <w:rPr>
          <w:b/>
          <w:sz w:val="20"/>
          <w:szCs w:val="20"/>
        </w:rPr>
        <w:t>De restauratie</w:t>
      </w:r>
    </w:p>
    <w:p w:rsidR="004C0112" w:rsidRPr="00E269EE" w:rsidRDefault="004C0112" w:rsidP="004C0112">
      <w:pPr>
        <w:rPr>
          <w:sz w:val="20"/>
          <w:szCs w:val="20"/>
        </w:rPr>
      </w:pPr>
      <w:r w:rsidRPr="00E269EE">
        <w:rPr>
          <w:sz w:val="20"/>
          <w:szCs w:val="20"/>
        </w:rPr>
        <w:t xml:space="preserve">In een eerste fase werd het schilderij ontdaan van alle latere toevoegingen. De verflaag werd zorgvuldig gereinigd, waardoor de frisse, originele kleuren weer zichtbaar zijn. Alle latere toevoegingen en restauraties werden stapsgewijs verwijderd: de latjes aan de buitenzijde, de houten blokjes (klampen) en een dikke waslaag aan de achterzijde  Ook de voegen en barsten werden gereinigd. Onder sommige oude vullingen kwam zelfs de originele verflaag opnieuw vrij. Zo kregen de ogen van Willem van </w:t>
      </w:r>
      <w:proofErr w:type="spellStart"/>
      <w:r w:rsidRPr="00E269EE">
        <w:rPr>
          <w:sz w:val="20"/>
          <w:szCs w:val="20"/>
        </w:rPr>
        <w:t>Haecht</w:t>
      </w:r>
      <w:proofErr w:type="spellEnd"/>
      <w:r w:rsidRPr="00E269EE">
        <w:rPr>
          <w:sz w:val="20"/>
          <w:szCs w:val="20"/>
        </w:rPr>
        <w:t>, die zichzelf vermoedelijk in de deuropening schilderde, hun originele kleur terug. Na reiniging werden de voegen en barsten verlijmd en opgevuld met kleine stukjes van een zachte houtsoort, waardoor geen extra druk ontstaat op de eiken planken.</w:t>
      </w:r>
    </w:p>
    <w:p w:rsidR="004C0112" w:rsidRPr="00E269EE" w:rsidRDefault="004C0112" w:rsidP="004C0112">
      <w:pPr>
        <w:rPr>
          <w:sz w:val="20"/>
          <w:szCs w:val="20"/>
        </w:rPr>
      </w:pPr>
      <w:r w:rsidRPr="00E269EE">
        <w:rPr>
          <w:sz w:val="20"/>
          <w:szCs w:val="20"/>
        </w:rPr>
        <w:t xml:space="preserve">De grootste uitdaging in het restauratieproces lag ongetwijfeld in de structurele ondersteuning van het paneel, die een gecontroleerde beweging van de houten planken mogelijk moest maken. Restaurator Aline </w:t>
      </w:r>
      <w:proofErr w:type="spellStart"/>
      <w:r w:rsidRPr="00E269EE">
        <w:rPr>
          <w:sz w:val="20"/>
          <w:szCs w:val="20"/>
        </w:rPr>
        <w:t>Genbrugge</w:t>
      </w:r>
      <w:proofErr w:type="spellEnd"/>
      <w:r w:rsidRPr="00E269EE">
        <w:rPr>
          <w:sz w:val="20"/>
          <w:szCs w:val="20"/>
        </w:rPr>
        <w:t xml:space="preserve"> ontwierp hiervoor een </w:t>
      </w:r>
      <w:r w:rsidRPr="00E269EE">
        <w:rPr>
          <w:b/>
          <w:sz w:val="20"/>
          <w:szCs w:val="20"/>
        </w:rPr>
        <w:t>flexibele secundaire drager</w:t>
      </w:r>
      <w:r w:rsidRPr="00E269EE">
        <w:rPr>
          <w:sz w:val="20"/>
          <w:szCs w:val="20"/>
        </w:rPr>
        <w:t xml:space="preserve"> met ‘</w:t>
      </w:r>
      <w:proofErr w:type="spellStart"/>
      <w:r w:rsidRPr="00E269EE">
        <w:rPr>
          <w:sz w:val="20"/>
          <w:szCs w:val="20"/>
        </w:rPr>
        <w:t>tapered</w:t>
      </w:r>
      <w:proofErr w:type="spellEnd"/>
      <w:r w:rsidRPr="00E269EE">
        <w:rPr>
          <w:sz w:val="20"/>
          <w:szCs w:val="20"/>
        </w:rPr>
        <w:t xml:space="preserve"> </w:t>
      </w:r>
      <w:proofErr w:type="spellStart"/>
      <w:r w:rsidRPr="00E269EE">
        <w:rPr>
          <w:sz w:val="20"/>
          <w:szCs w:val="20"/>
        </w:rPr>
        <w:t>battens</w:t>
      </w:r>
      <w:proofErr w:type="spellEnd"/>
      <w:r w:rsidRPr="00E269EE">
        <w:rPr>
          <w:sz w:val="20"/>
          <w:szCs w:val="20"/>
        </w:rPr>
        <w:t xml:space="preserve">’, een principe uit de luchtvaartsector. Dit vooruitstrevende systeem werd ontwikkeld aan het Hamilton Kerr Instituut (gelieerd aan het </w:t>
      </w:r>
      <w:proofErr w:type="spellStart"/>
      <w:r w:rsidRPr="00E269EE">
        <w:rPr>
          <w:sz w:val="20"/>
          <w:szCs w:val="20"/>
        </w:rPr>
        <w:t>Fitzwilliam</w:t>
      </w:r>
      <w:proofErr w:type="spellEnd"/>
      <w:r w:rsidRPr="00E269EE">
        <w:rPr>
          <w:sz w:val="20"/>
          <w:szCs w:val="20"/>
        </w:rPr>
        <w:t xml:space="preserve"> Museum) en de Universiteit van Cambridge en streeft naar een optimale flexibiliteit. Voor de kunstkamer is de drager op maat ontworpen in </w:t>
      </w:r>
      <w:proofErr w:type="spellStart"/>
      <w:r w:rsidRPr="00E269EE">
        <w:rPr>
          <w:sz w:val="20"/>
          <w:szCs w:val="20"/>
        </w:rPr>
        <w:t>sitkaspar</w:t>
      </w:r>
      <w:proofErr w:type="spellEnd"/>
      <w:r w:rsidRPr="00E269EE">
        <w:rPr>
          <w:sz w:val="20"/>
          <w:szCs w:val="20"/>
        </w:rPr>
        <w:t xml:space="preserve">. De hoge elasticiteit maakt deze houtsoort uitermate geschikt om de bewegingen van de planken op te vangen zonder blokkerend te werken. Tenslotte werd ook de verflaag opnieuw gerestaureerd en van een slotvernis voorzien. Het schilderij is opnieuw gestabiliseerd, zowel op niveau van de drager als op niveau van de verflaag. Een </w:t>
      </w:r>
      <w:r w:rsidRPr="00E269EE">
        <w:rPr>
          <w:b/>
          <w:sz w:val="20"/>
          <w:szCs w:val="20"/>
        </w:rPr>
        <w:t>flexibel inlijstingssysteem</w:t>
      </w:r>
      <w:r w:rsidRPr="00E269EE">
        <w:rPr>
          <w:sz w:val="20"/>
          <w:szCs w:val="20"/>
        </w:rPr>
        <w:t xml:space="preserve">, eveneens uitgevoerd in </w:t>
      </w:r>
      <w:proofErr w:type="spellStart"/>
      <w:r w:rsidRPr="00E269EE">
        <w:rPr>
          <w:sz w:val="20"/>
          <w:szCs w:val="20"/>
        </w:rPr>
        <w:t>sitkaspar</w:t>
      </w:r>
      <w:proofErr w:type="spellEnd"/>
      <w:r w:rsidRPr="00E269EE">
        <w:rPr>
          <w:sz w:val="20"/>
          <w:szCs w:val="20"/>
        </w:rPr>
        <w:t xml:space="preserve">, geef het paneel maximale bewegingsvrijheid. De </w:t>
      </w:r>
      <w:proofErr w:type="spellStart"/>
      <w:r w:rsidRPr="00E269EE">
        <w:rPr>
          <w:b/>
          <w:sz w:val="20"/>
          <w:szCs w:val="20"/>
        </w:rPr>
        <w:t>klimaatbox</w:t>
      </w:r>
      <w:proofErr w:type="spellEnd"/>
      <w:r w:rsidRPr="00E269EE">
        <w:rPr>
          <w:sz w:val="20"/>
          <w:szCs w:val="20"/>
        </w:rPr>
        <w:t>, die in de lijst ingewerkt is, beschermt het werk tegen klimaatschommelingen. Een draadloze logger monitort het klimaat in de box.</w:t>
      </w:r>
    </w:p>
    <w:p w:rsidR="004C0112" w:rsidRPr="00E269EE" w:rsidRDefault="004C0112" w:rsidP="004C0112">
      <w:pPr>
        <w:rPr>
          <w:b/>
          <w:sz w:val="20"/>
          <w:szCs w:val="20"/>
        </w:rPr>
      </w:pPr>
      <w:r w:rsidRPr="00E269EE">
        <w:rPr>
          <w:b/>
          <w:sz w:val="20"/>
          <w:szCs w:val="20"/>
        </w:rPr>
        <w:t xml:space="preserve">Duurzaam bewaard voor de toekomst </w:t>
      </w:r>
    </w:p>
    <w:p w:rsidR="004C0112" w:rsidRDefault="004C0112" w:rsidP="004C0112">
      <w:pPr>
        <w:rPr>
          <w:sz w:val="20"/>
          <w:szCs w:val="20"/>
        </w:rPr>
      </w:pPr>
      <w:r w:rsidRPr="00E269EE">
        <w:rPr>
          <w:sz w:val="20"/>
          <w:szCs w:val="20"/>
        </w:rPr>
        <w:t xml:space="preserve">Dankzij al deze duurzame conservatie-ingrepen is dit Vlaams en internationaal topstuk van het Rubenshuis opnieuw gestabiliseerd, zowel op niveau van de drager als op niveau van de verflaag. De flexibele drager, in combinatie met de </w:t>
      </w:r>
      <w:proofErr w:type="spellStart"/>
      <w:r w:rsidRPr="00E269EE">
        <w:rPr>
          <w:sz w:val="20"/>
          <w:szCs w:val="20"/>
        </w:rPr>
        <w:t>klimaatbox</w:t>
      </w:r>
      <w:proofErr w:type="spellEnd"/>
      <w:r w:rsidRPr="00E269EE">
        <w:rPr>
          <w:sz w:val="20"/>
          <w:szCs w:val="20"/>
        </w:rPr>
        <w:t>, maakt dit paneel met complexe opbouw bestand tegen de tand des tijds.</w:t>
      </w:r>
    </w:p>
    <w:p w:rsidR="004C0112" w:rsidRDefault="004C0112" w:rsidP="004C0112">
      <w:pPr>
        <w:rPr>
          <w:sz w:val="20"/>
          <w:szCs w:val="20"/>
        </w:rPr>
      </w:pPr>
    </w:p>
    <w:sectPr w:rsidR="004C011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9" w:rsidRDefault="007E6459" w:rsidP="00251A99">
      <w:pPr>
        <w:spacing w:after="0" w:line="240" w:lineRule="auto"/>
      </w:pPr>
      <w:r>
        <w:separator/>
      </w:r>
    </w:p>
  </w:endnote>
  <w:endnote w:type="continuationSeparator" w:id="0">
    <w:p w:rsidR="007E6459" w:rsidRDefault="007E6459" w:rsidP="0025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330938"/>
      <w:docPartObj>
        <w:docPartGallery w:val="Page Numbers (Bottom of Page)"/>
        <w:docPartUnique/>
      </w:docPartObj>
    </w:sdtPr>
    <w:sdtEndPr/>
    <w:sdtContent>
      <w:p w:rsidR="004C0112" w:rsidRDefault="004C0112">
        <w:pPr>
          <w:pStyle w:val="Voettekst"/>
          <w:jc w:val="right"/>
        </w:pPr>
        <w:r>
          <w:fldChar w:fldCharType="begin"/>
        </w:r>
        <w:r>
          <w:instrText>PAGE   \* MERGEFORMAT</w:instrText>
        </w:r>
        <w:r>
          <w:fldChar w:fldCharType="separate"/>
        </w:r>
        <w:r w:rsidR="00922B8E" w:rsidRPr="00922B8E">
          <w:rPr>
            <w:noProof/>
            <w:lang w:val="nl-NL"/>
          </w:rPr>
          <w:t>1</w:t>
        </w:r>
        <w:r>
          <w:fldChar w:fldCharType="end"/>
        </w:r>
      </w:p>
    </w:sdtContent>
  </w:sdt>
  <w:p w:rsidR="0075278D" w:rsidRDefault="007527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9" w:rsidRDefault="007E6459" w:rsidP="00251A99">
      <w:pPr>
        <w:spacing w:after="0" w:line="240" w:lineRule="auto"/>
      </w:pPr>
      <w:r>
        <w:separator/>
      </w:r>
    </w:p>
  </w:footnote>
  <w:footnote w:type="continuationSeparator" w:id="0">
    <w:p w:rsidR="007E6459" w:rsidRDefault="007E6459" w:rsidP="0025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EE" w:rsidRDefault="003205EE">
    <w:pPr>
      <w:pStyle w:val="Koptekst"/>
    </w:pPr>
    <w:r w:rsidRPr="0041392A">
      <w:rPr>
        <w:noProof/>
        <w:lang w:eastAsia="nl-BE"/>
      </w:rPr>
      <w:drawing>
        <wp:inline distT="0" distB="0" distL="0" distR="0" wp14:anchorId="5CDB36FC" wp14:editId="60D93B02">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A9F"/>
    <w:multiLevelType w:val="hybridMultilevel"/>
    <w:tmpl w:val="AD7E29A8"/>
    <w:lvl w:ilvl="0" w:tplc="7D720194">
      <w:start w:val="1"/>
      <w:numFmt w:val="bullet"/>
      <w:lvlText w:val=""/>
      <w:lvlJc w:val="left"/>
      <w:pPr>
        <w:tabs>
          <w:tab w:val="num" w:pos="720"/>
        </w:tabs>
        <w:ind w:left="720" w:hanging="360"/>
      </w:pPr>
      <w:rPr>
        <w:rFonts w:ascii="Wingdings" w:hAnsi="Wingdings" w:hint="default"/>
      </w:rPr>
    </w:lvl>
    <w:lvl w:ilvl="1" w:tplc="08C4AF5E">
      <w:start w:val="1"/>
      <w:numFmt w:val="bullet"/>
      <w:lvlText w:val=""/>
      <w:lvlJc w:val="left"/>
      <w:pPr>
        <w:tabs>
          <w:tab w:val="num" w:pos="1440"/>
        </w:tabs>
        <w:ind w:left="1440" w:hanging="360"/>
      </w:pPr>
      <w:rPr>
        <w:rFonts w:ascii="Wingdings" w:hAnsi="Wingdings" w:hint="default"/>
      </w:rPr>
    </w:lvl>
    <w:lvl w:ilvl="2" w:tplc="379A9AC0" w:tentative="1">
      <w:start w:val="1"/>
      <w:numFmt w:val="bullet"/>
      <w:lvlText w:val=""/>
      <w:lvlJc w:val="left"/>
      <w:pPr>
        <w:tabs>
          <w:tab w:val="num" w:pos="2160"/>
        </w:tabs>
        <w:ind w:left="2160" w:hanging="360"/>
      </w:pPr>
      <w:rPr>
        <w:rFonts w:ascii="Wingdings" w:hAnsi="Wingdings" w:hint="default"/>
      </w:rPr>
    </w:lvl>
    <w:lvl w:ilvl="3" w:tplc="5E5A1548" w:tentative="1">
      <w:start w:val="1"/>
      <w:numFmt w:val="bullet"/>
      <w:lvlText w:val=""/>
      <w:lvlJc w:val="left"/>
      <w:pPr>
        <w:tabs>
          <w:tab w:val="num" w:pos="2880"/>
        </w:tabs>
        <w:ind w:left="2880" w:hanging="360"/>
      </w:pPr>
      <w:rPr>
        <w:rFonts w:ascii="Wingdings" w:hAnsi="Wingdings" w:hint="default"/>
      </w:rPr>
    </w:lvl>
    <w:lvl w:ilvl="4" w:tplc="E7CE4C46" w:tentative="1">
      <w:start w:val="1"/>
      <w:numFmt w:val="bullet"/>
      <w:lvlText w:val=""/>
      <w:lvlJc w:val="left"/>
      <w:pPr>
        <w:tabs>
          <w:tab w:val="num" w:pos="3600"/>
        </w:tabs>
        <w:ind w:left="3600" w:hanging="360"/>
      </w:pPr>
      <w:rPr>
        <w:rFonts w:ascii="Wingdings" w:hAnsi="Wingdings" w:hint="default"/>
      </w:rPr>
    </w:lvl>
    <w:lvl w:ilvl="5" w:tplc="952E731C" w:tentative="1">
      <w:start w:val="1"/>
      <w:numFmt w:val="bullet"/>
      <w:lvlText w:val=""/>
      <w:lvlJc w:val="left"/>
      <w:pPr>
        <w:tabs>
          <w:tab w:val="num" w:pos="4320"/>
        </w:tabs>
        <w:ind w:left="4320" w:hanging="360"/>
      </w:pPr>
      <w:rPr>
        <w:rFonts w:ascii="Wingdings" w:hAnsi="Wingdings" w:hint="default"/>
      </w:rPr>
    </w:lvl>
    <w:lvl w:ilvl="6" w:tplc="5EE28C70" w:tentative="1">
      <w:start w:val="1"/>
      <w:numFmt w:val="bullet"/>
      <w:lvlText w:val=""/>
      <w:lvlJc w:val="left"/>
      <w:pPr>
        <w:tabs>
          <w:tab w:val="num" w:pos="5040"/>
        </w:tabs>
        <w:ind w:left="5040" w:hanging="360"/>
      </w:pPr>
      <w:rPr>
        <w:rFonts w:ascii="Wingdings" w:hAnsi="Wingdings" w:hint="default"/>
      </w:rPr>
    </w:lvl>
    <w:lvl w:ilvl="7" w:tplc="17F8D10C" w:tentative="1">
      <w:start w:val="1"/>
      <w:numFmt w:val="bullet"/>
      <w:lvlText w:val=""/>
      <w:lvlJc w:val="left"/>
      <w:pPr>
        <w:tabs>
          <w:tab w:val="num" w:pos="5760"/>
        </w:tabs>
        <w:ind w:left="5760" w:hanging="360"/>
      </w:pPr>
      <w:rPr>
        <w:rFonts w:ascii="Wingdings" w:hAnsi="Wingdings" w:hint="default"/>
      </w:rPr>
    </w:lvl>
    <w:lvl w:ilvl="8" w:tplc="30D02A90" w:tentative="1">
      <w:start w:val="1"/>
      <w:numFmt w:val="bullet"/>
      <w:lvlText w:val=""/>
      <w:lvlJc w:val="left"/>
      <w:pPr>
        <w:tabs>
          <w:tab w:val="num" w:pos="6480"/>
        </w:tabs>
        <w:ind w:left="6480" w:hanging="360"/>
      </w:pPr>
      <w:rPr>
        <w:rFonts w:ascii="Wingdings" w:hAnsi="Wingdings" w:hint="default"/>
      </w:rPr>
    </w:lvl>
  </w:abstractNum>
  <w:abstractNum w:abstractNumId="1">
    <w:nsid w:val="15C7366D"/>
    <w:multiLevelType w:val="hybridMultilevel"/>
    <w:tmpl w:val="00204CC8"/>
    <w:lvl w:ilvl="0" w:tplc="37FAC4D6">
      <w:start w:val="2"/>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0D7213"/>
    <w:multiLevelType w:val="hybridMultilevel"/>
    <w:tmpl w:val="20222064"/>
    <w:lvl w:ilvl="0" w:tplc="EB048E44">
      <w:start w:val="1"/>
      <w:numFmt w:val="bullet"/>
      <w:lvlText w:val=""/>
      <w:lvlJc w:val="left"/>
      <w:pPr>
        <w:tabs>
          <w:tab w:val="num" w:pos="720"/>
        </w:tabs>
        <w:ind w:left="720" w:hanging="360"/>
      </w:pPr>
      <w:rPr>
        <w:rFonts w:ascii="Wingdings" w:hAnsi="Wingdings" w:hint="default"/>
      </w:rPr>
    </w:lvl>
    <w:lvl w:ilvl="1" w:tplc="534C0D56">
      <w:start w:val="1"/>
      <w:numFmt w:val="bullet"/>
      <w:lvlText w:val=""/>
      <w:lvlJc w:val="left"/>
      <w:pPr>
        <w:tabs>
          <w:tab w:val="num" w:pos="1440"/>
        </w:tabs>
        <w:ind w:left="1440" w:hanging="360"/>
      </w:pPr>
      <w:rPr>
        <w:rFonts w:ascii="Wingdings" w:hAnsi="Wingdings" w:hint="default"/>
      </w:rPr>
    </w:lvl>
    <w:lvl w:ilvl="2" w:tplc="F0A445F2" w:tentative="1">
      <w:start w:val="1"/>
      <w:numFmt w:val="bullet"/>
      <w:lvlText w:val=""/>
      <w:lvlJc w:val="left"/>
      <w:pPr>
        <w:tabs>
          <w:tab w:val="num" w:pos="2160"/>
        </w:tabs>
        <w:ind w:left="2160" w:hanging="360"/>
      </w:pPr>
      <w:rPr>
        <w:rFonts w:ascii="Wingdings" w:hAnsi="Wingdings" w:hint="default"/>
      </w:rPr>
    </w:lvl>
    <w:lvl w:ilvl="3" w:tplc="E9EE06F0" w:tentative="1">
      <w:start w:val="1"/>
      <w:numFmt w:val="bullet"/>
      <w:lvlText w:val=""/>
      <w:lvlJc w:val="left"/>
      <w:pPr>
        <w:tabs>
          <w:tab w:val="num" w:pos="2880"/>
        </w:tabs>
        <w:ind w:left="2880" w:hanging="360"/>
      </w:pPr>
      <w:rPr>
        <w:rFonts w:ascii="Wingdings" w:hAnsi="Wingdings" w:hint="default"/>
      </w:rPr>
    </w:lvl>
    <w:lvl w:ilvl="4" w:tplc="61D6D9D8" w:tentative="1">
      <w:start w:val="1"/>
      <w:numFmt w:val="bullet"/>
      <w:lvlText w:val=""/>
      <w:lvlJc w:val="left"/>
      <w:pPr>
        <w:tabs>
          <w:tab w:val="num" w:pos="3600"/>
        </w:tabs>
        <w:ind w:left="3600" w:hanging="360"/>
      </w:pPr>
      <w:rPr>
        <w:rFonts w:ascii="Wingdings" w:hAnsi="Wingdings" w:hint="default"/>
      </w:rPr>
    </w:lvl>
    <w:lvl w:ilvl="5" w:tplc="E1C00222" w:tentative="1">
      <w:start w:val="1"/>
      <w:numFmt w:val="bullet"/>
      <w:lvlText w:val=""/>
      <w:lvlJc w:val="left"/>
      <w:pPr>
        <w:tabs>
          <w:tab w:val="num" w:pos="4320"/>
        </w:tabs>
        <w:ind w:left="4320" w:hanging="360"/>
      </w:pPr>
      <w:rPr>
        <w:rFonts w:ascii="Wingdings" w:hAnsi="Wingdings" w:hint="default"/>
      </w:rPr>
    </w:lvl>
    <w:lvl w:ilvl="6" w:tplc="5388EB9E" w:tentative="1">
      <w:start w:val="1"/>
      <w:numFmt w:val="bullet"/>
      <w:lvlText w:val=""/>
      <w:lvlJc w:val="left"/>
      <w:pPr>
        <w:tabs>
          <w:tab w:val="num" w:pos="5040"/>
        </w:tabs>
        <w:ind w:left="5040" w:hanging="360"/>
      </w:pPr>
      <w:rPr>
        <w:rFonts w:ascii="Wingdings" w:hAnsi="Wingdings" w:hint="default"/>
      </w:rPr>
    </w:lvl>
    <w:lvl w:ilvl="7" w:tplc="CB4823AA" w:tentative="1">
      <w:start w:val="1"/>
      <w:numFmt w:val="bullet"/>
      <w:lvlText w:val=""/>
      <w:lvlJc w:val="left"/>
      <w:pPr>
        <w:tabs>
          <w:tab w:val="num" w:pos="5760"/>
        </w:tabs>
        <w:ind w:left="5760" w:hanging="360"/>
      </w:pPr>
      <w:rPr>
        <w:rFonts w:ascii="Wingdings" w:hAnsi="Wingdings" w:hint="default"/>
      </w:rPr>
    </w:lvl>
    <w:lvl w:ilvl="8" w:tplc="9BD4916A" w:tentative="1">
      <w:start w:val="1"/>
      <w:numFmt w:val="bullet"/>
      <w:lvlText w:val=""/>
      <w:lvlJc w:val="left"/>
      <w:pPr>
        <w:tabs>
          <w:tab w:val="num" w:pos="6480"/>
        </w:tabs>
        <w:ind w:left="6480" w:hanging="360"/>
      </w:pPr>
      <w:rPr>
        <w:rFonts w:ascii="Wingdings" w:hAnsi="Wingdings" w:hint="default"/>
      </w:rPr>
    </w:lvl>
  </w:abstractNum>
  <w:abstractNum w:abstractNumId="3">
    <w:nsid w:val="41412D12"/>
    <w:multiLevelType w:val="hybridMultilevel"/>
    <w:tmpl w:val="DFFAF3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BE"/>
    <w:rsid w:val="00014006"/>
    <w:rsid w:val="000201EA"/>
    <w:rsid w:val="000742D7"/>
    <w:rsid w:val="0009114A"/>
    <w:rsid w:val="000D1990"/>
    <w:rsid w:val="00101515"/>
    <w:rsid w:val="001434F3"/>
    <w:rsid w:val="00157A49"/>
    <w:rsid w:val="001C09D8"/>
    <w:rsid w:val="001F207A"/>
    <w:rsid w:val="0021498F"/>
    <w:rsid w:val="002324A4"/>
    <w:rsid w:val="0023467A"/>
    <w:rsid w:val="00246CC6"/>
    <w:rsid w:val="00251A99"/>
    <w:rsid w:val="00280574"/>
    <w:rsid w:val="002A573E"/>
    <w:rsid w:val="002B61BB"/>
    <w:rsid w:val="002C7AB8"/>
    <w:rsid w:val="003205EE"/>
    <w:rsid w:val="003215E8"/>
    <w:rsid w:val="003224FF"/>
    <w:rsid w:val="0034309D"/>
    <w:rsid w:val="0034449D"/>
    <w:rsid w:val="00394408"/>
    <w:rsid w:val="003A10A8"/>
    <w:rsid w:val="003C667F"/>
    <w:rsid w:val="00425F09"/>
    <w:rsid w:val="00444565"/>
    <w:rsid w:val="004652AF"/>
    <w:rsid w:val="00475862"/>
    <w:rsid w:val="004A40A5"/>
    <w:rsid w:val="004C0112"/>
    <w:rsid w:val="005150C3"/>
    <w:rsid w:val="00535977"/>
    <w:rsid w:val="00566D8F"/>
    <w:rsid w:val="005A18DF"/>
    <w:rsid w:val="005A6F9D"/>
    <w:rsid w:val="005C17C8"/>
    <w:rsid w:val="005D7932"/>
    <w:rsid w:val="006177FE"/>
    <w:rsid w:val="0068612B"/>
    <w:rsid w:val="0068614C"/>
    <w:rsid w:val="00696BCD"/>
    <w:rsid w:val="006B2879"/>
    <w:rsid w:val="006C5E3C"/>
    <w:rsid w:val="006C76D2"/>
    <w:rsid w:val="006E0745"/>
    <w:rsid w:val="006E6F24"/>
    <w:rsid w:val="00703C81"/>
    <w:rsid w:val="007171A7"/>
    <w:rsid w:val="0072129F"/>
    <w:rsid w:val="0075278D"/>
    <w:rsid w:val="007641B2"/>
    <w:rsid w:val="00772952"/>
    <w:rsid w:val="007C065D"/>
    <w:rsid w:val="007D1C32"/>
    <w:rsid w:val="007D1F5D"/>
    <w:rsid w:val="007E6459"/>
    <w:rsid w:val="007F0942"/>
    <w:rsid w:val="008154BE"/>
    <w:rsid w:val="008240C4"/>
    <w:rsid w:val="00875825"/>
    <w:rsid w:val="00876D6D"/>
    <w:rsid w:val="008A1DBD"/>
    <w:rsid w:val="008B6908"/>
    <w:rsid w:val="008C1A00"/>
    <w:rsid w:val="008E0AD2"/>
    <w:rsid w:val="008E2C76"/>
    <w:rsid w:val="008E46C6"/>
    <w:rsid w:val="00922B8E"/>
    <w:rsid w:val="00932E67"/>
    <w:rsid w:val="00934D7D"/>
    <w:rsid w:val="0096036A"/>
    <w:rsid w:val="009762AE"/>
    <w:rsid w:val="00983712"/>
    <w:rsid w:val="0098459A"/>
    <w:rsid w:val="00987EE4"/>
    <w:rsid w:val="0099366A"/>
    <w:rsid w:val="0099708A"/>
    <w:rsid w:val="009F6AFD"/>
    <w:rsid w:val="00A22771"/>
    <w:rsid w:val="00A6438C"/>
    <w:rsid w:val="00A87C3E"/>
    <w:rsid w:val="00A943C9"/>
    <w:rsid w:val="00AB0050"/>
    <w:rsid w:val="00AB31F2"/>
    <w:rsid w:val="00AB7B28"/>
    <w:rsid w:val="00AC735E"/>
    <w:rsid w:val="00AE401C"/>
    <w:rsid w:val="00AE412C"/>
    <w:rsid w:val="00AE4C94"/>
    <w:rsid w:val="00B03CB3"/>
    <w:rsid w:val="00B1130B"/>
    <w:rsid w:val="00B13BF3"/>
    <w:rsid w:val="00B20D0A"/>
    <w:rsid w:val="00B478E5"/>
    <w:rsid w:val="00B60427"/>
    <w:rsid w:val="00B606C4"/>
    <w:rsid w:val="00BB09BD"/>
    <w:rsid w:val="00BF20C4"/>
    <w:rsid w:val="00C12BEE"/>
    <w:rsid w:val="00C16097"/>
    <w:rsid w:val="00C37F33"/>
    <w:rsid w:val="00CB73EE"/>
    <w:rsid w:val="00CC51FC"/>
    <w:rsid w:val="00D26089"/>
    <w:rsid w:val="00D3072A"/>
    <w:rsid w:val="00D4339F"/>
    <w:rsid w:val="00D52584"/>
    <w:rsid w:val="00D70F65"/>
    <w:rsid w:val="00D8031F"/>
    <w:rsid w:val="00DA23B8"/>
    <w:rsid w:val="00DC0BE6"/>
    <w:rsid w:val="00E01C17"/>
    <w:rsid w:val="00E20235"/>
    <w:rsid w:val="00E264D4"/>
    <w:rsid w:val="00E651FD"/>
    <w:rsid w:val="00E91C23"/>
    <w:rsid w:val="00EE0A10"/>
    <w:rsid w:val="00F0305E"/>
    <w:rsid w:val="00F066BD"/>
    <w:rsid w:val="00FA1723"/>
    <w:rsid w:val="00FB52B5"/>
    <w:rsid w:val="00FB5538"/>
    <w:rsid w:val="00FD59F5"/>
    <w:rsid w:val="00FE74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965">
      <w:bodyDiv w:val="1"/>
      <w:marLeft w:val="0"/>
      <w:marRight w:val="0"/>
      <w:marTop w:val="0"/>
      <w:marBottom w:val="0"/>
      <w:divBdr>
        <w:top w:val="none" w:sz="0" w:space="0" w:color="auto"/>
        <w:left w:val="none" w:sz="0" w:space="0" w:color="auto"/>
        <w:bottom w:val="none" w:sz="0" w:space="0" w:color="auto"/>
        <w:right w:val="none" w:sz="0" w:space="0" w:color="auto"/>
      </w:divBdr>
    </w:div>
    <w:div w:id="275450091">
      <w:bodyDiv w:val="1"/>
      <w:marLeft w:val="0"/>
      <w:marRight w:val="0"/>
      <w:marTop w:val="0"/>
      <w:marBottom w:val="0"/>
      <w:divBdr>
        <w:top w:val="none" w:sz="0" w:space="0" w:color="auto"/>
        <w:left w:val="none" w:sz="0" w:space="0" w:color="auto"/>
        <w:bottom w:val="none" w:sz="0" w:space="0" w:color="auto"/>
        <w:right w:val="none" w:sz="0" w:space="0" w:color="auto"/>
      </w:divBdr>
    </w:div>
    <w:div w:id="753281200">
      <w:bodyDiv w:val="1"/>
      <w:marLeft w:val="0"/>
      <w:marRight w:val="0"/>
      <w:marTop w:val="0"/>
      <w:marBottom w:val="0"/>
      <w:divBdr>
        <w:top w:val="none" w:sz="0" w:space="0" w:color="auto"/>
        <w:left w:val="none" w:sz="0" w:space="0" w:color="auto"/>
        <w:bottom w:val="none" w:sz="0" w:space="0" w:color="auto"/>
        <w:right w:val="none" w:sz="0" w:space="0" w:color="auto"/>
      </w:divBdr>
    </w:div>
    <w:div w:id="804539909">
      <w:bodyDiv w:val="1"/>
      <w:marLeft w:val="0"/>
      <w:marRight w:val="0"/>
      <w:marTop w:val="0"/>
      <w:marBottom w:val="0"/>
      <w:divBdr>
        <w:top w:val="none" w:sz="0" w:space="0" w:color="auto"/>
        <w:left w:val="none" w:sz="0" w:space="0" w:color="auto"/>
        <w:bottom w:val="none" w:sz="0" w:space="0" w:color="auto"/>
        <w:right w:val="none" w:sz="0" w:space="0" w:color="auto"/>
      </w:divBdr>
    </w:div>
    <w:div w:id="833648339">
      <w:bodyDiv w:val="1"/>
      <w:marLeft w:val="0"/>
      <w:marRight w:val="0"/>
      <w:marTop w:val="0"/>
      <w:marBottom w:val="0"/>
      <w:divBdr>
        <w:top w:val="none" w:sz="0" w:space="0" w:color="auto"/>
        <w:left w:val="none" w:sz="0" w:space="0" w:color="auto"/>
        <w:bottom w:val="none" w:sz="0" w:space="0" w:color="auto"/>
        <w:right w:val="none" w:sz="0" w:space="0" w:color="auto"/>
      </w:divBdr>
    </w:div>
    <w:div w:id="953098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1746">
          <w:marLeft w:val="1166"/>
          <w:marRight w:val="0"/>
          <w:marTop w:val="0"/>
          <w:marBottom w:val="0"/>
          <w:divBdr>
            <w:top w:val="none" w:sz="0" w:space="0" w:color="auto"/>
            <w:left w:val="none" w:sz="0" w:space="0" w:color="auto"/>
            <w:bottom w:val="none" w:sz="0" w:space="0" w:color="auto"/>
            <w:right w:val="none" w:sz="0" w:space="0" w:color="auto"/>
          </w:divBdr>
        </w:div>
        <w:div w:id="1386098739">
          <w:marLeft w:val="1166"/>
          <w:marRight w:val="0"/>
          <w:marTop w:val="0"/>
          <w:marBottom w:val="0"/>
          <w:divBdr>
            <w:top w:val="none" w:sz="0" w:space="0" w:color="auto"/>
            <w:left w:val="none" w:sz="0" w:space="0" w:color="auto"/>
            <w:bottom w:val="none" w:sz="0" w:space="0" w:color="auto"/>
            <w:right w:val="none" w:sz="0" w:space="0" w:color="auto"/>
          </w:divBdr>
        </w:div>
      </w:divsChild>
    </w:div>
    <w:div w:id="990985573">
      <w:bodyDiv w:val="1"/>
      <w:marLeft w:val="0"/>
      <w:marRight w:val="0"/>
      <w:marTop w:val="0"/>
      <w:marBottom w:val="0"/>
      <w:divBdr>
        <w:top w:val="none" w:sz="0" w:space="0" w:color="auto"/>
        <w:left w:val="none" w:sz="0" w:space="0" w:color="auto"/>
        <w:bottom w:val="none" w:sz="0" w:space="0" w:color="auto"/>
        <w:right w:val="none" w:sz="0" w:space="0" w:color="auto"/>
      </w:divBdr>
    </w:div>
    <w:div w:id="1142692256">
      <w:bodyDiv w:val="1"/>
      <w:marLeft w:val="0"/>
      <w:marRight w:val="0"/>
      <w:marTop w:val="0"/>
      <w:marBottom w:val="0"/>
      <w:divBdr>
        <w:top w:val="none" w:sz="0" w:space="0" w:color="auto"/>
        <w:left w:val="none" w:sz="0" w:space="0" w:color="auto"/>
        <w:bottom w:val="none" w:sz="0" w:space="0" w:color="auto"/>
        <w:right w:val="none" w:sz="0" w:space="0" w:color="auto"/>
      </w:divBdr>
    </w:div>
    <w:div w:id="1301495847">
      <w:bodyDiv w:val="1"/>
      <w:marLeft w:val="0"/>
      <w:marRight w:val="0"/>
      <w:marTop w:val="0"/>
      <w:marBottom w:val="0"/>
      <w:divBdr>
        <w:top w:val="none" w:sz="0" w:space="0" w:color="auto"/>
        <w:left w:val="none" w:sz="0" w:space="0" w:color="auto"/>
        <w:bottom w:val="none" w:sz="0" w:space="0" w:color="auto"/>
        <w:right w:val="none" w:sz="0" w:space="0" w:color="auto"/>
      </w:divBdr>
      <w:divsChild>
        <w:div w:id="1065490662">
          <w:marLeft w:val="1166"/>
          <w:marRight w:val="0"/>
          <w:marTop w:val="0"/>
          <w:marBottom w:val="0"/>
          <w:divBdr>
            <w:top w:val="none" w:sz="0" w:space="0" w:color="auto"/>
            <w:left w:val="none" w:sz="0" w:space="0" w:color="auto"/>
            <w:bottom w:val="none" w:sz="0" w:space="0" w:color="auto"/>
            <w:right w:val="none" w:sz="0" w:space="0" w:color="auto"/>
          </w:divBdr>
        </w:div>
        <w:div w:id="1951545528">
          <w:marLeft w:val="1166"/>
          <w:marRight w:val="0"/>
          <w:marTop w:val="0"/>
          <w:marBottom w:val="0"/>
          <w:divBdr>
            <w:top w:val="none" w:sz="0" w:space="0" w:color="auto"/>
            <w:left w:val="none" w:sz="0" w:space="0" w:color="auto"/>
            <w:bottom w:val="none" w:sz="0" w:space="0" w:color="auto"/>
            <w:right w:val="none" w:sz="0" w:space="0" w:color="auto"/>
          </w:divBdr>
        </w:div>
        <w:div w:id="325592228">
          <w:marLeft w:val="1166"/>
          <w:marRight w:val="0"/>
          <w:marTop w:val="0"/>
          <w:marBottom w:val="0"/>
          <w:divBdr>
            <w:top w:val="none" w:sz="0" w:space="0" w:color="auto"/>
            <w:left w:val="none" w:sz="0" w:space="0" w:color="auto"/>
            <w:bottom w:val="none" w:sz="0" w:space="0" w:color="auto"/>
            <w:right w:val="none" w:sz="0" w:space="0" w:color="auto"/>
          </w:divBdr>
        </w:div>
      </w:divsChild>
    </w:div>
    <w:div w:id="1310671439">
      <w:bodyDiv w:val="1"/>
      <w:marLeft w:val="0"/>
      <w:marRight w:val="0"/>
      <w:marTop w:val="0"/>
      <w:marBottom w:val="0"/>
      <w:divBdr>
        <w:top w:val="none" w:sz="0" w:space="0" w:color="auto"/>
        <w:left w:val="none" w:sz="0" w:space="0" w:color="auto"/>
        <w:bottom w:val="none" w:sz="0" w:space="0" w:color="auto"/>
        <w:right w:val="none" w:sz="0" w:space="0" w:color="auto"/>
      </w:divBdr>
    </w:div>
    <w:div w:id="1359311402">
      <w:bodyDiv w:val="1"/>
      <w:marLeft w:val="0"/>
      <w:marRight w:val="0"/>
      <w:marTop w:val="0"/>
      <w:marBottom w:val="0"/>
      <w:divBdr>
        <w:top w:val="none" w:sz="0" w:space="0" w:color="auto"/>
        <w:left w:val="none" w:sz="0" w:space="0" w:color="auto"/>
        <w:bottom w:val="none" w:sz="0" w:space="0" w:color="auto"/>
        <w:right w:val="none" w:sz="0" w:space="0" w:color="auto"/>
      </w:divBdr>
    </w:div>
    <w:div w:id="1369793043">
      <w:bodyDiv w:val="1"/>
      <w:marLeft w:val="0"/>
      <w:marRight w:val="0"/>
      <w:marTop w:val="0"/>
      <w:marBottom w:val="0"/>
      <w:divBdr>
        <w:top w:val="none" w:sz="0" w:space="0" w:color="auto"/>
        <w:left w:val="none" w:sz="0" w:space="0" w:color="auto"/>
        <w:bottom w:val="none" w:sz="0" w:space="0" w:color="auto"/>
        <w:right w:val="none" w:sz="0" w:space="0" w:color="auto"/>
      </w:divBdr>
    </w:div>
    <w:div w:id="1472017718">
      <w:bodyDiv w:val="1"/>
      <w:marLeft w:val="0"/>
      <w:marRight w:val="0"/>
      <w:marTop w:val="0"/>
      <w:marBottom w:val="0"/>
      <w:divBdr>
        <w:top w:val="none" w:sz="0" w:space="0" w:color="auto"/>
        <w:left w:val="none" w:sz="0" w:space="0" w:color="auto"/>
        <w:bottom w:val="none" w:sz="0" w:space="0" w:color="auto"/>
        <w:right w:val="none" w:sz="0" w:space="0" w:color="auto"/>
      </w:divBdr>
    </w:div>
    <w:div w:id="1560746068">
      <w:bodyDiv w:val="1"/>
      <w:marLeft w:val="0"/>
      <w:marRight w:val="0"/>
      <w:marTop w:val="0"/>
      <w:marBottom w:val="0"/>
      <w:divBdr>
        <w:top w:val="none" w:sz="0" w:space="0" w:color="auto"/>
        <w:left w:val="none" w:sz="0" w:space="0" w:color="auto"/>
        <w:bottom w:val="none" w:sz="0" w:space="0" w:color="auto"/>
        <w:right w:val="none" w:sz="0" w:space="0" w:color="auto"/>
      </w:divBdr>
    </w:div>
    <w:div w:id="1634215979">
      <w:bodyDiv w:val="1"/>
      <w:marLeft w:val="0"/>
      <w:marRight w:val="0"/>
      <w:marTop w:val="0"/>
      <w:marBottom w:val="0"/>
      <w:divBdr>
        <w:top w:val="none" w:sz="0" w:space="0" w:color="auto"/>
        <w:left w:val="none" w:sz="0" w:space="0" w:color="auto"/>
        <w:bottom w:val="none" w:sz="0" w:space="0" w:color="auto"/>
        <w:right w:val="none" w:sz="0" w:space="0" w:color="auto"/>
      </w:divBdr>
    </w:div>
    <w:div w:id="1839076984">
      <w:bodyDiv w:val="1"/>
      <w:marLeft w:val="0"/>
      <w:marRight w:val="0"/>
      <w:marTop w:val="0"/>
      <w:marBottom w:val="0"/>
      <w:divBdr>
        <w:top w:val="none" w:sz="0" w:space="0" w:color="auto"/>
        <w:left w:val="none" w:sz="0" w:space="0" w:color="auto"/>
        <w:bottom w:val="none" w:sz="0" w:space="0" w:color="auto"/>
        <w:right w:val="none" w:sz="0" w:space="0" w:color="auto"/>
      </w:divBdr>
    </w:div>
    <w:div w:id="2000382436">
      <w:bodyDiv w:val="1"/>
      <w:marLeft w:val="0"/>
      <w:marRight w:val="0"/>
      <w:marTop w:val="0"/>
      <w:marBottom w:val="0"/>
      <w:divBdr>
        <w:top w:val="none" w:sz="0" w:space="0" w:color="auto"/>
        <w:left w:val="none" w:sz="0" w:space="0" w:color="auto"/>
        <w:bottom w:val="none" w:sz="0" w:space="0" w:color="auto"/>
        <w:right w:val="none" w:sz="0" w:space="0" w:color="auto"/>
      </w:divBdr>
    </w:div>
    <w:div w:id="20603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20BE-0D9B-423C-9F65-7669C766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Deburchgrave</dc:creator>
  <cp:lastModifiedBy>Nadia De Vree</cp:lastModifiedBy>
  <cp:revision>3</cp:revision>
  <cp:lastPrinted>2019-03-28T08:40:00Z</cp:lastPrinted>
  <dcterms:created xsi:type="dcterms:W3CDTF">2021-08-25T12:16:00Z</dcterms:created>
  <dcterms:modified xsi:type="dcterms:W3CDTF">2021-08-25T12:19:00Z</dcterms:modified>
</cp:coreProperties>
</file>