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7A2951">
      <w:pPr>
        <w:pStyle w:val="NoSpacing"/>
      </w:pPr>
    </w:p>
    <w:p w:rsidR="00B97593" w:rsidRDefault="001546BA" w:rsidP="006917E1">
      <w:pPr>
        <w:pStyle w:val="NoSpacing"/>
        <w:ind w:left="993"/>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66040</wp:posOffset>
                </wp:positionV>
                <wp:extent cx="4709795" cy="67564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377" w:rsidRPr="00B5684E" w:rsidRDefault="00060377"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060377" w:rsidRPr="00B5684E" w:rsidRDefault="00060377"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060377" w:rsidRPr="00B5684E" w:rsidRDefault="00060377"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060377" w:rsidRPr="00B5684E" w:rsidRDefault="00060377"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v:textbox>
              </v:shape>
            </w:pict>
          </mc:Fallback>
        </mc:AlternateContent>
      </w:r>
      <w:r w:rsidR="00571370">
        <w:rPr>
          <w:noProof/>
          <w:lang w:val="nl-BE" w:eastAsia="nl-BE"/>
        </w:rPr>
        <w:drawing>
          <wp:inline distT="0" distB="0" distL="0" distR="0">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571370" w:rsidP="00FC36C2">
      <w:pPr>
        <w:pStyle w:val="NoSpacing"/>
        <w:ind w:left="284"/>
      </w:pPr>
      <w:r>
        <w:rPr>
          <w:noProof/>
          <w:lang w:val="nl-BE" w:eastAsia="nl-BE"/>
        </w:rPr>
        <w:drawing>
          <wp:inline distT="0" distB="0" distL="0" distR="0">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NoSpacing"/>
        <w:ind w:left="993"/>
      </w:pPr>
    </w:p>
    <w:p w:rsidR="00B91505" w:rsidRPr="00136A6C" w:rsidRDefault="00B91505" w:rsidP="002D344C">
      <w:pPr>
        <w:ind w:left="993"/>
        <w:rPr>
          <w:color w:val="003768"/>
          <w:lang w:val="nl-BE"/>
        </w:rPr>
      </w:pPr>
      <w:r w:rsidRPr="00136A6C">
        <w:rPr>
          <w:color w:val="003768"/>
          <w:lang w:val="nl-BE"/>
        </w:rPr>
        <w:t xml:space="preserve">Brussel, </w:t>
      </w:r>
      <w:r w:rsidR="00136A6C" w:rsidRPr="00136A6C">
        <w:rPr>
          <w:color w:val="003768"/>
          <w:lang w:val="nl-BE"/>
        </w:rPr>
        <w:t>1</w:t>
      </w:r>
      <w:r w:rsidR="00136A6C">
        <w:rPr>
          <w:color w:val="003768"/>
          <w:lang w:val="nl-BE"/>
        </w:rPr>
        <w:t>3 februari</w:t>
      </w:r>
      <w:r w:rsidRPr="00136A6C">
        <w:rPr>
          <w:color w:val="003768"/>
          <w:lang w:val="nl-BE"/>
        </w:rPr>
        <w:t xml:space="preserve"> 201</w:t>
      </w:r>
      <w:r w:rsidR="00AF0348" w:rsidRPr="00136A6C">
        <w:rPr>
          <w:color w:val="003768"/>
          <w:lang w:val="nl-BE"/>
        </w:rPr>
        <w:t>4</w:t>
      </w:r>
      <w:r w:rsidRPr="00136A6C">
        <w:rPr>
          <w:color w:val="003768"/>
          <w:lang w:val="nl-BE"/>
        </w:rPr>
        <w:t xml:space="preserve"> (0</w:t>
      </w:r>
      <w:r w:rsidR="00C74E56">
        <w:rPr>
          <w:color w:val="003768"/>
          <w:lang w:val="nl-BE"/>
        </w:rPr>
        <w:t>7</w:t>
      </w:r>
      <w:r w:rsidRPr="00136A6C">
        <w:rPr>
          <w:color w:val="003768"/>
          <w:lang w:val="nl-BE"/>
        </w:rPr>
        <w:t>.00 a.m. CET)</w:t>
      </w:r>
    </w:p>
    <w:p w:rsidR="00B91505" w:rsidRPr="00136A6C" w:rsidRDefault="00B91505" w:rsidP="002D344C">
      <w:pPr>
        <w:autoSpaceDE w:val="0"/>
        <w:autoSpaceDN w:val="0"/>
        <w:adjustRightInd w:val="0"/>
        <w:spacing w:after="0" w:line="240" w:lineRule="auto"/>
        <w:ind w:left="993" w:right="4"/>
        <w:rPr>
          <w:rFonts w:cs="Arial"/>
          <w:b/>
          <w:bCs/>
          <w:color w:val="003768"/>
          <w:sz w:val="28"/>
          <w:szCs w:val="28"/>
          <w:lang w:val="nl-BE"/>
        </w:rPr>
      </w:pPr>
    </w:p>
    <w:p w:rsidR="00B91505" w:rsidRPr="00B31F65" w:rsidRDefault="00B31F65" w:rsidP="00B31F65">
      <w:pPr>
        <w:ind w:left="993" w:right="-31"/>
        <w:rPr>
          <w:rFonts w:ascii="Rockwell" w:hAnsi="Rockwell" w:cs="Rockwell,Bold"/>
          <w:b/>
          <w:bCs/>
          <w:color w:val="00AEEF"/>
          <w:sz w:val="48"/>
          <w:szCs w:val="48"/>
          <w:lang w:val="nl-BE"/>
        </w:rPr>
      </w:pPr>
      <w:r>
        <w:rPr>
          <w:rFonts w:ascii="Rockwell" w:hAnsi="Rockwell" w:cs="Rockwell,Bold"/>
          <w:b/>
          <w:bCs/>
          <w:color w:val="00AEEF"/>
          <w:sz w:val="48"/>
          <w:szCs w:val="48"/>
          <w:lang w:val="nl-BE"/>
        </w:rPr>
        <w:t xml:space="preserve">2013: </w:t>
      </w:r>
      <w:r w:rsidR="00136A6C" w:rsidRPr="00136A6C">
        <w:rPr>
          <w:rFonts w:ascii="Rockwell" w:hAnsi="Rockwell" w:cs="Rockwell,Bold"/>
          <w:b/>
          <w:bCs/>
          <w:color w:val="00AEEF"/>
          <w:sz w:val="48"/>
          <w:szCs w:val="48"/>
          <w:lang w:val="nl-BE"/>
        </w:rPr>
        <w:t xml:space="preserve">1 miljard euro winst. </w:t>
      </w:r>
      <w:r>
        <w:rPr>
          <w:rFonts w:ascii="Rockwell" w:hAnsi="Rockwell" w:cs="Rockwell,Bold"/>
          <w:b/>
          <w:bCs/>
          <w:color w:val="00AEEF"/>
          <w:sz w:val="48"/>
          <w:szCs w:val="48"/>
          <w:lang w:val="nl-BE"/>
        </w:rPr>
        <w:br/>
      </w:r>
      <w:r w:rsidR="00136A6C" w:rsidRPr="00136A6C">
        <w:rPr>
          <w:rFonts w:ascii="Rockwell" w:hAnsi="Rockwell" w:cs="Rockwell,Bold"/>
          <w:b/>
          <w:bCs/>
          <w:color w:val="00AEEF"/>
          <w:sz w:val="48"/>
          <w:szCs w:val="48"/>
          <w:lang w:val="nl-BE"/>
        </w:rPr>
        <w:t>2014: KBC laat de herstructurering achter zich.</w:t>
      </w:r>
    </w:p>
    <w:p w:rsidR="00136A6C" w:rsidRPr="00875B4B" w:rsidRDefault="00136A6C" w:rsidP="00210DB3">
      <w:pPr>
        <w:autoSpaceDE w:val="0"/>
        <w:autoSpaceDN w:val="0"/>
        <w:adjustRightInd w:val="0"/>
        <w:spacing w:after="0" w:line="240" w:lineRule="auto"/>
        <w:ind w:left="993" w:right="4"/>
        <w:jc w:val="both"/>
        <w:rPr>
          <w:rFonts w:cs="Arial"/>
          <w:b/>
          <w:bCs/>
          <w:color w:val="003768"/>
          <w:sz w:val="20"/>
          <w:szCs w:val="20"/>
          <w:lang w:val="nl-BE"/>
        </w:rPr>
      </w:pPr>
      <w:r w:rsidRPr="00875B4B">
        <w:rPr>
          <w:rFonts w:cs="Arial"/>
          <w:b/>
          <w:bCs/>
          <w:color w:val="003768"/>
          <w:sz w:val="20"/>
          <w:szCs w:val="20"/>
          <w:lang w:val="nl-BE"/>
        </w:rPr>
        <w:t>KBC sloot 2013 af met een nettowinst van 1 015 miljoen euro, vergeleken met 612 miljoen euro in 2012.</w:t>
      </w:r>
    </w:p>
    <w:p w:rsidR="00136A6C" w:rsidRPr="00875B4B" w:rsidRDefault="00136A6C" w:rsidP="00875B4B">
      <w:pPr>
        <w:autoSpaceDE w:val="0"/>
        <w:autoSpaceDN w:val="0"/>
        <w:adjustRightInd w:val="0"/>
        <w:spacing w:after="60" w:line="240" w:lineRule="auto"/>
        <w:ind w:left="993" w:right="4"/>
        <w:jc w:val="both"/>
        <w:rPr>
          <w:rFonts w:cs="Arial"/>
          <w:b/>
          <w:bCs/>
          <w:color w:val="003768"/>
          <w:sz w:val="20"/>
          <w:szCs w:val="20"/>
          <w:lang w:val="nl-BE"/>
        </w:rPr>
      </w:pPr>
      <w:r w:rsidRPr="00875B4B">
        <w:rPr>
          <w:rFonts w:cs="Arial"/>
          <w:b/>
          <w:bCs/>
          <w:color w:val="003768"/>
          <w:sz w:val="20"/>
          <w:szCs w:val="20"/>
          <w:lang w:val="nl-BE"/>
        </w:rPr>
        <w:t xml:space="preserve">In het vierde kwartaal van 2013 liep KBC een nettoverlies van 294 miljoen euro op, in tegenstelling tot de nettowinst van 272 miljoen euro in het derde kwartaal en 240 miljoen euro in het vierde kwartaal van 2012. </w:t>
      </w:r>
    </w:p>
    <w:p w:rsidR="00136A6C" w:rsidRPr="00875B4B" w:rsidRDefault="00136A6C" w:rsidP="00875B4B">
      <w:pPr>
        <w:autoSpaceDE w:val="0"/>
        <w:autoSpaceDN w:val="0"/>
        <w:adjustRightInd w:val="0"/>
        <w:spacing w:after="60" w:line="240" w:lineRule="auto"/>
        <w:ind w:left="992" w:right="6"/>
        <w:jc w:val="both"/>
        <w:rPr>
          <w:rFonts w:cs="Arial"/>
          <w:b/>
          <w:bCs/>
          <w:color w:val="003768"/>
          <w:sz w:val="20"/>
          <w:szCs w:val="20"/>
          <w:lang w:val="nl-BE"/>
        </w:rPr>
      </w:pPr>
      <w:r w:rsidRPr="00875B4B">
        <w:rPr>
          <w:rFonts w:cs="Arial"/>
          <w:b/>
          <w:bCs/>
          <w:color w:val="003768"/>
          <w:sz w:val="20"/>
          <w:szCs w:val="20"/>
          <w:lang w:val="nl-BE"/>
        </w:rPr>
        <w:t xml:space="preserve">Als we abstractie maken van de </w:t>
      </w:r>
      <w:proofErr w:type="spellStart"/>
      <w:r w:rsidRPr="00875B4B">
        <w:rPr>
          <w:rFonts w:cs="Arial"/>
          <w:b/>
          <w:bCs/>
          <w:color w:val="003768"/>
          <w:sz w:val="20"/>
          <w:szCs w:val="20"/>
          <w:lang w:val="nl-BE"/>
        </w:rPr>
        <w:t>legacy</w:t>
      </w:r>
      <w:proofErr w:type="spellEnd"/>
      <w:r w:rsidRPr="00875B4B">
        <w:rPr>
          <w:rFonts w:cs="Arial"/>
          <w:b/>
          <w:bCs/>
          <w:color w:val="003768"/>
          <w:sz w:val="20"/>
          <w:szCs w:val="20"/>
          <w:lang w:val="nl-BE"/>
        </w:rPr>
        <w:t>-activiteiten (</w:t>
      </w:r>
      <w:proofErr w:type="spellStart"/>
      <w:r w:rsidRPr="00875B4B">
        <w:rPr>
          <w:rFonts w:cs="Arial"/>
          <w:b/>
          <w:bCs/>
          <w:color w:val="003768"/>
          <w:sz w:val="20"/>
          <w:szCs w:val="20"/>
          <w:lang w:val="nl-BE"/>
        </w:rPr>
        <w:t>CDO's</w:t>
      </w:r>
      <w:proofErr w:type="spellEnd"/>
      <w:r w:rsidRPr="00875B4B">
        <w:rPr>
          <w:rFonts w:cs="Arial"/>
          <w:b/>
          <w:bCs/>
          <w:color w:val="003768"/>
          <w:sz w:val="20"/>
          <w:szCs w:val="20"/>
          <w:lang w:val="nl-BE"/>
        </w:rPr>
        <w:t>, desinvesteringen) en de waardering van het eigen kredietrisico bedraagt de aangepaste nettowinst voor 2013 960 miljoen euro. Ter vergelijking: voor 2012 was dat 1 496 miljoen euro. Voor het laatste kwartaal van 2013 bedraagt de aangepaste nettowinst -340 miljoen euro, terwijl ze voor het derde kwartaal +457 miljoen euro bedroeg en voor het vierde kwartaal van 2012 +279 miljoen euro.</w:t>
      </w:r>
    </w:p>
    <w:p w:rsidR="00136A6C" w:rsidRPr="00136A6C" w:rsidRDefault="00136A6C" w:rsidP="00210DB3">
      <w:pPr>
        <w:autoSpaceDE w:val="0"/>
        <w:autoSpaceDN w:val="0"/>
        <w:adjustRightInd w:val="0"/>
        <w:spacing w:after="60" w:line="240" w:lineRule="auto"/>
        <w:ind w:left="992" w:right="6"/>
        <w:jc w:val="both"/>
        <w:rPr>
          <w:rFonts w:cs="Arial"/>
          <w:b/>
          <w:bCs/>
          <w:color w:val="003768"/>
          <w:sz w:val="20"/>
          <w:szCs w:val="20"/>
          <w:lang w:val="nl-BE"/>
        </w:rPr>
      </w:pPr>
      <w:r w:rsidRPr="00136A6C">
        <w:rPr>
          <w:rFonts w:cs="Arial"/>
          <w:b/>
          <w:bCs/>
          <w:color w:val="003768"/>
          <w:sz w:val="20"/>
          <w:szCs w:val="20"/>
          <w:lang w:val="nl-BE"/>
        </w:rPr>
        <w:t>Johan Thijs, Groeps-CEO:</w:t>
      </w:r>
    </w:p>
    <w:p w:rsidR="00136A6C" w:rsidRPr="00F76249"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noProof/>
          <w:color w:val="003768"/>
          <w:sz w:val="20"/>
          <w:szCs w:val="20"/>
          <w:lang w:val="nl-BE" w:eastAsia="nl-BE"/>
        </w:rPr>
        <w:drawing>
          <wp:anchor distT="0" distB="0" distL="114300" distR="114300" simplePos="0" relativeHeight="251660288" behindDoc="0" locked="0" layoutInCell="1" allowOverlap="1" wp14:anchorId="49443A49" wp14:editId="597CF0BD">
            <wp:simplePos x="0" y="0"/>
            <wp:positionH relativeFrom="column">
              <wp:posOffset>605155</wp:posOffset>
            </wp:positionH>
            <wp:positionV relativeFrom="paragraph">
              <wp:posOffset>29210</wp:posOffset>
            </wp:positionV>
            <wp:extent cx="790575" cy="1190625"/>
            <wp:effectExtent l="0" t="0" r="9525" b="9525"/>
            <wp:wrapSquare wrapText="bothSides"/>
            <wp:docPr id="5" name="Afbeelding 5" descr="C:\Users\u02014\AppData\Local\Temp\notesBD61A0\johan thijs f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014\AppData\Local\Temp\notesBD61A0\johan thijs feb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A6C">
        <w:rPr>
          <w:rFonts w:cs="Arial"/>
          <w:bCs/>
          <w:i/>
          <w:color w:val="003768"/>
          <w:sz w:val="20"/>
          <w:szCs w:val="20"/>
          <w:lang w:val="nl-BE"/>
        </w:rPr>
        <w:t xml:space="preserve">"De recente indicatoren bevestigen dat het economische herstel, dat in 2013 geleidelijk op gang kwam, zich doorzet in 2014. In die verbeterende economische omgeving zette KBC voor het volledige </w:t>
      </w:r>
      <w:r w:rsidRPr="00F76249">
        <w:rPr>
          <w:rFonts w:cs="Arial"/>
          <w:bCs/>
          <w:i/>
          <w:color w:val="003768"/>
          <w:sz w:val="20"/>
          <w:szCs w:val="20"/>
          <w:lang w:val="nl-BE"/>
        </w:rPr>
        <w:t>jaar 2013 een nettoresultaat van 1 015 miljoen euro neer, wat neerkomt op een aangepaste winst van 960 miljoen euro. Het resultaat voor het vierde kwartaal had vooral te lijden onder de aangekondigde waardevermindering op Ierse kredieten, die een netto</w:t>
      </w:r>
      <w:r w:rsidR="00B31F65" w:rsidRPr="00F76249">
        <w:rPr>
          <w:rFonts w:cs="Arial"/>
          <w:bCs/>
          <w:i/>
          <w:color w:val="003768"/>
          <w:sz w:val="20"/>
          <w:szCs w:val="20"/>
          <w:lang w:val="nl-BE"/>
        </w:rPr>
        <w:t>verlies</w:t>
      </w:r>
      <w:r w:rsidRPr="00F76249">
        <w:rPr>
          <w:rFonts w:cs="Arial"/>
          <w:bCs/>
          <w:i/>
          <w:color w:val="003768"/>
          <w:sz w:val="20"/>
          <w:szCs w:val="20"/>
          <w:lang w:val="nl-BE"/>
        </w:rPr>
        <w:t xml:space="preserve"> van 294 miljoen euro tot gevolg had (of 340 miljoen euro</w:t>
      </w:r>
      <w:r w:rsidR="00B42C83" w:rsidRPr="00F76249">
        <w:rPr>
          <w:rFonts w:cs="Arial"/>
          <w:bCs/>
          <w:i/>
          <w:color w:val="003768"/>
          <w:sz w:val="20"/>
          <w:szCs w:val="20"/>
          <w:lang w:val="nl-BE"/>
        </w:rPr>
        <w:t xml:space="preserve"> op aangepaste basis</w:t>
      </w:r>
      <w:r w:rsidRPr="00F76249">
        <w:rPr>
          <w:rFonts w:cs="Arial"/>
          <w:bCs/>
          <w:i/>
          <w:color w:val="003768"/>
          <w:sz w:val="20"/>
          <w:szCs w:val="20"/>
          <w:lang w:val="nl-BE"/>
        </w:rPr>
        <w:t xml:space="preserve">). Laten we die eenmalige bijkomende waardevermindering (688 miljoen euro na belastingen) buiten beschouwing, dan bedraagt het nettoresultaat 394 miljoen euro, terwijl het aangepast nettoresultaat uitkomt op 348 miljoen euro. In vergelijking met het vorige kwartaal wist de groep zijn </w:t>
      </w:r>
      <w:proofErr w:type="spellStart"/>
      <w:r w:rsidRPr="00F76249">
        <w:rPr>
          <w:rFonts w:cs="Arial"/>
          <w:bCs/>
          <w:i/>
          <w:color w:val="003768"/>
          <w:sz w:val="20"/>
          <w:szCs w:val="20"/>
          <w:lang w:val="nl-BE"/>
        </w:rPr>
        <w:t>nettorentemarge</w:t>
      </w:r>
      <w:proofErr w:type="spellEnd"/>
      <w:r w:rsidRPr="00F76249">
        <w:rPr>
          <w:rFonts w:cs="Arial"/>
          <w:bCs/>
          <w:i/>
          <w:color w:val="003768"/>
          <w:sz w:val="20"/>
          <w:szCs w:val="20"/>
          <w:lang w:val="nl-BE"/>
        </w:rPr>
        <w:t xml:space="preserve"> verder te verhogen en zijn in meerdere landen de deposito's en kredietvolumes aangegroeid. We haalden ook hogere </w:t>
      </w:r>
      <w:proofErr w:type="spellStart"/>
      <w:r w:rsidRPr="00F76249">
        <w:rPr>
          <w:rFonts w:cs="Arial"/>
          <w:bCs/>
          <w:i/>
          <w:color w:val="003768"/>
          <w:sz w:val="20"/>
          <w:szCs w:val="20"/>
          <w:lang w:val="nl-BE"/>
        </w:rPr>
        <w:t>nettoprovisie</w:t>
      </w:r>
      <w:proofErr w:type="spellEnd"/>
      <w:r w:rsidRPr="00F76249">
        <w:rPr>
          <w:rFonts w:cs="Arial"/>
          <w:bCs/>
          <w:i/>
          <w:color w:val="003768"/>
          <w:sz w:val="20"/>
          <w:szCs w:val="20"/>
          <w:lang w:val="nl-BE"/>
        </w:rPr>
        <w:t xml:space="preserve">-inkomsten en behaalden ook een goede gecombineerde ratio en een uitstekende kosten-inkomstenratio. Maar de geboekte waardeverminderingen op kredieten vielen wat hoger uit (ook als Ierland niet meegerekend wordt) en door </w:t>
      </w:r>
      <w:proofErr w:type="spellStart"/>
      <w:r w:rsidRPr="00F76249">
        <w:rPr>
          <w:rFonts w:cs="Arial"/>
          <w:bCs/>
          <w:i/>
          <w:color w:val="003768"/>
          <w:sz w:val="20"/>
          <w:szCs w:val="20"/>
          <w:lang w:val="nl-BE"/>
        </w:rPr>
        <w:t>seizoenseffecten</w:t>
      </w:r>
      <w:proofErr w:type="spellEnd"/>
      <w:r w:rsidRPr="00F76249">
        <w:rPr>
          <w:rFonts w:cs="Arial"/>
          <w:bCs/>
          <w:i/>
          <w:color w:val="003768"/>
          <w:sz w:val="20"/>
          <w:szCs w:val="20"/>
          <w:lang w:val="nl-BE"/>
        </w:rPr>
        <w:t xml:space="preserve"> waren de exploitatiekosten lichtjes gestegen.</w:t>
      </w:r>
    </w:p>
    <w:p w:rsidR="00136A6C" w:rsidRPr="00F76249"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F76249">
        <w:rPr>
          <w:rFonts w:cs="Arial"/>
          <w:bCs/>
          <w:i/>
          <w:color w:val="003768"/>
          <w:sz w:val="20"/>
          <w:szCs w:val="20"/>
          <w:lang w:val="nl-BE"/>
        </w:rPr>
        <w:t xml:space="preserve">In het vierde kwartaal van 2013 behaalde Divisie België een nettoresultaat van 376 miljoen euro, behoorlijk meer dan de 295 miljoen euro van het vierde kwartaal van 2012. In vergelijking met het derde kwartaal werd het vierde kwartaal gekenmerkt door hogere </w:t>
      </w:r>
      <w:proofErr w:type="spellStart"/>
      <w:r w:rsidRPr="00F76249">
        <w:rPr>
          <w:rFonts w:cs="Arial"/>
          <w:bCs/>
          <w:i/>
          <w:color w:val="003768"/>
          <w:sz w:val="20"/>
          <w:szCs w:val="20"/>
          <w:lang w:val="nl-BE"/>
        </w:rPr>
        <w:t>nettorente</w:t>
      </w:r>
      <w:proofErr w:type="spellEnd"/>
      <w:r w:rsidRPr="00F76249">
        <w:rPr>
          <w:rFonts w:cs="Arial"/>
          <w:bCs/>
          <w:i/>
          <w:color w:val="003768"/>
          <w:sz w:val="20"/>
          <w:szCs w:val="20"/>
          <w:lang w:val="nl-BE"/>
        </w:rPr>
        <w:t xml:space="preserve">-inkomsten, stabiele </w:t>
      </w:r>
      <w:proofErr w:type="spellStart"/>
      <w:r w:rsidRPr="00F76249">
        <w:rPr>
          <w:rFonts w:cs="Arial"/>
          <w:bCs/>
          <w:i/>
          <w:color w:val="003768"/>
          <w:sz w:val="20"/>
          <w:szCs w:val="20"/>
          <w:lang w:val="nl-BE"/>
        </w:rPr>
        <w:t>nettoprovisie</w:t>
      </w:r>
      <w:proofErr w:type="spellEnd"/>
      <w:r w:rsidRPr="00F76249">
        <w:rPr>
          <w:rFonts w:cs="Arial"/>
          <w:bCs/>
          <w:i/>
          <w:color w:val="003768"/>
          <w:sz w:val="20"/>
          <w:szCs w:val="20"/>
          <w:lang w:val="nl-BE"/>
        </w:rPr>
        <w:t>-inkomsten en een goede verkoop van levensverzekeringen, maar ook door een zwakkere gecombineerde ratio voor Niet-Leven door hogere schadeclaims, lagere exploitatiekosten en hogere waardeverminderingen op kredieten.</w:t>
      </w:r>
      <w:r w:rsidR="00060377" w:rsidRPr="00F76249">
        <w:rPr>
          <w:rFonts w:cs="Arial"/>
          <w:bCs/>
          <w:i/>
          <w:color w:val="003768"/>
          <w:sz w:val="20"/>
          <w:szCs w:val="20"/>
          <w:lang w:val="nl-BE"/>
        </w:rPr>
        <w:t xml:space="preserve"> </w:t>
      </w:r>
      <w:r w:rsidRPr="00F76249">
        <w:rPr>
          <w:rFonts w:cs="Arial"/>
          <w:bCs/>
          <w:i/>
          <w:color w:val="003768"/>
          <w:sz w:val="20"/>
          <w:szCs w:val="20"/>
          <w:lang w:val="nl-BE"/>
        </w:rPr>
        <w:t>De bankactiviteiten waren in het vierde kwartaal van 2013 goed voor 85% van het nettoresultaat, de verzekeringsactiviteiten voor 15%.</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F76249">
        <w:rPr>
          <w:rFonts w:cs="Arial"/>
          <w:bCs/>
          <w:i/>
          <w:color w:val="003768"/>
          <w:sz w:val="20"/>
          <w:szCs w:val="20"/>
          <w:lang w:val="nl-BE"/>
        </w:rPr>
        <w:t xml:space="preserve">Divisie Tsjechië zette een nettoresultaat van 119 miljoen euro neer, iets meer dan in het laatste kwartaal van 2012. Algemeen had het resultaat te lijden onder de verzwakking van de Tsjechische kroon tijdens de laatste drie maanden van het jaar. In vergelijking met het derde kwartaal was er in het vierde kwartaal een daling van de </w:t>
      </w:r>
      <w:proofErr w:type="spellStart"/>
      <w:r w:rsidRPr="00F76249">
        <w:rPr>
          <w:rFonts w:cs="Arial"/>
          <w:bCs/>
          <w:i/>
          <w:color w:val="003768"/>
          <w:sz w:val="20"/>
          <w:szCs w:val="20"/>
          <w:lang w:val="nl-BE"/>
        </w:rPr>
        <w:t>nettorente</w:t>
      </w:r>
      <w:proofErr w:type="spellEnd"/>
      <w:r w:rsidRPr="00F76249">
        <w:rPr>
          <w:rFonts w:cs="Arial"/>
          <w:bCs/>
          <w:i/>
          <w:color w:val="003768"/>
          <w:sz w:val="20"/>
          <w:szCs w:val="20"/>
          <w:lang w:val="nl-BE"/>
        </w:rPr>
        <w:t xml:space="preserve">-inkomsten, een verbeterde gecombineerde ratio voor Niet-Leven, een gestegen verkoop van tak 23-levensverzekeringen, hogere </w:t>
      </w:r>
      <w:proofErr w:type="spellStart"/>
      <w:r w:rsidRPr="00F76249">
        <w:rPr>
          <w:rFonts w:cs="Arial"/>
          <w:bCs/>
          <w:i/>
          <w:color w:val="003768"/>
          <w:sz w:val="20"/>
          <w:szCs w:val="20"/>
          <w:lang w:val="nl-BE"/>
        </w:rPr>
        <w:t>nettoprovisie</w:t>
      </w:r>
      <w:proofErr w:type="spellEnd"/>
      <w:r w:rsidRPr="00F76249">
        <w:rPr>
          <w:rFonts w:cs="Arial"/>
          <w:bCs/>
          <w:i/>
          <w:color w:val="003768"/>
          <w:sz w:val="20"/>
          <w:szCs w:val="20"/>
          <w:lang w:val="nl-BE"/>
        </w:rPr>
        <w:t xml:space="preserve">-inkomsten, hogere exploitatiekosten door </w:t>
      </w:r>
      <w:proofErr w:type="spellStart"/>
      <w:r w:rsidRPr="00F76249">
        <w:rPr>
          <w:rFonts w:cs="Arial"/>
          <w:bCs/>
          <w:i/>
          <w:color w:val="003768"/>
          <w:sz w:val="20"/>
          <w:szCs w:val="20"/>
          <w:lang w:val="nl-BE"/>
        </w:rPr>
        <w:t>seizoenseffecten</w:t>
      </w:r>
      <w:proofErr w:type="spellEnd"/>
      <w:r w:rsidRPr="00F76249">
        <w:rPr>
          <w:rFonts w:cs="Arial"/>
          <w:bCs/>
          <w:i/>
          <w:color w:val="003768"/>
          <w:sz w:val="20"/>
          <w:szCs w:val="20"/>
          <w:lang w:val="nl-BE"/>
        </w:rPr>
        <w:t xml:space="preserve"> en hogere waardeverminderingen op kredieten.</w:t>
      </w:r>
      <w:r w:rsidR="00060377" w:rsidRPr="00F76249">
        <w:rPr>
          <w:rFonts w:cs="Arial"/>
          <w:bCs/>
          <w:i/>
          <w:color w:val="003768"/>
          <w:sz w:val="20"/>
          <w:szCs w:val="20"/>
          <w:lang w:val="nl-BE"/>
        </w:rPr>
        <w:t xml:space="preserve"> </w:t>
      </w:r>
      <w:r w:rsidRPr="00F76249">
        <w:rPr>
          <w:rFonts w:cs="Arial"/>
          <w:bCs/>
          <w:i/>
          <w:color w:val="003768"/>
          <w:sz w:val="20"/>
          <w:szCs w:val="20"/>
          <w:lang w:val="nl-BE"/>
        </w:rPr>
        <w:t>De bankactiviteiten waren in het vierde kwartaal van 2013 goed voor 92% van het nettoresultaat, de verzekeringsactiviteiten voor 8%.</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Divisie Internationale Markten boekte een eenmalig laag nettoresultaat van -731 miljoen euro. In vergelijking met het vorige kwartaal had het vierde kwartaal voornamelijk te lijden onder de eenmalige waardeverminderingen van 773 miljoen euro voor de Ierse kredietportefeuille. Daarnaast waren de </w:t>
      </w:r>
      <w:proofErr w:type="spellStart"/>
      <w:r w:rsidRPr="00136A6C">
        <w:rPr>
          <w:rFonts w:cs="Arial"/>
          <w:bCs/>
          <w:i/>
          <w:color w:val="003768"/>
          <w:sz w:val="20"/>
          <w:szCs w:val="20"/>
          <w:lang w:val="nl-BE"/>
        </w:rPr>
        <w:t>nettorente</w:t>
      </w:r>
      <w:proofErr w:type="spellEnd"/>
      <w:r w:rsidRPr="00136A6C">
        <w:rPr>
          <w:rFonts w:cs="Arial"/>
          <w:bCs/>
          <w:i/>
          <w:color w:val="003768"/>
          <w:sz w:val="20"/>
          <w:szCs w:val="20"/>
          <w:lang w:val="nl-BE"/>
        </w:rPr>
        <w:t xml:space="preserve">-inkomsten lager (door Ierland), maar de </w:t>
      </w:r>
      <w:proofErr w:type="spellStart"/>
      <w:r w:rsidRPr="00136A6C">
        <w:rPr>
          <w:rFonts w:cs="Arial"/>
          <w:bCs/>
          <w:i/>
          <w:color w:val="003768"/>
          <w:sz w:val="20"/>
          <w:szCs w:val="20"/>
          <w:lang w:val="nl-BE"/>
        </w:rPr>
        <w:t>nettoprovisie</w:t>
      </w:r>
      <w:proofErr w:type="spellEnd"/>
      <w:r w:rsidRPr="00136A6C">
        <w:rPr>
          <w:rFonts w:cs="Arial"/>
          <w:bCs/>
          <w:i/>
          <w:color w:val="003768"/>
          <w:sz w:val="20"/>
          <w:szCs w:val="20"/>
          <w:lang w:val="nl-BE"/>
        </w:rPr>
        <w:t xml:space="preserve">-inkomsten waren duidelijk gestegen (dankzij Hongarije). Door </w:t>
      </w:r>
      <w:proofErr w:type="spellStart"/>
      <w:r w:rsidRPr="00136A6C">
        <w:rPr>
          <w:rFonts w:cs="Arial"/>
          <w:bCs/>
          <w:i/>
          <w:color w:val="003768"/>
          <w:sz w:val="20"/>
          <w:szCs w:val="20"/>
          <w:lang w:val="nl-BE"/>
        </w:rPr>
        <w:t>seizoenseffecten</w:t>
      </w:r>
      <w:proofErr w:type="spellEnd"/>
      <w:r w:rsidRPr="00136A6C">
        <w:rPr>
          <w:rFonts w:cs="Arial"/>
          <w:bCs/>
          <w:i/>
          <w:color w:val="003768"/>
          <w:sz w:val="20"/>
          <w:szCs w:val="20"/>
          <w:lang w:val="nl-BE"/>
        </w:rPr>
        <w:t xml:space="preserve"> en hogere kosten in Ierland vielen ook de kosten hoger uit. Globaal tekenden de bankactiviteiten voor een negatief nettoresultaat van -735 </w:t>
      </w:r>
      <w:r w:rsidRPr="00136A6C">
        <w:rPr>
          <w:rFonts w:cs="Arial"/>
          <w:bCs/>
          <w:i/>
          <w:color w:val="003768"/>
          <w:sz w:val="20"/>
          <w:szCs w:val="20"/>
          <w:lang w:val="nl-BE"/>
        </w:rPr>
        <w:lastRenderedPageBreak/>
        <w:t>miljoen euro (de positieve resultaten van Hongarije, met zijn nochtans ongunstige fiscaliteit, Slowakije, met zijn stevige winstgroei, en Bulgarije werden tenietgedaan door het negatieve resultaat in Ierland), terwijl de verzekeringsactiviteiten een positief nettoresultaat van 4 miljoen euro genereerden.</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Zoals aangekondigd in november 2013 hebben we onze kredietportefeuille herbekeken met bijzondere aandacht voor de Ierse kredieten en bijkomende voorzieningen aangelegd voor de </w:t>
      </w:r>
      <w:proofErr w:type="spellStart"/>
      <w:r w:rsidRPr="00136A6C">
        <w:rPr>
          <w:rFonts w:cs="Arial"/>
          <w:bCs/>
          <w:i/>
          <w:color w:val="003768"/>
          <w:sz w:val="20"/>
          <w:szCs w:val="20"/>
          <w:lang w:val="nl-BE"/>
        </w:rPr>
        <w:t>herclassificatie</w:t>
      </w:r>
      <w:proofErr w:type="spellEnd"/>
      <w:r w:rsidRPr="00136A6C">
        <w:rPr>
          <w:rFonts w:cs="Arial"/>
          <w:bCs/>
          <w:i/>
          <w:color w:val="003768"/>
          <w:sz w:val="20"/>
          <w:szCs w:val="20"/>
          <w:lang w:val="nl-BE"/>
        </w:rPr>
        <w:t xml:space="preserve"> van 2 miljard euro aan geherstructureerde hypotheekkredieten. Gezien het trager dan verwachte herstel van de </w:t>
      </w:r>
      <w:proofErr w:type="spellStart"/>
      <w:r w:rsidRPr="00136A6C">
        <w:rPr>
          <w:rFonts w:cs="Arial"/>
          <w:bCs/>
          <w:i/>
          <w:color w:val="003768"/>
          <w:sz w:val="20"/>
          <w:szCs w:val="20"/>
          <w:lang w:val="nl-BE"/>
        </w:rPr>
        <w:t>kmo</w:t>
      </w:r>
      <w:proofErr w:type="spellEnd"/>
      <w:r w:rsidRPr="00136A6C">
        <w:rPr>
          <w:rFonts w:cs="Arial"/>
          <w:bCs/>
          <w:i/>
          <w:color w:val="003768"/>
          <w:sz w:val="20"/>
          <w:szCs w:val="20"/>
          <w:lang w:val="nl-BE"/>
        </w:rPr>
        <w:t>-sector in Ierland en de voorzichtigere prognoses voor toekomstige kasstromen en dekkingswaarden hebben we ook bijkomende voorzieningen aangelegd voor onze bedrijfskredietportefeuille. In totaal heeft dat voor het vierde kwartaal van 2013 een waardevermindering voor Ierland opgeleverd van 773 miljoen euro. De kredietvoorzieningen voor Ierland waarvan we uitgaan voor de komende jaren bedragen 150 tot 200 miljoen euro voor 2014 en van 50 tot 100 miljoen euro voor 2015 en 2016. Die prognose is gebaseerd op de huidige economische vooruitzichten. Voor de andere landen is de verwachte impact momenteel verwaarloosbaar.</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We hebben ook ons desinvesteringsplan afgerond. In december sloten we de verkoop van KBC </w:t>
      </w:r>
      <w:proofErr w:type="spellStart"/>
      <w:r w:rsidRPr="00136A6C">
        <w:rPr>
          <w:rFonts w:cs="Arial"/>
          <w:bCs/>
          <w:i/>
          <w:color w:val="003768"/>
          <w:sz w:val="20"/>
          <w:szCs w:val="20"/>
          <w:lang w:val="nl-BE"/>
        </w:rPr>
        <w:t>Banka</w:t>
      </w:r>
      <w:proofErr w:type="spellEnd"/>
      <w:r w:rsidRPr="00136A6C">
        <w:rPr>
          <w:rFonts w:cs="Arial"/>
          <w:bCs/>
          <w:i/>
          <w:color w:val="003768"/>
          <w:sz w:val="20"/>
          <w:szCs w:val="20"/>
          <w:lang w:val="nl-BE"/>
        </w:rPr>
        <w:t xml:space="preserve"> af en lieten we weten dat we een akkoord bereikt hadden over de verkoop van de Antwerpse Diamantbank aan </w:t>
      </w:r>
      <w:proofErr w:type="spellStart"/>
      <w:r w:rsidRPr="00136A6C">
        <w:rPr>
          <w:rFonts w:cs="Arial"/>
          <w:bCs/>
          <w:i/>
          <w:color w:val="003768"/>
          <w:sz w:val="20"/>
          <w:szCs w:val="20"/>
          <w:lang w:val="nl-BE"/>
        </w:rPr>
        <w:t>Yinren</w:t>
      </w:r>
      <w:proofErr w:type="spellEnd"/>
      <w:r w:rsidRPr="00136A6C">
        <w:rPr>
          <w:rFonts w:cs="Arial"/>
          <w:bCs/>
          <w:i/>
          <w:color w:val="003768"/>
          <w:sz w:val="20"/>
          <w:szCs w:val="20"/>
          <w:lang w:val="nl-BE"/>
        </w:rPr>
        <w:t xml:space="preserve"> Group. Zoals we vroeger al lieten weten, hebben we in september een akkoord bereikt over de verkoop van KBC Bank Deutschland AG. Door deze transacties zal de Tier 1-ratio van KBC (</w:t>
      </w:r>
      <w:proofErr w:type="spellStart"/>
      <w:r w:rsidRPr="00136A6C">
        <w:rPr>
          <w:rFonts w:cs="Arial"/>
          <w:bCs/>
          <w:i/>
          <w:color w:val="003768"/>
          <w:sz w:val="20"/>
          <w:szCs w:val="20"/>
          <w:lang w:val="nl-BE"/>
        </w:rPr>
        <w:t>Basel</w:t>
      </w:r>
      <w:proofErr w:type="spellEnd"/>
      <w:r w:rsidRPr="00136A6C">
        <w:rPr>
          <w:rFonts w:cs="Arial"/>
          <w:bCs/>
          <w:i/>
          <w:color w:val="003768"/>
          <w:sz w:val="20"/>
          <w:szCs w:val="20"/>
          <w:lang w:val="nl-BE"/>
        </w:rPr>
        <w:t xml:space="preserve"> II) met ongeveer 0,3% verbeteren.</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We hebben in het eerste kwartaal van 2014 een van de </w:t>
      </w:r>
      <w:proofErr w:type="spellStart"/>
      <w:r w:rsidRPr="00136A6C">
        <w:rPr>
          <w:rFonts w:cs="Arial"/>
          <w:bCs/>
          <w:i/>
          <w:color w:val="003768"/>
          <w:sz w:val="20"/>
          <w:szCs w:val="20"/>
          <w:lang w:val="nl-BE"/>
        </w:rPr>
        <w:t>CDO’s</w:t>
      </w:r>
      <w:proofErr w:type="spellEnd"/>
      <w:r w:rsidRPr="00136A6C">
        <w:rPr>
          <w:rFonts w:cs="Arial"/>
          <w:bCs/>
          <w:i/>
          <w:color w:val="003768"/>
          <w:sz w:val="20"/>
          <w:szCs w:val="20"/>
          <w:lang w:val="nl-BE"/>
        </w:rPr>
        <w:t xml:space="preserve"> </w:t>
      </w:r>
      <w:proofErr w:type="spellStart"/>
      <w:r w:rsidRPr="00136A6C">
        <w:rPr>
          <w:rFonts w:cs="Arial"/>
          <w:bCs/>
          <w:i/>
          <w:color w:val="003768"/>
          <w:sz w:val="20"/>
          <w:szCs w:val="20"/>
          <w:lang w:val="nl-BE"/>
        </w:rPr>
        <w:t>gecollapsed</w:t>
      </w:r>
      <w:proofErr w:type="spellEnd"/>
      <w:r w:rsidRPr="00136A6C">
        <w:rPr>
          <w:rFonts w:cs="Arial"/>
          <w:bCs/>
          <w:i/>
          <w:color w:val="003768"/>
          <w:sz w:val="20"/>
          <w:szCs w:val="20"/>
          <w:lang w:val="nl-BE"/>
        </w:rPr>
        <w:t>, wat tot een verdere daling leidt van onze positie met ongeveer 2 miljard euro, in nominaal bedrag.</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Wat kapitaalbeheer betreft, ontving KBC in het vierde kwartaal 0,7 miljard euro terug voor kredieten die het had verleend aan </w:t>
      </w:r>
      <w:proofErr w:type="spellStart"/>
      <w:r w:rsidRPr="00136A6C">
        <w:rPr>
          <w:rFonts w:cs="Arial"/>
          <w:bCs/>
          <w:i/>
          <w:color w:val="003768"/>
          <w:sz w:val="20"/>
          <w:szCs w:val="20"/>
          <w:lang w:val="nl-BE"/>
        </w:rPr>
        <w:t>Cera</w:t>
      </w:r>
      <w:proofErr w:type="spellEnd"/>
      <w:r w:rsidRPr="00136A6C">
        <w:rPr>
          <w:rFonts w:cs="Arial"/>
          <w:bCs/>
          <w:i/>
          <w:color w:val="003768"/>
          <w:sz w:val="20"/>
          <w:szCs w:val="20"/>
          <w:lang w:val="nl-BE"/>
        </w:rPr>
        <w:t xml:space="preserve"> en KBC </w:t>
      </w:r>
      <w:proofErr w:type="spellStart"/>
      <w:r w:rsidRPr="00136A6C">
        <w:rPr>
          <w:rFonts w:cs="Arial"/>
          <w:bCs/>
          <w:i/>
          <w:color w:val="003768"/>
          <w:sz w:val="20"/>
          <w:szCs w:val="20"/>
          <w:lang w:val="nl-BE"/>
        </w:rPr>
        <w:t>Ancora</w:t>
      </w:r>
      <w:proofErr w:type="spellEnd"/>
      <w:r w:rsidRPr="00136A6C">
        <w:rPr>
          <w:rFonts w:cs="Arial"/>
          <w:bCs/>
          <w:i/>
          <w:color w:val="003768"/>
          <w:sz w:val="20"/>
          <w:szCs w:val="20"/>
          <w:lang w:val="nl-BE"/>
        </w:rPr>
        <w:t xml:space="preserve">. Beide entiteiten financierden die operatie met de opbrengsten uit de verkoop van een deel van hun aandelen van KBC Groep. Door die afbouw verbeterde het reglementair kapitaal met 0,7 miljard euro en de common </w:t>
      </w:r>
      <w:proofErr w:type="spellStart"/>
      <w:r w:rsidRPr="00136A6C">
        <w:rPr>
          <w:rFonts w:cs="Arial"/>
          <w:bCs/>
          <w:i/>
          <w:color w:val="003768"/>
          <w:sz w:val="20"/>
          <w:szCs w:val="20"/>
          <w:lang w:val="nl-BE"/>
        </w:rPr>
        <w:t>equity</w:t>
      </w:r>
      <w:proofErr w:type="spellEnd"/>
      <w:r w:rsidRPr="00136A6C">
        <w:rPr>
          <w:rFonts w:cs="Arial"/>
          <w:bCs/>
          <w:i/>
          <w:color w:val="003768"/>
          <w:sz w:val="20"/>
          <w:szCs w:val="20"/>
          <w:lang w:val="nl-BE"/>
        </w:rPr>
        <w:t xml:space="preserve"> ratio (</w:t>
      </w:r>
      <w:proofErr w:type="spellStart"/>
      <w:r w:rsidRPr="00136A6C">
        <w:rPr>
          <w:rFonts w:cs="Arial"/>
          <w:bCs/>
          <w:i/>
          <w:color w:val="003768"/>
          <w:sz w:val="20"/>
          <w:szCs w:val="20"/>
          <w:lang w:val="nl-BE"/>
        </w:rPr>
        <w:t>Basel</w:t>
      </w:r>
      <w:proofErr w:type="spellEnd"/>
      <w:r w:rsidRPr="00136A6C">
        <w:rPr>
          <w:rFonts w:cs="Arial"/>
          <w:bCs/>
          <w:i/>
          <w:color w:val="003768"/>
          <w:sz w:val="20"/>
          <w:szCs w:val="20"/>
          <w:lang w:val="nl-BE"/>
        </w:rPr>
        <w:t xml:space="preserve"> III, </w:t>
      </w:r>
      <w:proofErr w:type="spellStart"/>
      <w:r w:rsidRPr="00136A6C">
        <w:rPr>
          <w:rFonts w:cs="Arial"/>
          <w:bCs/>
          <w:i/>
          <w:color w:val="003768"/>
          <w:sz w:val="20"/>
          <w:szCs w:val="20"/>
          <w:lang w:val="nl-BE"/>
        </w:rPr>
        <w:t>fully</w:t>
      </w:r>
      <w:proofErr w:type="spellEnd"/>
      <w:r w:rsidRPr="00136A6C">
        <w:rPr>
          <w:rFonts w:cs="Arial"/>
          <w:bCs/>
          <w:i/>
          <w:color w:val="003768"/>
          <w:sz w:val="20"/>
          <w:szCs w:val="20"/>
          <w:lang w:val="nl-BE"/>
        </w:rPr>
        <w:t xml:space="preserve"> </w:t>
      </w:r>
      <w:proofErr w:type="spellStart"/>
      <w:r w:rsidRPr="00136A6C">
        <w:rPr>
          <w:rFonts w:cs="Arial"/>
          <w:bCs/>
          <w:i/>
          <w:color w:val="003768"/>
          <w:sz w:val="20"/>
          <w:szCs w:val="20"/>
          <w:lang w:val="nl-BE"/>
        </w:rPr>
        <w:t>loaded</w:t>
      </w:r>
      <w:proofErr w:type="spellEnd"/>
      <w:r w:rsidRPr="00136A6C">
        <w:rPr>
          <w:rFonts w:cs="Arial"/>
          <w:bCs/>
          <w:i/>
          <w:color w:val="003768"/>
          <w:sz w:val="20"/>
          <w:szCs w:val="20"/>
          <w:lang w:val="nl-BE"/>
        </w:rPr>
        <w:t>) met 0,7%.</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Begin 2014 deden we een tweede terugbetaling aan de Vlaamse overheid. Het gaat om een bedrag van 0,5 miljard euro (0,33 miljard euro + 50%  premie). Dat deden we opnieuw vroeger dan we moesten volgens de planning die we met de Europese Commissie waren overeengekomen. Dat was mogelijk dankzij onze stevige kapitaalpositie. De resterende staatssteun bedraagt nu nog 2 miljard euro.</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De liquiditeitspositie van onze groep blijft erg sterk. De LCR en NSFR zitten ruim boven 100%.</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Ook onze kapitaalpositie blijft erg sterk, zoals blijkt uit onze pro forma Tier 1-ratio van 15,6% (</w:t>
      </w:r>
      <w:proofErr w:type="spellStart"/>
      <w:r w:rsidRPr="00136A6C">
        <w:rPr>
          <w:rFonts w:cs="Arial"/>
          <w:bCs/>
          <w:i/>
          <w:color w:val="003768"/>
          <w:sz w:val="20"/>
          <w:szCs w:val="20"/>
          <w:lang w:val="nl-BE"/>
        </w:rPr>
        <w:t>Basel</w:t>
      </w:r>
      <w:proofErr w:type="spellEnd"/>
      <w:r w:rsidRPr="00136A6C">
        <w:rPr>
          <w:rFonts w:cs="Arial"/>
          <w:bCs/>
          <w:i/>
          <w:color w:val="003768"/>
          <w:sz w:val="20"/>
          <w:szCs w:val="20"/>
          <w:lang w:val="nl-BE"/>
        </w:rPr>
        <w:t xml:space="preserve"> II). Dat cijfer houdt rekening met de terugbetaling begin januari van 0,5 miljard euro aan de Vlaamse overheid en de desinvesteringen waarvoor de overeenkomsten ondertekend zijn. </w:t>
      </w:r>
      <w:proofErr w:type="spellStart"/>
      <w:r w:rsidRPr="00136A6C">
        <w:rPr>
          <w:rFonts w:cs="Arial"/>
          <w:bCs/>
          <w:i/>
          <w:color w:val="003768"/>
          <w:sz w:val="20"/>
          <w:szCs w:val="20"/>
        </w:rPr>
        <w:t>Eind</w:t>
      </w:r>
      <w:proofErr w:type="spellEnd"/>
      <w:r w:rsidRPr="00136A6C">
        <w:rPr>
          <w:rFonts w:cs="Arial"/>
          <w:bCs/>
          <w:i/>
          <w:color w:val="003768"/>
          <w:sz w:val="20"/>
          <w:szCs w:val="20"/>
        </w:rPr>
        <w:t xml:space="preserve"> 2013 </w:t>
      </w:r>
      <w:proofErr w:type="spellStart"/>
      <w:r w:rsidRPr="00136A6C">
        <w:rPr>
          <w:rFonts w:cs="Arial"/>
          <w:bCs/>
          <w:i/>
          <w:color w:val="003768"/>
          <w:sz w:val="20"/>
          <w:szCs w:val="20"/>
        </w:rPr>
        <w:t>bedroeg</w:t>
      </w:r>
      <w:proofErr w:type="spellEnd"/>
      <w:r w:rsidRPr="00136A6C">
        <w:rPr>
          <w:rFonts w:cs="Arial"/>
          <w:bCs/>
          <w:i/>
          <w:color w:val="003768"/>
          <w:sz w:val="20"/>
          <w:szCs w:val="20"/>
        </w:rPr>
        <w:t xml:space="preserve"> </w:t>
      </w:r>
      <w:proofErr w:type="spellStart"/>
      <w:r w:rsidRPr="00136A6C">
        <w:rPr>
          <w:rFonts w:cs="Arial"/>
          <w:bCs/>
          <w:i/>
          <w:color w:val="003768"/>
          <w:sz w:val="20"/>
          <w:szCs w:val="20"/>
        </w:rPr>
        <w:t>onze</w:t>
      </w:r>
      <w:proofErr w:type="spellEnd"/>
      <w:r w:rsidRPr="00136A6C">
        <w:rPr>
          <w:rFonts w:cs="Arial"/>
          <w:bCs/>
          <w:i/>
          <w:color w:val="003768"/>
          <w:sz w:val="20"/>
          <w:szCs w:val="20"/>
        </w:rPr>
        <w:t xml:space="preserve"> common equity ratio </w:t>
      </w:r>
      <w:proofErr w:type="spellStart"/>
      <w:r w:rsidRPr="00136A6C">
        <w:rPr>
          <w:rFonts w:cs="Arial"/>
          <w:bCs/>
          <w:i/>
          <w:color w:val="003768"/>
          <w:sz w:val="20"/>
          <w:szCs w:val="20"/>
        </w:rPr>
        <w:t>volgens</w:t>
      </w:r>
      <w:proofErr w:type="spellEnd"/>
      <w:r w:rsidRPr="00136A6C">
        <w:rPr>
          <w:rFonts w:cs="Arial"/>
          <w:bCs/>
          <w:i/>
          <w:color w:val="003768"/>
          <w:sz w:val="20"/>
          <w:szCs w:val="20"/>
        </w:rPr>
        <w:t xml:space="preserve"> Basel III 12,5% (fully loaded, pro forma, </w:t>
      </w:r>
      <w:proofErr w:type="spellStart"/>
      <w:r w:rsidRPr="00136A6C">
        <w:rPr>
          <w:rFonts w:cs="Arial"/>
          <w:bCs/>
          <w:i/>
          <w:color w:val="003768"/>
          <w:sz w:val="20"/>
          <w:szCs w:val="20"/>
        </w:rPr>
        <w:t>Deense</w:t>
      </w:r>
      <w:proofErr w:type="spellEnd"/>
      <w:r w:rsidRPr="00136A6C">
        <w:rPr>
          <w:rFonts w:cs="Arial"/>
          <w:bCs/>
          <w:i/>
          <w:color w:val="003768"/>
          <w:sz w:val="20"/>
          <w:szCs w:val="20"/>
        </w:rPr>
        <w:t xml:space="preserve"> </w:t>
      </w:r>
      <w:proofErr w:type="spellStart"/>
      <w:r w:rsidRPr="00136A6C">
        <w:rPr>
          <w:rFonts w:cs="Arial"/>
          <w:bCs/>
          <w:i/>
          <w:color w:val="003768"/>
          <w:sz w:val="20"/>
          <w:szCs w:val="20"/>
        </w:rPr>
        <w:t>compromismethode</w:t>
      </w:r>
      <w:proofErr w:type="spellEnd"/>
      <w:r w:rsidRPr="00136A6C">
        <w:rPr>
          <w:rFonts w:cs="Arial"/>
          <w:bCs/>
          <w:i/>
          <w:color w:val="003768"/>
          <w:sz w:val="20"/>
          <w:szCs w:val="20"/>
        </w:rPr>
        <w:t xml:space="preserve">). </w:t>
      </w:r>
      <w:r w:rsidRPr="00136A6C">
        <w:rPr>
          <w:rFonts w:cs="Arial"/>
          <w:bCs/>
          <w:i/>
          <w:color w:val="003768"/>
          <w:sz w:val="20"/>
          <w:szCs w:val="20"/>
          <w:lang w:val="nl-BE"/>
        </w:rPr>
        <w:t>Daarmee zitten we ruim boven onze doelstelling van 10%.</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F76249">
        <w:rPr>
          <w:rFonts w:cs="Arial"/>
          <w:bCs/>
          <w:i/>
          <w:color w:val="003768"/>
          <w:sz w:val="20"/>
          <w:szCs w:val="20"/>
          <w:lang w:val="nl-BE"/>
        </w:rPr>
        <w:t xml:space="preserve">Met betrekking tot onze toekomstige dividendbetalingen, zullen we de respectieve Algemene vergaderingen van Aandeelhouders voorstellen om over het boekjaar 2013 en 2015 geen dividend uit te betalen. Dat betekent ook dat er </w:t>
      </w:r>
      <w:r w:rsidR="00060377" w:rsidRPr="00F76249">
        <w:rPr>
          <w:rFonts w:cs="Arial"/>
          <w:bCs/>
          <w:i/>
          <w:color w:val="003768"/>
          <w:sz w:val="20"/>
          <w:szCs w:val="20"/>
          <w:lang w:val="nl-BE"/>
        </w:rPr>
        <w:t xml:space="preserve">over deze boekjaren </w:t>
      </w:r>
      <w:r w:rsidRPr="00F76249">
        <w:rPr>
          <w:rFonts w:cs="Arial"/>
          <w:bCs/>
          <w:i/>
          <w:color w:val="003768"/>
          <w:sz w:val="20"/>
          <w:szCs w:val="20"/>
          <w:lang w:val="nl-BE"/>
        </w:rPr>
        <w:t>geen coupon zal worden uitbetaald voor de uitstaande kernkapitaaleffecten zonder stemrecht (</w:t>
      </w:r>
      <w:proofErr w:type="spellStart"/>
      <w:r w:rsidRPr="00F76249">
        <w:rPr>
          <w:rFonts w:cs="Arial"/>
          <w:bCs/>
          <w:i/>
          <w:color w:val="003768"/>
          <w:sz w:val="20"/>
          <w:szCs w:val="20"/>
          <w:lang w:val="nl-BE"/>
        </w:rPr>
        <w:t>Yield</w:t>
      </w:r>
      <w:proofErr w:type="spellEnd"/>
      <w:r w:rsidRPr="00F76249">
        <w:rPr>
          <w:rFonts w:cs="Arial"/>
          <w:bCs/>
          <w:i/>
          <w:color w:val="003768"/>
          <w:sz w:val="20"/>
          <w:szCs w:val="20"/>
          <w:lang w:val="nl-BE"/>
        </w:rPr>
        <w:t xml:space="preserve"> </w:t>
      </w:r>
      <w:proofErr w:type="spellStart"/>
      <w:r w:rsidRPr="00F76249">
        <w:rPr>
          <w:rFonts w:cs="Arial"/>
          <w:bCs/>
          <w:i/>
          <w:color w:val="003768"/>
          <w:sz w:val="20"/>
          <w:szCs w:val="20"/>
          <w:lang w:val="nl-BE"/>
        </w:rPr>
        <w:t>Enhanced</w:t>
      </w:r>
      <w:proofErr w:type="spellEnd"/>
      <w:r w:rsidRPr="00136A6C">
        <w:rPr>
          <w:rFonts w:cs="Arial"/>
          <w:bCs/>
          <w:i/>
          <w:color w:val="003768"/>
          <w:sz w:val="20"/>
          <w:szCs w:val="20"/>
          <w:lang w:val="nl-BE"/>
        </w:rPr>
        <w:t xml:space="preserve"> </w:t>
      </w:r>
      <w:proofErr w:type="spellStart"/>
      <w:r w:rsidRPr="00136A6C">
        <w:rPr>
          <w:rFonts w:cs="Arial"/>
          <w:bCs/>
          <w:i/>
          <w:color w:val="003768"/>
          <w:sz w:val="20"/>
          <w:szCs w:val="20"/>
          <w:lang w:val="nl-BE"/>
        </w:rPr>
        <w:t>Securities</w:t>
      </w:r>
      <w:proofErr w:type="spellEnd"/>
      <w:r w:rsidRPr="00136A6C">
        <w:rPr>
          <w:rFonts w:cs="Arial"/>
          <w:bCs/>
          <w:i/>
          <w:color w:val="003768"/>
          <w:sz w:val="20"/>
          <w:szCs w:val="20"/>
          <w:lang w:val="nl-BE"/>
        </w:rPr>
        <w:t xml:space="preserve">) van de Vlaamse overheid. </w:t>
      </w:r>
    </w:p>
    <w:p w:rsidR="00136A6C" w:rsidRPr="00136A6C" w:rsidRDefault="005A3C31" w:rsidP="00210DB3">
      <w:pPr>
        <w:autoSpaceDE w:val="0"/>
        <w:autoSpaceDN w:val="0"/>
        <w:adjustRightInd w:val="0"/>
        <w:spacing w:after="60" w:line="240" w:lineRule="auto"/>
        <w:ind w:left="993" w:right="4"/>
        <w:jc w:val="both"/>
        <w:rPr>
          <w:rFonts w:cs="Arial"/>
          <w:bCs/>
          <w:i/>
          <w:color w:val="003768"/>
          <w:sz w:val="20"/>
          <w:szCs w:val="20"/>
          <w:lang w:val="nl-BE"/>
        </w:rPr>
      </w:pPr>
      <w:r>
        <w:rPr>
          <w:rFonts w:cs="Arial"/>
          <w:bCs/>
          <w:i/>
          <w:color w:val="003768"/>
          <w:sz w:val="20"/>
          <w:szCs w:val="20"/>
          <w:lang w:val="nl-BE"/>
        </w:rPr>
        <w:t>Met betrekking tot</w:t>
      </w:r>
      <w:r w:rsidR="00136A6C" w:rsidRPr="00136A6C">
        <w:rPr>
          <w:rFonts w:cs="Arial"/>
          <w:bCs/>
          <w:i/>
          <w:color w:val="003768"/>
          <w:sz w:val="20"/>
          <w:szCs w:val="20"/>
          <w:lang w:val="nl-BE"/>
        </w:rPr>
        <w:t xml:space="preserve"> het boekjaar 2014 heeft KBC Groep de bedoeling </w:t>
      </w:r>
      <w:r>
        <w:rPr>
          <w:rFonts w:cs="Arial"/>
          <w:bCs/>
          <w:i/>
          <w:color w:val="003768"/>
          <w:sz w:val="20"/>
          <w:szCs w:val="20"/>
          <w:lang w:val="nl-BE"/>
        </w:rPr>
        <w:t>om op basis van de beschikbare winst die in dat boekjaar wordt gegenereerd</w:t>
      </w:r>
      <w:r w:rsidR="00136A6C" w:rsidRPr="00136A6C">
        <w:rPr>
          <w:rFonts w:cs="Arial"/>
          <w:bCs/>
          <w:i/>
          <w:color w:val="003768"/>
          <w:sz w:val="20"/>
          <w:szCs w:val="20"/>
          <w:lang w:val="nl-BE"/>
        </w:rPr>
        <w:t xml:space="preserve"> een </w:t>
      </w:r>
      <w:proofErr w:type="spellStart"/>
      <w:r w:rsidR="00136A6C" w:rsidRPr="00136A6C">
        <w:rPr>
          <w:rFonts w:cs="Arial"/>
          <w:bCs/>
          <w:i/>
          <w:color w:val="003768"/>
          <w:sz w:val="20"/>
          <w:szCs w:val="20"/>
          <w:lang w:val="nl-BE"/>
        </w:rPr>
        <w:t>brutodividend</w:t>
      </w:r>
      <w:proofErr w:type="spellEnd"/>
      <w:r w:rsidR="00136A6C" w:rsidRPr="00136A6C">
        <w:rPr>
          <w:rFonts w:cs="Arial"/>
          <w:bCs/>
          <w:i/>
          <w:color w:val="003768"/>
          <w:sz w:val="20"/>
          <w:szCs w:val="20"/>
          <w:lang w:val="nl-BE"/>
        </w:rPr>
        <w:t xml:space="preserve"> van maximaal 2 euro per aandeel uit te betalen.</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Het is onze bedoeling vanaf het boekjaar 2016 opnieuw normaal dividend uit te betalen. De exacte dividendpolitiek vanaf dan zal voorgesteld worden op de KBC Investor Day in juni 2014.</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 xml:space="preserve">Hoewel er voor de kernkapitaaleffecten zonder stemrecht geen coupons zullen worden uitbetaald voor de boekjaren 2013 en 2015, zal KBC ervoor zorgen dat de opbrengst die de Vlaamse overheid voor die instrumenten krijgt voor de volledige houdperiode boven </w:t>
      </w:r>
      <w:r w:rsidRPr="00F76249">
        <w:rPr>
          <w:rFonts w:cs="Arial"/>
          <w:bCs/>
          <w:i/>
          <w:color w:val="003768"/>
          <w:sz w:val="20"/>
          <w:szCs w:val="20"/>
          <w:lang w:val="nl-BE"/>
        </w:rPr>
        <w:t xml:space="preserve">de </w:t>
      </w:r>
      <w:r w:rsidR="00060377" w:rsidRPr="00F76249">
        <w:rPr>
          <w:rFonts w:cs="Arial"/>
          <w:bCs/>
          <w:i/>
          <w:color w:val="003768"/>
          <w:sz w:val="20"/>
          <w:szCs w:val="20"/>
          <w:lang w:val="nl-BE"/>
        </w:rPr>
        <w:t xml:space="preserve">gegarandeerde minimumopbrengst van </w:t>
      </w:r>
      <w:r w:rsidRPr="00F76249">
        <w:rPr>
          <w:rFonts w:cs="Arial"/>
          <w:bCs/>
          <w:i/>
          <w:color w:val="003768"/>
          <w:sz w:val="20"/>
          <w:szCs w:val="20"/>
          <w:lang w:val="nl-BE"/>
        </w:rPr>
        <w:t>10</w:t>
      </w:r>
      <w:r w:rsidRPr="00136A6C">
        <w:rPr>
          <w:rFonts w:cs="Arial"/>
          <w:bCs/>
          <w:i/>
          <w:color w:val="003768"/>
          <w:sz w:val="20"/>
          <w:szCs w:val="20"/>
          <w:lang w:val="nl-BE"/>
        </w:rPr>
        <w:t>% per jaar zal blijven.</w:t>
      </w:r>
    </w:p>
    <w:p w:rsidR="00136A6C" w:rsidRPr="00136A6C" w:rsidRDefault="00136A6C" w:rsidP="00210DB3">
      <w:pPr>
        <w:autoSpaceDE w:val="0"/>
        <w:autoSpaceDN w:val="0"/>
        <w:adjustRightInd w:val="0"/>
        <w:spacing w:after="60" w:line="240" w:lineRule="auto"/>
        <w:ind w:left="993" w:right="4"/>
        <w:jc w:val="both"/>
        <w:rPr>
          <w:rFonts w:cs="Arial"/>
          <w:bCs/>
          <w:i/>
          <w:color w:val="003768"/>
          <w:sz w:val="20"/>
          <w:szCs w:val="20"/>
          <w:lang w:val="nl-BE"/>
        </w:rPr>
      </w:pPr>
      <w:r w:rsidRPr="00136A6C">
        <w:rPr>
          <w:rFonts w:cs="Arial"/>
          <w:bCs/>
          <w:i/>
          <w:color w:val="003768"/>
          <w:sz w:val="20"/>
          <w:szCs w:val="20"/>
          <w:lang w:val="nl-BE"/>
        </w:rPr>
        <w:t>Elk</w:t>
      </w:r>
      <w:r w:rsidR="00A26F13">
        <w:rPr>
          <w:rFonts w:cs="Arial"/>
          <w:bCs/>
          <w:i/>
          <w:color w:val="003768"/>
          <w:sz w:val="20"/>
          <w:szCs w:val="20"/>
          <w:lang w:val="nl-BE"/>
        </w:rPr>
        <w:t>e</w:t>
      </w:r>
      <w:bookmarkStart w:id="0" w:name="_GoBack"/>
      <w:bookmarkEnd w:id="0"/>
      <w:r w:rsidRPr="00136A6C">
        <w:rPr>
          <w:rFonts w:cs="Arial"/>
          <w:bCs/>
          <w:i/>
          <w:color w:val="003768"/>
          <w:sz w:val="20"/>
          <w:szCs w:val="20"/>
          <w:lang w:val="nl-BE"/>
        </w:rPr>
        <w:t xml:space="preserve"> dividendbetaling dient uiteraard, zoals gebruikelijk, goedgekeurd door de regelgever.</w:t>
      </w:r>
    </w:p>
    <w:p w:rsidR="00136A6C" w:rsidRPr="00136A6C" w:rsidRDefault="00136A6C" w:rsidP="00210DB3">
      <w:pPr>
        <w:autoSpaceDE w:val="0"/>
        <w:autoSpaceDN w:val="0"/>
        <w:adjustRightInd w:val="0"/>
        <w:spacing w:after="60" w:line="240" w:lineRule="auto"/>
        <w:ind w:left="992" w:right="6"/>
        <w:jc w:val="both"/>
        <w:rPr>
          <w:rFonts w:cs="Arial"/>
          <w:bCs/>
          <w:i/>
          <w:color w:val="003768"/>
          <w:sz w:val="20"/>
          <w:szCs w:val="20"/>
          <w:lang w:val="nl-BE"/>
        </w:rPr>
      </w:pPr>
      <w:r w:rsidRPr="00136A6C">
        <w:rPr>
          <w:rFonts w:cs="Arial"/>
          <w:bCs/>
          <w:i/>
          <w:color w:val="003768"/>
          <w:sz w:val="20"/>
          <w:szCs w:val="20"/>
          <w:lang w:val="nl-BE"/>
        </w:rPr>
        <w:t>Samengevat, de resultaten voor 2013 bevestigen ons vaste geloof in de sterkte van onze corebusiness: bank</w:t>
      </w:r>
      <w:r w:rsidR="00060377">
        <w:rPr>
          <w:rFonts w:cs="Arial"/>
          <w:bCs/>
          <w:i/>
          <w:color w:val="003768"/>
          <w:sz w:val="20"/>
          <w:szCs w:val="20"/>
          <w:lang w:val="nl-BE"/>
        </w:rPr>
        <w:t>-</w:t>
      </w:r>
      <w:r w:rsidRPr="00136A6C">
        <w:rPr>
          <w:rFonts w:cs="Arial"/>
          <w:bCs/>
          <w:i/>
          <w:color w:val="003768"/>
          <w:sz w:val="20"/>
          <w:szCs w:val="20"/>
          <w:lang w:val="nl-BE"/>
        </w:rPr>
        <w:t>verzekeren in België, Tsjechië, Slowakije, Hongarije en Bulgarije. Onze grootste prioriteit is ervoor te zorgen dat onze activiteiten onze cliënten, aandeelhouders en andere stakeholders ten goede komen. Onze 36 000 medewerkers doen er alles aan om dat waar te maken. En we zijn echt dankbaar voor het vertrouwen dat we blijven krijgen."</w:t>
      </w:r>
    </w:p>
    <w:p w:rsidR="00136A6C" w:rsidRDefault="00136A6C" w:rsidP="00210DB3">
      <w:pPr>
        <w:spacing w:after="0" w:line="240" w:lineRule="auto"/>
        <w:jc w:val="both"/>
        <w:rPr>
          <w:rFonts w:cs="Arial"/>
          <w:bCs/>
          <w:i/>
          <w:color w:val="003768"/>
          <w:lang w:val="nl-BE"/>
        </w:rPr>
      </w:pPr>
      <w:r>
        <w:rPr>
          <w:rFonts w:cs="Arial"/>
          <w:bCs/>
          <w:i/>
          <w:color w:val="003768"/>
          <w:lang w:val="nl-BE"/>
        </w:rPr>
        <w:br w:type="page"/>
      </w:r>
    </w:p>
    <w:p w:rsidR="00136A6C" w:rsidRPr="007A2951" w:rsidRDefault="00136A6C" w:rsidP="00210DB3">
      <w:pPr>
        <w:autoSpaceDE w:val="0"/>
        <w:autoSpaceDN w:val="0"/>
        <w:adjustRightInd w:val="0"/>
        <w:spacing w:after="120" w:line="240" w:lineRule="auto"/>
        <w:ind w:left="992" w:right="6"/>
        <w:jc w:val="both"/>
        <w:rPr>
          <w:rFonts w:ascii="Rockwell" w:hAnsi="Rockwell" w:cs="Arial"/>
          <w:b/>
          <w:bCs/>
          <w:color w:val="003366"/>
          <w:sz w:val="28"/>
          <w:szCs w:val="28"/>
          <w:lang w:val="nl-BE"/>
        </w:rPr>
      </w:pPr>
      <w:r w:rsidRPr="007A2951">
        <w:rPr>
          <w:rFonts w:ascii="Rockwell" w:hAnsi="Rockwell" w:cs="Arial"/>
          <w:b/>
          <w:bCs/>
          <w:color w:val="003366"/>
          <w:sz w:val="28"/>
          <w:szCs w:val="28"/>
          <w:lang w:val="nl-BE"/>
        </w:rPr>
        <w:lastRenderedPageBreak/>
        <w:t xml:space="preserve">Invloed van de </w:t>
      </w:r>
      <w:proofErr w:type="spellStart"/>
      <w:r w:rsidRPr="007A2951">
        <w:rPr>
          <w:rFonts w:ascii="Rockwell" w:hAnsi="Rockwell" w:cs="Arial"/>
          <w:b/>
          <w:bCs/>
          <w:color w:val="003366"/>
          <w:sz w:val="28"/>
          <w:szCs w:val="28"/>
          <w:lang w:val="nl-BE"/>
        </w:rPr>
        <w:t>legacy</w:t>
      </w:r>
      <w:proofErr w:type="spellEnd"/>
      <w:r w:rsidRPr="007A2951">
        <w:rPr>
          <w:rFonts w:ascii="Rockwell" w:hAnsi="Rockwell" w:cs="Arial"/>
          <w:b/>
          <w:bCs/>
          <w:color w:val="003366"/>
          <w:sz w:val="28"/>
          <w:szCs w:val="28"/>
          <w:lang w:val="nl-BE"/>
        </w:rPr>
        <w:t>-activiteiten en de waardering van het eigen kredietrisico:</w:t>
      </w:r>
    </w:p>
    <w:p w:rsidR="00136A6C" w:rsidRPr="00761F3D" w:rsidRDefault="00136A6C" w:rsidP="00210DB3">
      <w:pPr>
        <w:autoSpaceDE w:val="0"/>
        <w:autoSpaceDN w:val="0"/>
        <w:adjustRightInd w:val="0"/>
        <w:spacing w:after="60" w:line="240" w:lineRule="auto"/>
        <w:ind w:left="992" w:right="6"/>
        <w:jc w:val="both"/>
        <w:rPr>
          <w:rFonts w:cs="Arial"/>
          <w:bCs/>
          <w:color w:val="003768"/>
          <w:sz w:val="20"/>
          <w:szCs w:val="20"/>
          <w:lang w:val="nl-BE"/>
        </w:rPr>
      </w:pPr>
      <w:r w:rsidRPr="00761F3D">
        <w:rPr>
          <w:rFonts w:cs="Arial"/>
          <w:bCs/>
          <w:color w:val="003768"/>
          <w:sz w:val="20"/>
          <w:szCs w:val="20"/>
          <w:lang w:val="nl-BE"/>
        </w:rPr>
        <w:t xml:space="preserve">Om een duidelijk inzicht te verschaffen in de bedrijfsresultaten geeft KBC ook aangepaste cijfers die geen rekening houden met a) de invloed van de </w:t>
      </w:r>
      <w:proofErr w:type="spellStart"/>
      <w:r w:rsidRPr="00761F3D">
        <w:rPr>
          <w:rFonts w:cs="Arial"/>
          <w:bCs/>
          <w:color w:val="003768"/>
          <w:sz w:val="20"/>
          <w:szCs w:val="20"/>
          <w:lang w:val="nl-BE"/>
        </w:rPr>
        <w:t>legacy</w:t>
      </w:r>
      <w:proofErr w:type="spellEnd"/>
      <w:r w:rsidRPr="00761F3D">
        <w:rPr>
          <w:rFonts w:cs="Arial"/>
          <w:bCs/>
          <w:color w:val="003768"/>
          <w:sz w:val="20"/>
          <w:szCs w:val="20"/>
          <w:lang w:val="nl-BE"/>
        </w:rPr>
        <w:t xml:space="preserve">-activiteiten, nl. de waardering van de resterende </w:t>
      </w:r>
      <w:proofErr w:type="spellStart"/>
      <w:r w:rsidRPr="00761F3D">
        <w:rPr>
          <w:rFonts w:cs="Arial"/>
          <w:bCs/>
          <w:color w:val="003768"/>
          <w:sz w:val="20"/>
          <w:szCs w:val="20"/>
          <w:lang w:val="nl-BE"/>
        </w:rPr>
        <w:t>CDO’s</w:t>
      </w:r>
      <w:proofErr w:type="spellEnd"/>
      <w:r w:rsidRPr="00761F3D">
        <w:rPr>
          <w:rFonts w:cs="Arial"/>
          <w:bCs/>
          <w:color w:val="003768"/>
          <w:sz w:val="20"/>
          <w:szCs w:val="20"/>
          <w:lang w:val="nl-BE"/>
        </w:rPr>
        <w:t xml:space="preserve"> in portefeuille (inclusief de vergoeding voor de garantieregeling met de Belgische overheid) en de invloed van de desinvesteringen en b) de invloed van de waardering van het eigen kredietrisico. Voor het vierde kwartaal van 2013 hadden die posten de volgende invloed:</w:t>
      </w:r>
    </w:p>
    <w:p w:rsidR="00136A6C" w:rsidRPr="00761F3D" w:rsidRDefault="00136A6C" w:rsidP="00210DB3">
      <w:pPr>
        <w:pStyle w:val="ListParagraph"/>
        <w:numPr>
          <w:ilvl w:val="0"/>
          <w:numId w:val="1"/>
        </w:numPr>
        <w:autoSpaceDE w:val="0"/>
        <w:autoSpaceDN w:val="0"/>
        <w:adjustRightInd w:val="0"/>
        <w:spacing w:after="60" w:line="240" w:lineRule="auto"/>
        <w:ind w:right="6"/>
        <w:contextualSpacing w:val="0"/>
        <w:jc w:val="both"/>
        <w:rPr>
          <w:rFonts w:cs="Arial"/>
          <w:bCs/>
          <w:color w:val="003768"/>
          <w:sz w:val="20"/>
          <w:szCs w:val="20"/>
          <w:lang w:val="nl-BE"/>
        </w:rPr>
      </w:pPr>
      <w:proofErr w:type="spellStart"/>
      <w:r w:rsidRPr="00761F3D">
        <w:rPr>
          <w:rFonts w:cs="Arial"/>
          <w:bCs/>
          <w:color w:val="003768"/>
          <w:sz w:val="20"/>
          <w:szCs w:val="20"/>
          <w:lang w:val="nl-BE"/>
        </w:rPr>
        <w:t>CDO’s</w:t>
      </w:r>
      <w:proofErr w:type="spellEnd"/>
      <w:r w:rsidRPr="00761F3D">
        <w:rPr>
          <w:rFonts w:cs="Arial"/>
          <w:bCs/>
          <w:color w:val="003768"/>
          <w:sz w:val="20"/>
          <w:szCs w:val="20"/>
          <w:lang w:val="nl-BE"/>
        </w:rPr>
        <w:t xml:space="preserve">: Tijdens het vierde kwartaal vernauwden de creditspreads op bedrijfsobligaties en </w:t>
      </w:r>
      <w:proofErr w:type="spellStart"/>
      <w:r w:rsidRPr="00761F3D">
        <w:rPr>
          <w:rFonts w:cs="Arial"/>
          <w:bCs/>
          <w:color w:val="003768"/>
          <w:sz w:val="20"/>
          <w:szCs w:val="20"/>
          <w:lang w:val="nl-BE"/>
        </w:rPr>
        <w:t>ABS'en</w:t>
      </w:r>
      <w:proofErr w:type="spellEnd"/>
      <w:r w:rsidRPr="00761F3D">
        <w:rPr>
          <w:rFonts w:cs="Arial"/>
          <w:bCs/>
          <w:color w:val="003768"/>
          <w:sz w:val="20"/>
          <w:szCs w:val="20"/>
          <w:lang w:val="nl-BE"/>
        </w:rPr>
        <w:t xml:space="preserve"> verder, net zoals in de voorgaande kwartalen. Rekening houdend met het effect van de vergoeding voor de CDO-garantieregeling van de Belgische federale overheid en de kosten van de beëindiging van </w:t>
      </w:r>
      <w:proofErr w:type="spellStart"/>
      <w:r w:rsidRPr="00761F3D">
        <w:rPr>
          <w:rFonts w:cs="Arial"/>
          <w:bCs/>
          <w:color w:val="003768"/>
          <w:sz w:val="20"/>
          <w:szCs w:val="20"/>
          <w:lang w:val="nl-BE"/>
        </w:rPr>
        <w:t>CDO’s</w:t>
      </w:r>
      <w:proofErr w:type="spellEnd"/>
      <w:r w:rsidRPr="00761F3D">
        <w:rPr>
          <w:rFonts w:cs="Arial"/>
          <w:bCs/>
          <w:color w:val="003768"/>
          <w:sz w:val="20"/>
          <w:szCs w:val="20"/>
          <w:lang w:val="nl-BE"/>
        </w:rPr>
        <w:t>, was er een positief effect na belastingen van 65 miljoen euro.</w:t>
      </w:r>
    </w:p>
    <w:p w:rsidR="00136A6C" w:rsidRPr="00761F3D" w:rsidRDefault="00136A6C" w:rsidP="00210DB3">
      <w:pPr>
        <w:pStyle w:val="ListParagraph"/>
        <w:numPr>
          <w:ilvl w:val="0"/>
          <w:numId w:val="1"/>
        </w:numPr>
        <w:autoSpaceDE w:val="0"/>
        <w:autoSpaceDN w:val="0"/>
        <w:adjustRightInd w:val="0"/>
        <w:spacing w:after="60" w:line="240" w:lineRule="auto"/>
        <w:ind w:right="6"/>
        <w:contextualSpacing w:val="0"/>
        <w:jc w:val="both"/>
        <w:rPr>
          <w:rFonts w:cs="Arial"/>
          <w:bCs/>
          <w:color w:val="003768"/>
          <w:sz w:val="20"/>
          <w:szCs w:val="20"/>
          <w:lang w:val="nl-BE"/>
        </w:rPr>
      </w:pPr>
      <w:r w:rsidRPr="00761F3D">
        <w:rPr>
          <w:rFonts w:cs="Arial"/>
          <w:bCs/>
          <w:color w:val="003768"/>
          <w:sz w:val="20"/>
          <w:szCs w:val="20"/>
          <w:lang w:val="nl-BE"/>
        </w:rPr>
        <w:t xml:space="preserve">Resterende desinvesteringen: voor dit kwartaal werd er een totale negatieve impact na belastingen geboekt van 10 miljoen euro. Die was voornamelijk toe te schrijven aan de afronding van de verkoop van KBC </w:t>
      </w:r>
      <w:proofErr w:type="spellStart"/>
      <w:r w:rsidRPr="00761F3D">
        <w:rPr>
          <w:rFonts w:cs="Arial"/>
          <w:bCs/>
          <w:color w:val="003768"/>
          <w:sz w:val="20"/>
          <w:szCs w:val="20"/>
          <w:lang w:val="nl-BE"/>
        </w:rPr>
        <w:t>Banka</w:t>
      </w:r>
      <w:proofErr w:type="spellEnd"/>
      <w:r w:rsidRPr="00761F3D">
        <w:rPr>
          <w:rFonts w:cs="Arial"/>
          <w:bCs/>
          <w:color w:val="003768"/>
          <w:sz w:val="20"/>
          <w:szCs w:val="20"/>
          <w:lang w:val="nl-BE"/>
        </w:rPr>
        <w:t xml:space="preserve"> en de kosten verbonden met de afbouw van aandeelhoudersleningen.</w:t>
      </w:r>
    </w:p>
    <w:p w:rsidR="00136A6C" w:rsidRPr="00761F3D" w:rsidRDefault="00136A6C" w:rsidP="00210DB3">
      <w:pPr>
        <w:pStyle w:val="ListParagraph"/>
        <w:numPr>
          <w:ilvl w:val="0"/>
          <w:numId w:val="1"/>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 xml:space="preserve">Invloed van de waardering van het eigen kredietrisico: De lichte vernauwing van de creditspread van KBC tussen eind september 2013 en het einde van het jaar leidde tot een negatieve </w:t>
      </w:r>
      <w:proofErr w:type="spellStart"/>
      <w:r w:rsidRPr="00761F3D">
        <w:rPr>
          <w:rFonts w:cs="Arial"/>
          <w:bCs/>
          <w:color w:val="003768"/>
          <w:sz w:val="20"/>
          <w:szCs w:val="20"/>
          <w:lang w:val="nl-BE"/>
        </w:rPr>
        <w:t>marked</w:t>
      </w:r>
      <w:proofErr w:type="spellEnd"/>
      <w:r w:rsidRPr="00761F3D">
        <w:rPr>
          <w:rFonts w:cs="Arial"/>
          <w:bCs/>
          <w:color w:val="003768"/>
          <w:sz w:val="20"/>
          <w:szCs w:val="20"/>
          <w:lang w:val="nl-BE"/>
        </w:rPr>
        <w:t>-</w:t>
      </w:r>
      <w:proofErr w:type="spellStart"/>
      <w:r w:rsidRPr="00761F3D">
        <w:rPr>
          <w:rFonts w:cs="Arial"/>
          <w:bCs/>
          <w:color w:val="003768"/>
          <w:sz w:val="20"/>
          <w:szCs w:val="20"/>
          <w:lang w:val="nl-BE"/>
        </w:rPr>
        <w:t>to</w:t>
      </w:r>
      <w:proofErr w:type="spellEnd"/>
      <w:r w:rsidRPr="00761F3D">
        <w:rPr>
          <w:rFonts w:cs="Arial"/>
          <w:bCs/>
          <w:color w:val="003768"/>
          <w:sz w:val="20"/>
          <w:szCs w:val="20"/>
          <w:lang w:val="nl-BE"/>
        </w:rPr>
        <w:t>-marketaanpassing van 9 miljoen euro (na belastingen), maar had geen invloed op het reglementair eigen vermogen.</w:t>
      </w:r>
    </w:p>
    <w:p w:rsidR="00136A6C" w:rsidRPr="007A2951" w:rsidRDefault="00761F3D" w:rsidP="00210DB3">
      <w:pPr>
        <w:autoSpaceDE w:val="0"/>
        <w:autoSpaceDN w:val="0"/>
        <w:adjustRightInd w:val="0"/>
        <w:spacing w:after="120" w:line="240" w:lineRule="auto"/>
        <w:ind w:left="992" w:right="6"/>
        <w:jc w:val="both"/>
        <w:rPr>
          <w:rFonts w:ascii="Rockwell" w:hAnsi="Rockwell" w:cs="Arial"/>
          <w:b/>
          <w:bCs/>
          <w:color w:val="003366"/>
          <w:sz w:val="28"/>
          <w:szCs w:val="28"/>
          <w:lang w:val="nl-BE"/>
        </w:rPr>
      </w:pPr>
      <w:r w:rsidRPr="007A2951">
        <w:rPr>
          <w:rFonts w:ascii="Rockwell" w:hAnsi="Rockwell" w:cs="Arial"/>
          <w:b/>
          <w:bCs/>
          <w:color w:val="003366"/>
          <w:sz w:val="28"/>
          <w:szCs w:val="28"/>
          <w:lang w:val="nl-BE"/>
        </w:rPr>
        <w:t>Financiële hoofdlijnen van het vierde kwartaal van 2013 in vergelijking met het derde kwartaal van 2013:</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 xml:space="preserve">Gezonde commerciële resultaten </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 xml:space="preserve">Nettoresultaat vertekend door hoge waardeverminderingen op kredieten in Ierland. </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proofErr w:type="spellStart"/>
      <w:r w:rsidRPr="00761F3D">
        <w:rPr>
          <w:rFonts w:cs="Arial"/>
          <w:bCs/>
          <w:color w:val="003768"/>
          <w:sz w:val="20"/>
          <w:szCs w:val="20"/>
          <w:lang w:val="nl-BE"/>
        </w:rPr>
        <w:t>Nettorentemarge</w:t>
      </w:r>
      <w:proofErr w:type="spellEnd"/>
      <w:r w:rsidRPr="00761F3D">
        <w:rPr>
          <w:rFonts w:cs="Arial"/>
          <w:bCs/>
          <w:color w:val="003768"/>
          <w:sz w:val="20"/>
          <w:szCs w:val="20"/>
          <w:lang w:val="nl-BE"/>
        </w:rPr>
        <w:t xml:space="preserve"> gestegen tot 1,80%.</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Sterke groei van de deposito's in Tsjechië, Slowakije en Bulgarije.</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Stevige groei van hypothecaire kredieten in België, Tsjechië en Slowakije.</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Gezonde gecombineerde ratio van 94% voor het volledige jaar, ondanks een relatief hoge ratio voor claims in het vierde kwartaal van 2013.</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proofErr w:type="spellStart"/>
      <w:r w:rsidRPr="00761F3D">
        <w:rPr>
          <w:rFonts w:cs="Arial"/>
          <w:bCs/>
          <w:color w:val="003768"/>
          <w:sz w:val="20"/>
          <w:szCs w:val="20"/>
          <w:lang w:val="nl-BE"/>
        </w:rPr>
        <w:t>Dealingroominkomsten</w:t>
      </w:r>
      <w:proofErr w:type="spellEnd"/>
      <w:r w:rsidRPr="00761F3D">
        <w:rPr>
          <w:rFonts w:cs="Arial"/>
          <w:bCs/>
          <w:color w:val="003768"/>
          <w:sz w:val="20"/>
          <w:szCs w:val="20"/>
          <w:lang w:val="nl-BE"/>
        </w:rPr>
        <w:t xml:space="preserve"> op een goed niveau, bescheiden impact van de </w:t>
      </w:r>
      <w:proofErr w:type="spellStart"/>
      <w:r w:rsidRPr="00761F3D">
        <w:rPr>
          <w:rFonts w:cs="Arial"/>
          <w:bCs/>
          <w:color w:val="003768"/>
          <w:sz w:val="20"/>
          <w:szCs w:val="20"/>
          <w:lang w:val="nl-BE"/>
        </w:rPr>
        <w:t>marked</w:t>
      </w:r>
      <w:proofErr w:type="spellEnd"/>
      <w:r w:rsidRPr="00761F3D">
        <w:rPr>
          <w:rFonts w:cs="Arial"/>
          <w:bCs/>
          <w:color w:val="003768"/>
          <w:sz w:val="20"/>
          <w:szCs w:val="20"/>
          <w:lang w:val="nl-BE"/>
        </w:rPr>
        <w:t>-</w:t>
      </w:r>
      <w:proofErr w:type="spellStart"/>
      <w:r w:rsidRPr="00761F3D">
        <w:rPr>
          <w:rFonts w:cs="Arial"/>
          <w:bCs/>
          <w:color w:val="003768"/>
          <w:sz w:val="20"/>
          <w:szCs w:val="20"/>
          <w:lang w:val="nl-BE"/>
        </w:rPr>
        <w:t>to</w:t>
      </w:r>
      <w:proofErr w:type="spellEnd"/>
      <w:r w:rsidRPr="00761F3D">
        <w:rPr>
          <w:rFonts w:cs="Arial"/>
          <w:bCs/>
          <w:color w:val="003768"/>
          <w:sz w:val="20"/>
          <w:szCs w:val="20"/>
          <w:lang w:val="nl-BE"/>
        </w:rPr>
        <w:t>-marketwaarderingen voor ALM-derivaten.</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 xml:space="preserve">Hogere </w:t>
      </w:r>
      <w:proofErr w:type="spellStart"/>
      <w:r w:rsidRPr="00761F3D">
        <w:rPr>
          <w:rFonts w:cs="Arial"/>
          <w:bCs/>
          <w:color w:val="003768"/>
          <w:sz w:val="20"/>
          <w:szCs w:val="20"/>
          <w:lang w:val="nl-BE"/>
        </w:rPr>
        <w:t>nettoprovisie</w:t>
      </w:r>
      <w:proofErr w:type="spellEnd"/>
      <w:r w:rsidRPr="00761F3D">
        <w:rPr>
          <w:rFonts w:cs="Arial"/>
          <w:bCs/>
          <w:color w:val="003768"/>
          <w:sz w:val="20"/>
          <w:szCs w:val="20"/>
          <w:lang w:val="nl-BE"/>
        </w:rPr>
        <w:t>-inkomsten dankzij Tsjechië en Hongarije.</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Uitstekende kosten-inkomstenratio van 52% voor het volledige jaar.</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 xml:space="preserve">Kredietkostenratio gestegen tot 1,19% voor het volledige jaar door waardeverminderingen op Ierse kredieten. De kredietkostenratio voor Ierland bedraagt 6,72%. </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Blijvend stevige liquiditeitspositie met een LCR van 131% en een NSFR van 111%.</w:t>
      </w:r>
    </w:p>
    <w:p w:rsidR="00761F3D" w:rsidRPr="00761F3D" w:rsidRDefault="00761F3D" w:rsidP="00210DB3">
      <w:pPr>
        <w:pStyle w:val="ListParagraph"/>
        <w:numPr>
          <w:ilvl w:val="0"/>
          <w:numId w:val="2"/>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Solvabiliteit: sterke kapitaalbasis met een pro forma Tier 1-ratio van 15,6% (</w:t>
      </w:r>
      <w:proofErr w:type="spellStart"/>
      <w:r w:rsidRPr="00761F3D">
        <w:rPr>
          <w:rFonts w:cs="Arial"/>
          <w:bCs/>
          <w:color w:val="003768"/>
          <w:sz w:val="20"/>
          <w:szCs w:val="20"/>
          <w:lang w:val="nl-BE"/>
        </w:rPr>
        <w:t>core</w:t>
      </w:r>
      <w:proofErr w:type="spellEnd"/>
      <w:r w:rsidRPr="00761F3D">
        <w:rPr>
          <w:rFonts w:cs="Arial"/>
          <w:bCs/>
          <w:color w:val="003768"/>
          <w:sz w:val="20"/>
          <w:szCs w:val="20"/>
          <w:lang w:val="nl-BE"/>
        </w:rPr>
        <w:t xml:space="preserve"> Tier 1-ratio van 13,2%). De common </w:t>
      </w:r>
      <w:proofErr w:type="spellStart"/>
      <w:r w:rsidRPr="00761F3D">
        <w:rPr>
          <w:rFonts w:cs="Arial"/>
          <w:bCs/>
          <w:color w:val="003768"/>
          <w:sz w:val="20"/>
          <w:szCs w:val="20"/>
          <w:lang w:val="nl-BE"/>
        </w:rPr>
        <w:t>equity</w:t>
      </w:r>
      <w:proofErr w:type="spellEnd"/>
      <w:r w:rsidRPr="00761F3D">
        <w:rPr>
          <w:rFonts w:cs="Arial"/>
          <w:bCs/>
          <w:color w:val="003768"/>
          <w:sz w:val="20"/>
          <w:szCs w:val="20"/>
          <w:lang w:val="nl-BE"/>
        </w:rPr>
        <w:t xml:space="preserve"> ratio volgens </w:t>
      </w:r>
      <w:proofErr w:type="spellStart"/>
      <w:r w:rsidRPr="00761F3D">
        <w:rPr>
          <w:rFonts w:cs="Arial"/>
          <w:bCs/>
          <w:color w:val="003768"/>
          <w:sz w:val="20"/>
          <w:szCs w:val="20"/>
          <w:lang w:val="nl-BE"/>
        </w:rPr>
        <w:t>Basel</w:t>
      </w:r>
      <w:proofErr w:type="spellEnd"/>
      <w:r w:rsidRPr="00761F3D">
        <w:rPr>
          <w:rFonts w:cs="Arial"/>
          <w:bCs/>
          <w:color w:val="003768"/>
          <w:sz w:val="20"/>
          <w:szCs w:val="20"/>
          <w:lang w:val="nl-BE"/>
        </w:rPr>
        <w:t xml:space="preserve"> III (</w:t>
      </w:r>
      <w:proofErr w:type="spellStart"/>
      <w:r w:rsidRPr="00761F3D">
        <w:rPr>
          <w:rFonts w:cs="Arial"/>
          <w:bCs/>
          <w:color w:val="003768"/>
          <w:sz w:val="20"/>
          <w:szCs w:val="20"/>
          <w:lang w:val="nl-BE"/>
        </w:rPr>
        <w:t>fully</w:t>
      </w:r>
      <w:proofErr w:type="spellEnd"/>
      <w:r w:rsidRPr="00761F3D">
        <w:rPr>
          <w:rFonts w:cs="Arial"/>
          <w:bCs/>
          <w:color w:val="003768"/>
          <w:sz w:val="20"/>
          <w:szCs w:val="20"/>
          <w:lang w:val="nl-BE"/>
        </w:rPr>
        <w:t xml:space="preserve"> </w:t>
      </w:r>
      <w:proofErr w:type="spellStart"/>
      <w:r w:rsidRPr="00761F3D">
        <w:rPr>
          <w:rFonts w:cs="Arial"/>
          <w:bCs/>
          <w:color w:val="003768"/>
          <w:sz w:val="20"/>
          <w:szCs w:val="20"/>
          <w:lang w:val="nl-BE"/>
        </w:rPr>
        <w:t>loaded</w:t>
      </w:r>
      <w:proofErr w:type="spellEnd"/>
      <w:r w:rsidRPr="00761F3D">
        <w:rPr>
          <w:rFonts w:cs="Arial"/>
          <w:bCs/>
          <w:color w:val="003768"/>
          <w:sz w:val="20"/>
          <w:szCs w:val="20"/>
          <w:lang w:val="nl-BE"/>
        </w:rPr>
        <w:t>, pro forma) zit met 12,5% ruim boven de doelstelling van 10%.</w:t>
      </w:r>
    </w:p>
    <w:p w:rsidR="00761F3D" w:rsidRPr="00761F3D" w:rsidRDefault="00761F3D" w:rsidP="00210DB3">
      <w:pPr>
        <w:pStyle w:val="ListParagraph"/>
        <w:numPr>
          <w:ilvl w:val="0"/>
          <w:numId w:val="2"/>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761F3D">
        <w:rPr>
          <w:rFonts w:cs="Arial"/>
          <w:bCs/>
          <w:color w:val="003768"/>
          <w:sz w:val="20"/>
          <w:szCs w:val="20"/>
          <w:lang w:val="nl-BE"/>
        </w:rPr>
        <w:t>Aan de Algemene Vergadering wordt voorgesteld geen dividend uit te betalen voor 2013.</w:t>
      </w:r>
    </w:p>
    <w:tbl>
      <w:tblPr>
        <w:tblW w:w="10206" w:type="dxa"/>
        <w:tblInd w:w="1208" w:type="dxa"/>
        <w:tblLayout w:type="fixed"/>
        <w:tblLook w:val="01E0" w:firstRow="1" w:lastRow="1" w:firstColumn="1" w:lastColumn="1" w:noHBand="0" w:noVBand="0"/>
      </w:tblPr>
      <w:tblGrid>
        <w:gridCol w:w="5670"/>
        <w:gridCol w:w="850"/>
        <w:gridCol w:w="851"/>
        <w:gridCol w:w="850"/>
        <w:gridCol w:w="1128"/>
        <w:gridCol w:w="857"/>
      </w:tblGrid>
      <w:tr w:rsidR="00761F3D" w:rsidRPr="00BE652F" w:rsidTr="00761F3D">
        <w:tc>
          <w:tcPr>
            <w:tcW w:w="5670" w:type="dxa"/>
            <w:shd w:val="clear" w:color="auto" w:fill="365F91" w:themeFill="accent1" w:themeFillShade="BF"/>
            <w:vAlign w:val="center"/>
          </w:tcPr>
          <w:p w:rsidR="00761F3D" w:rsidRPr="00E903B5" w:rsidRDefault="00761F3D" w:rsidP="00DB3994">
            <w:pPr>
              <w:pStyle w:val="Intro"/>
              <w:jc w:val="left"/>
              <w:rPr>
                <w:b w:val="0"/>
                <w:color w:val="FFFFFF" w:themeColor="background1"/>
                <w:sz w:val="14"/>
                <w:szCs w:val="14"/>
                <w:lang w:val="en-GB"/>
              </w:rPr>
            </w:pPr>
            <w:r w:rsidRPr="00E903B5">
              <w:rPr>
                <w:b w:val="0"/>
                <w:color w:val="FFFFFF" w:themeColor="background1"/>
                <w:sz w:val="14"/>
                <w:szCs w:val="14"/>
              </w:rPr>
              <w:t>OVERZICHT:</w:t>
            </w:r>
          </w:p>
          <w:p w:rsidR="00761F3D" w:rsidRPr="00E903B5" w:rsidRDefault="00761F3D" w:rsidP="00DB3994">
            <w:pPr>
              <w:pStyle w:val="Intro"/>
              <w:jc w:val="left"/>
              <w:rPr>
                <w:b w:val="0"/>
                <w:color w:val="FFFFFF" w:themeColor="background1"/>
                <w:sz w:val="14"/>
                <w:szCs w:val="14"/>
                <w:lang w:val="en-GB"/>
              </w:rPr>
            </w:pPr>
            <w:r w:rsidRPr="00E903B5">
              <w:rPr>
                <w:b w:val="0"/>
                <w:color w:val="FFFFFF" w:themeColor="background1"/>
                <w:sz w:val="14"/>
                <w:szCs w:val="14"/>
              </w:rPr>
              <w:t>KBC-groep (geconsolideerd)</w:t>
            </w:r>
          </w:p>
        </w:tc>
        <w:tc>
          <w:tcPr>
            <w:tcW w:w="850" w:type="dxa"/>
            <w:shd w:val="clear" w:color="auto" w:fill="365F91" w:themeFill="accent1" w:themeFillShade="BF"/>
            <w:vAlign w:val="center"/>
          </w:tcPr>
          <w:p w:rsidR="00761F3D" w:rsidRPr="00E903B5" w:rsidRDefault="00BE652F" w:rsidP="00DB3994">
            <w:pPr>
              <w:pStyle w:val="Intro"/>
              <w:jc w:val="right"/>
              <w:rPr>
                <w:b w:val="0"/>
                <w:color w:val="FFFFFF" w:themeColor="background1"/>
                <w:sz w:val="14"/>
                <w:szCs w:val="14"/>
                <w:lang w:val="en-GB"/>
              </w:rPr>
            </w:pPr>
            <w:r>
              <w:rPr>
                <w:b w:val="0"/>
                <w:color w:val="FFFFFF" w:themeColor="background1"/>
                <w:sz w:val="14"/>
                <w:szCs w:val="14"/>
              </w:rPr>
              <w:t>4KW</w:t>
            </w:r>
            <w:r w:rsidR="00761F3D" w:rsidRPr="00E903B5">
              <w:rPr>
                <w:b w:val="0"/>
                <w:color w:val="FFFFFF" w:themeColor="background1"/>
                <w:sz w:val="14"/>
                <w:szCs w:val="14"/>
              </w:rPr>
              <w:t>2012</w:t>
            </w:r>
          </w:p>
        </w:tc>
        <w:tc>
          <w:tcPr>
            <w:tcW w:w="851" w:type="dxa"/>
            <w:shd w:val="clear" w:color="auto" w:fill="365F91" w:themeFill="accent1" w:themeFillShade="BF"/>
            <w:vAlign w:val="center"/>
          </w:tcPr>
          <w:p w:rsidR="00761F3D" w:rsidRPr="00E903B5" w:rsidRDefault="00761F3D" w:rsidP="00BE652F">
            <w:pPr>
              <w:pStyle w:val="Intro"/>
              <w:jc w:val="right"/>
              <w:rPr>
                <w:b w:val="0"/>
                <w:color w:val="FFFFFF" w:themeColor="background1"/>
                <w:sz w:val="14"/>
                <w:szCs w:val="14"/>
                <w:lang w:val="en-GB"/>
              </w:rPr>
            </w:pPr>
            <w:r w:rsidRPr="00E903B5">
              <w:rPr>
                <w:b w:val="0"/>
                <w:color w:val="FFFFFF" w:themeColor="background1"/>
                <w:sz w:val="14"/>
                <w:szCs w:val="14"/>
              </w:rPr>
              <w:t>3</w:t>
            </w:r>
            <w:r w:rsidR="00BE652F">
              <w:rPr>
                <w:b w:val="0"/>
                <w:color w:val="FFFFFF" w:themeColor="background1"/>
                <w:sz w:val="14"/>
                <w:szCs w:val="14"/>
              </w:rPr>
              <w:t>KW</w:t>
            </w:r>
            <w:r w:rsidRPr="00E903B5">
              <w:rPr>
                <w:b w:val="0"/>
                <w:color w:val="FFFFFF" w:themeColor="background1"/>
                <w:sz w:val="14"/>
                <w:szCs w:val="14"/>
              </w:rPr>
              <w:t>2013</w:t>
            </w:r>
          </w:p>
        </w:tc>
        <w:tc>
          <w:tcPr>
            <w:tcW w:w="850" w:type="dxa"/>
            <w:shd w:val="clear" w:color="auto" w:fill="365F91" w:themeFill="accent1" w:themeFillShade="BF"/>
            <w:vAlign w:val="center"/>
          </w:tcPr>
          <w:p w:rsidR="00761F3D" w:rsidRPr="00E903B5" w:rsidRDefault="00761F3D" w:rsidP="00BE652F">
            <w:pPr>
              <w:pStyle w:val="Intro"/>
              <w:jc w:val="right"/>
              <w:rPr>
                <w:b w:val="0"/>
                <w:color w:val="FFFFFF" w:themeColor="background1"/>
                <w:sz w:val="14"/>
                <w:szCs w:val="14"/>
                <w:lang w:val="en-GB"/>
              </w:rPr>
            </w:pPr>
            <w:r w:rsidRPr="00E903B5">
              <w:rPr>
                <w:b w:val="0"/>
                <w:color w:val="FFFFFF" w:themeColor="background1"/>
                <w:sz w:val="14"/>
                <w:szCs w:val="14"/>
              </w:rPr>
              <w:t>4</w:t>
            </w:r>
            <w:r w:rsidR="00BE652F">
              <w:rPr>
                <w:b w:val="0"/>
                <w:color w:val="FFFFFF" w:themeColor="background1"/>
                <w:sz w:val="14"/>
                <w:szCs w:val="14"/>
              </w:rPr>
              <w:t>KW</w:t>
            </w:r>
            <w:r w:rsidRPr="00E903B5">
              <w:rPr>
                <w:b w:val="0"/>
                <w:color w:val="FFFFFF" w:themeColor="background1"/>
                <w:sz w:val="14"/>
                <w:szCs w:val="14"/>
              </w:rPr>
              <w:t>2013</w:t>
            </w:r>
          </w:p>
        </w:tc>
        <w:tc>
          <w:tcPr>
            <w:tcW w:w="1128" w:type="dxa"/>
            <w:shd w:val="clear" w:color="auto" w:fill="365F91" w:themeFill="accent1" w:themeFillShade="BF"/>
            <w:vAlign w:val="center"/>
          </w:tcPr>
          <w:p w:rsidR="00761F3D" w:rsidRPr="00BE652F" w:rsidRDefault="00761F3D" w:rsidP="00DB3994">
            <w:pPr>
              <w:pStyle w:val="Intro"/>
              <w:jc w:val="right"/>
              <w:rPr>
                <w:b w:val="0"/>
                <w:color w:val="FFFFFF" w:themeColor="background1"/>
                <w:sz w:val="14"/>
                <w:szCs w:val="14"/>
                <w:lang w:val="nl-BE"/>
              </w:rPr>
            </w:pPr>
            <w:r w:rsidRPr="00E903B5">
              <w:rPr>
                <w:b w:val="0"/>
                <w:color w:val="FFFFFF" w:themeColor="background1"/>
                <w:sz w:val="14"/>
                <w:szCs w:val="14"/>
              </w:rPr>
              <w:t xml:space="preserve">Boekjaar </w:t>
            </w:r>
            <w:r w:rsidR="00BE652F">
              <w:rPr>
                <w:b w:val="0"/>
                <w:color w:val="FFFFFF" w:themeColor="background1"/>
                <w:sz w:val="14"/>
                <w:szCs w:val="14"/>
              </w:rPr>
              <w:br/>
            </w:r>
            <w:r w:rsidRPr="00E903B5">
              <w:rPr>
                <w:b w:val="0"/>
                <w:color w:val="FFFFFF" w:themeColor="background1"/>
                <w:sz w:val="14"/>
                <w:szCs w:val="14"/>
              </w:rPr>
              <w:t>2012</w:t>
            </w:r>
          </w:p>
        </w:tc>
        <w:tc>
          <w:tcPr>
            <w:tcW w:w="857" w:type="dxa"/>
            <w:shd w:val="clear" w:color="auto" w:fill="365F91" w:themeFill="accent1" w:themeFillShade="BF"/>
            <w:vAlign w:val="center"/>
          </w:tcPr>
          <w:p w:rsidR="00761F3D" w:rsidRPr="00BE652F" w:rsidRDefault="00761F3D" w:rsidP="00DB3994">
            <w:pPr>
              <w:pStyle w:val="Intro"/>
              <w:jc w:val="right"/>
              <w:rPr>
                <w:b w:val="0"/>
                <w:color w:val="FFFFFF" w:themeColor="background1"/>
                <w:sz w:val="14"/>
                <w:szCs w:val="14"/>
                <w:lang w:val="nl-BE"/>
              </w:rPr>
            </w:pPr>
            <w:r w:rsidRPr="00E903B5">
              <w:rPr>
                <w:b w:val="0"/>
                <w:color w:val="FFFFFF" w:themeColor="background1"/>
                <w:sz w:val="14"/>
                <w:szCs w:val="14"/>
              </w:rPr>
              <w:t>Boekjaar 2013</w:t>
            </w:r>
          </w:p>
        </w:tc>
      </w:tr>
      <w:tr w:rsidR="00761F3D" w:rsidRPr="00BE652F" w:rsidTr="00761F3D">
        <w:trPr>
          <w:trHeight w:val="284"/>
        </w:trPr>
        <w:tc>
          <w:tcPr>
            <w:tcW w:w="5670" w:type="dxa"/>
            <w:tcBorders>
              <w:right w:val="single" w:sz="4" w:space="0" w:color="365F91" w:themeColor="accent1" w:themeShade="BF"/>
            </w:tcBorders>
            <w:vAlign w:val="center"/>
          </w:tcPr>
          <w:p w:rsidR="00761F3D" w:rsidRPr="00634375" w:rsidRDefault="00761F3D" w:rsidP="00DB3994">
            <w:pPr>
              <w:pStyle w:val="Intro"/>
              <w:jc w:val="left"/>
              <w:rPr>
                <w:b w:val="0"/>
                <w:sz w:val="14"/>
                <w:szCs w:val="14"/>
                <w:lang w:val="nl-BE"/>
              </w:rPr>
            </w:pPr>
            <w:r w:rsidRPr="00E903B5">
              <w:rPr>
                <w:b w:val="0"/>
                <w:sz w:val="14"/>
                <w:szCs w:val="14"/>
              </w:rPr>
              <w:t>Nettoresultaat, volgens IFRS (in miljoenen euro)</w:t>
            </w:r>
          </w:p>
        </w:tc>
        <w:tc>
          <w:tcPr>
            <w:tcW w:w="850" w:type="dxa"/>
            <w:tcBorders>
              <w:left w:val="single" w:sz="4" w:space="0" w:color="365F91" w:themeColor="accent1" w:themeShade="BF"/>
            </w:tcBorders>
            <w:vAlign w:val="center"/>
          </w:tcPr>
          <w:p w:rsidR="00761F3D" w:rsidRPr="00BE652F" w:rsidRDefault="00761F3D" w:rsidP="00DB3994">
            <w:pPr>
              <w:pStyle w:val="Intro"/>
              <w:ind w:left="-108" w:hanging="142"/>
              <w:jc w:val="right"/>
              <w:rPr>
                <w:b w:val="0"/>
                <w:sz w:val="14"/>
                <w:szCs w:val="14"/>
                <w:lang w:val="nl-BE"/>
              </w:rPr>
            </w:pPr>
            <w:r w:rsidRPr="00E903B5">
              <w:rPr>
                <w:b w:val="0"/>
                <w:sz w:val="14"/>
                <w:szCs w:val="14"/>
              </w:rPr>
              <w:t>240</w:t>
            </w:r>
          </w:p>
        </w:tc>
        <w:tc>
          <w:tcPr>
            <w:tcW w:w="851" w:type="dxa"/>
            <w:vAlign w:val="center"/>
          </w:tcPr>
          <w:p w:rsidR="00761F3D" w:rsidRPr="00BE652F" w:rsidRDefault="00761F3D" w:rsidP="00DB3994">
            <w:pPr>
              <w:pStyle w:val="Intro"/>
              <w:ind w:left="-108" w:hanging="142"/>
              <w:jc w:val="right"/>
              <w:rPr>
                <w:b w:val="0"/>
                <w:sz w:val="14"/>
                <w:szCs w:val="14"/>
                <w:lang w:val="nl-BE"/>
              </w:rPr>
            </w:pPr>
            <w:r w:rsidRPr="00E903B5">
              <w:rPr>
                <w:b w:val="0"/>
                <w:sz w:val="14"/>
                <w:szCs w:val="14"/>
              </w:rPr>
              <w:t>272</w:t>
            </w:r>
          </w:p>
        </w:tc>
        <w:tc>
          <w:tcPr>
            <w:tcW w:w="850" w:type="dxa"/>
            <w:tcBorders>
              <w:right w:val="single" w:sz="4" w:space="0" w:color="365F91" w:themeColor="accent1" w:themeShade="BF"/>
            </w:tcBorders>
            <w:shd w:val="clear" w:color="auto" w:fill="DBE5F1" w:themeFill="accent1" w:themeFillTint="33"/>
            <w:vAlign w:val="center"/>
          </w:tcPr>
          <w:p w:rsidR="00761F3D" w:rsidRPr="00BE652F" w:rsidRDefault="00761F3D" w:rsidP="00DB3994">
            <w:pPr>
              <w:pStyle w:val="Intro"/>
              <w:ind w:left="-108" w:hanging="142"/>
              <w:jc w:val="right"/>
              <w:rPr>
                <w:b w:val="0"/>
                <w:sz w:val="14"/>
                <w:szCs w:val="14"/>
                <w:lang w:val="nl-BE"/>
              </w:rPr>
            </w:pPr>
            <w:r w:rsidRPr="00E903B5">
              <w:rPr>
                <w:b w:val="0"/>
                <w:sz w:val="14"/>
                <w:szCs w:val="14"/>
              </w:rPr>
              <w:t>-294</w:t>
            </w:r>
          </w:p>
        </w:tc>
        <w:tc>
          <w:tcPr>
            <w:tcW w:w="1128" w:type="dxa"/>
            <w:tcBorders>
              <w:left w:val="single" w:sz="4" w:space="0" w:color="365F91" w:themeColor="accent1" w:themeShade="BF"/>
            </w:tcBorders>
            <w:shd w:val="clear" w:color="auto" w:fill="auto"/>
            <w:vAlign w:val="center"/>
          </w:tcPr>
          <w:p w:rsidR="00761F3D" w:rsidRPr="00BE652F" w:rsidRDefault="00761F3D" w:rsidP="00DB3994">
            <w:pPr>
              <w:pStyle w:val="Intro"/>
              <w:ind w:left="-108" w:hanging="142"/>
              <w:jc w:val="right"/>
              <w:rPr>
                <w:b w:val="0"/>
                <w:sz w:val="14"/>
                <w:szCs w:val="14"/>
                <w:lang w:val="nl-BE"/>
              </w:rPr>
            </w:pPr>
            <w:r w:rsidRPr="00E903B5">
              <w:rPr>
                <w:b w:val="0"/>
                <w:sz w:val="14"/>
                <w:szCs w:val="14"/>
              </w:rPr>
              <w:t>612</w:t>
            </w:r>
          </w:p>
        </w:tc>
        <w:tc>
          <w:tcPr>
            <w:tcW w:w="857" w:type="dxa"/>
            <w:shd w:val="clear" w:color="auto" w:fill="DBE5F1" w:themeFill="accent1" w:themeFillTint="33"/>
            <w:vAlign w:val="center"/>
          </w:tcPr>
          <w:p w:rsidR="00761F3D" w:rsidRPr="00BE652F" w:rsidRDefault="00761F3D" w:rsidP="00DB3994">
            <w:pPr>
              <w:pStyle w:val="Intro"/>
              <w:ind w:left="-108" w:hanging="142"/>
              <w:jc w:val="right"/>
              <w:rPr>
                <w:b w:val="0"/>
                <w:sz w:val="14"/>
                <w:szCs w:val="14"/>
                <w:lang w:val="nl-BE"/>
              </w:rPr>
            </w:pPr>
            <w:r w:rsidRPr="00E903B5">
              <w:rPr>
                <w:b w:val="0"/>
                <w:sz w:val="14"/>
                <w:szCs w:val="14"/>
              </w:rPr>
              <w:t>1 015</w:t>
            </w:r>
          </w:p>
        </w:tc>
      </w:tr>
      <w:tr w:rsidR="00761F3D" w:rsidRPr="00E903B5" w:rsidTr="00761F3D">
        <w:trPr>
          <w:trHeight w:val="284"/>
        </w:trPr>
        <w:tc>
          <w:tcPr>
            <w:tcW w:w="5670" w:type="dxa"/>
            <w:tcBorders>
              <w:bottom w:val="single" w:sz="4" w:space="0" w:color="365F91" w:themeColor="accent1" w:themeShade="BF"/>
              <w:right w:val="single" w:sz="4" w:space="0" w:color="365F91" w:themeColor="accent1" w:themeShade="BF"/>
            </w:tcBorders>
            <w:vAlign w:val="center"/>
          </w:tcPr>
          <w:p w:rsidR="00761F3D" w:rsidRPr="00634375" w:rsidRDefault="00761F3D" w:rsidP="00DB3994">
            <w:pPr>
              <w:pStyle w:val="Intro"/>
              <w:jc w:val="left"/>
              <w:rPr>
                <w:b w:val="0"/>
                <w:sz w:val="14"/>
                <w:szCs w:val="14"/>
                <w:vertAlign w:val="superscript"/>
                <w:lang w:val="nl-BE"/>
              </w:rPr>
            </w:pPr>
            <w:r w:rsidRPr="00E903B5">
              <w:rPr>
                <w:b w:val="0"/>
                <w:sz w:val="14"/>
                <w:szCs w:val="14"/>
              </w:rPr>
              <w:t>Gewone winst per aandeel, IFRS (in euro)</w:t>
            </w:r>
            <w:r w:rsidRPr="00E903B5">
              <w:rPr>
                <w:b w:val="0"/>
                <w:sz w:val="14"/>
                <w:szCs w:val="14"/>
                <w:vertAlign w:val="superscript"/>
              </w:rPr>
              <w:t>1</w:t>
            </w:r>
          </w:p>
        </w:tc>
        <w:tc>
          <w:tcPr>
            <w:tcW w:w="850" w:type="dxa"/>
            <w:tcBorders>
              <w:left w:val="single" w:sz="4" w:space="0" w:color="365F91" w:themeColor="accent1" w:themeShade="BF"/>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-0.97</w:t>
            </w:r>
          </w:p>
        </w:tc>
        <w:tc>
          <w:tcPr>
            <w:tcW w:w="851" w:type="dxa"/>
            <w:tcBorders>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-0.75</w:t>
            </w:r>
          </w:p>
        </w:tc>
        <w:tc>
          <w:tcPr>
            <w:tcW w:w="850"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-0.71</w:t>
            </w:r>
          </w:p>
        </w:tc>
        <w:tc>
          <w:tcPr>
            <w:tcW w:w="1128" w:type="dxa"/>
            <w:tcBorders>
              <w:left w:val="single" w:sz="4" w:space="0" w:color="365F91" w:themeColor="accent1" w:themeShade="BF"/>
              <w:bottom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-1.09</w:t>
            </w:r>
          </w:p>
        </w:tc>
        <w:tc>
          <w:tcPr>
            <w:tcW w:w="857" w:type="dxa"/>
            <w:tcBorders>
              <w:bottom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1.03</w:t>
            </w:r>
          </w:p>
        </w:tc>
      </w:tr>
      <w:tr w:rsidR="00761F3D" w:rsidRPr="00E903B5" w:rsidTr="00761F3D">
        <w:trPr>
          <w:trHeight w:val="284"/>
        </w:trPr>
        <w:tc>
          <w:tcPr>
            <w:tcW w:w="5670" w:type="dxa"/>
            <w:tcBorders>
              <w:top w:val="single" w:sz="4" w:space="0" w:color="365F91" w:themeColor="accent1" w:themeShade="BF"/>
              <w:right w:val="single" w:sz="4" w:space="0" w:color="365F91" w:themeColor="accent1" w:themeShade="BF"/>
            </w:tcBorders>
            <w:vAlign w:val="center"/>
          </w:tcPr>
          <w:p w:rsidR="00761F3D" w:rsidRPr="00634375" w:rsidRDefault="00761F3D" w:rsidP="00DB3994">
            <w:pPr>
              <w:pStyle w:val="Intro"/>
              <w:jc w:val="left"/>
              <w:rPr>
                <w:b w:val="0"/>
                <w:sz w:val="14"/>
                <w:szCs w:val="14"/>
                <w:lang w:val="nl-BE"/>
              </w:rPr>
            </w:pPr>
            <w:r>
              <w:rPr>
                <w:b w:val="0"/>
                <w:sz w:val="14"/>
                <w:szCs w:val="14"/>
              </w:rPr>
              <w:t>Aangepast</w:t>
            </w:r>
            <w:r w:rsidRPr="00E903B5">
              <w:rPr>
                <w:b w:val="0"/>
                <w:sz w:val="14"/>
                <w:szCs w:val="14"/>
              </w:rPr>
              <w:t xml:space="preserve"> nettoresultaat (in miljoenen euro)</w:t>
            </w:r>
          </w:p>
        </w:tc>
        <w:tc>
          <w:tcPr>
            <w:tcW w:w="850" w:type="dxa"/>
            <w:tcBorders>
              <w:top w:val="single" w:sz="4" w:space="0" w:color="365F91" w:themeColor="accent1" w:themeShade="BF"/>
              <w:left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279</w:t>
            </w:r>
          </w:p>
        </w:tc>
        <w:tc>
          <w:tcPr>
            <w:tcW w:w="851" w:type="dxa"/>
            <w:tcBorders>
              <w:top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457</w:t>
            </w:r>
          </w:p>
        </w:tc>
        <w:tc>
          <w:tcPr>
            <w:tcW w:w="850" w:type="dxa"/>
            <w:tcBorders>
              <w:top w:val="single" w:sz="4" w:space="0" w:color="365F91" w:themeColor="accent1" w:themeShade="BF"/>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-340</w:t>
            </w:r>
          </w:p>
        </w:tc>
        <w:tc>
          <w:tcPr>
            <w:tcW w:w="1128" w:type="dxa"/>
            <w:tcBorders>
              <w:top w:val="single" w:sz="4" w:space="0" w:color="365F91" w:themeColor="accent1" w:themeShade="BF"/>
              <w:left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1 496</w:t>
            </w:r>
          </w:p>
        </w:tc>
        <w:tc>
          <w:tcPr>
            <w:tcW w:w="857" w:type="dxa"/>
            <w:tcBorders>
              <w:top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960</w:t>
            </w:r>
          </w:p>
        </w:tc>
      </w:tr>
      <w:tr w:rsidR="00761F3D" w:rsidRPr="00E903B5" w:rsidTr="00761F3D">
        <w:trPr>
          <w:trHeight w:val="284"/>
        </w:trPr>
        <w:tc>
          <w:tcPr>
            <w:tcW w:w="5670" w:type="dxa"/>
            <w:tcBorders>
              <w:right w:val="single" w:sz="4" w:space="0" w:color="365F91" w:themeColor="accent1" w:themeShade="BF"/>
            </w:tcBorders>
            <w:vAlign w:val="center"/>
          </w:tcPr>
          <w:p w:rsidR="00761F3D" w:rsidRPr="00634375" w:rsidRDefault="00761F3D" w:rsidP="00DB3994">
            <w:pPr>
              <w:pStyle w:val="Intro"/>
              <w:jc w:val="left"/>
              <w:rPr>
                <w:b w:val="0"/>
                <w:sz w:val="14"/>
                <w:szCs w:val="14"/>
                <w:lang w:val="nl-BE"/>
              </w:rPr>
            </w:pPr>
            <w:r w:rsidRPr="00E903B5">
              <w:rPr>
                <w:b w:val="0"/>
                <w:sz w:val="14"/>
                <w:szCs w:val="14"/>
              </w:rPr>
              <w:t xml:space="preserve">Gewone winst per aandeel, op basis van het </w:t>
            </w:r>
            <w:r>
              <w:rPr>
                <w:b w:val="0"/>
                <w:sz w:val="14"/>
                <w:szCs w:val="14"/>
              </w:rPr>
              <w:t>aangepast</w:t>
            </w:r>
            <w:r w:rsidRPr="00E903B5">
              <w:rPr>
                <w:b w:val="0"/>
                <w:sz w:val="14"/>
                <w:szCs w:val="14"/>
              </w:rPr>
              <w:t xml:space="preserve"> nettoresultaat (in euro)</w:t>
            </w:r>
            <w:r w:rsidRPr="00E903B5">
              <w:rPr>
                <w:b w:val="0"/>
                <w:sz w:val="14"/>
                <w:szCs w:val="14"/>
                <w:vertAlign w:val="superscript"/>
              </w:rPr>
              <w:t>1</w:t>
            </w:r>
            <w:r w:rsidRPr="00E903B5">
              <w:rPr>
                <w:b w:val="0"/>
                <w:sz w:val="14"/>
                <w:szCs w:val="14"/>
              </w:rPr>
              <w:t xml:space="preserve"> </w:t>
            </w:r>
          </w:p>
        </w:tc>
        <w:tc>
          <w:tcPr>
            <w:tcW w:w="850" w:type="dxa"/>
            <w:tcBorders>
              <w:left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-0.92</w:t>
            </w:r>
          </w:p>
        </w:tc>
        <w:tc>
          <w:tcPr>
            <w:tcW w:w="851" w:type="dxa"/>
            <w:vAlign w:val="center"/>
          </w:tcPr>
          <w:p w:rsidR="00761F3D" w:rsidRPr="00E903B5" w:rsidRDefault="00761F3D" w:rsidP="00DB3994">
            <w:pPr>
              <w:pStyle w:val="Intro"/>
              <w:jc w:val="right"/>
              <w:rPr>
                <w:b w:val="0"/>
                <w:sz w:val="14"/>
                <w:szCs w:val="14"/>
                <w:lang w:val="en-GB"/>
              </w:rPr>
            </w:pPr>
            <w:r w:rsidRPr="00E903B5">
              <w:rPr>
                <w:b w:val="0"/>
                <w:sz w:val="14"/>
                <w:szCs w:val="14"/>
              </w:rPr>
              <w:t>-0.30</w:t>
            </w:r>
          </w:p>
        </w:tc>
        <w:tc>
          <w:tcPr>
            <w:tcW w:w="850" w:type="dxa"/>
            <w:tcBorders>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-0.82</w:t>
            </w:r>
          </w:p>
        </w:tc>
        <w:tc>
          <w:tcPr>
            <w:tcW w:w="1128" w:type="dxa"/>
            <w:tcBorders>
              <w:left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1.44</w:t>
            </w:r>
          </w:p>
        </w:tc>
        <w:tc>
          <w:tcPr>
            <w:tcW w:w="857" w:type="dxa"/>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0.90</w:t>
            </w:r>
          </w:p>
        </w:tc>
      </w:tr>
      <w:tr w:rsidR="00761F3D" w:rsidRPr="00F76249" w:rsidTr="00761F3D">
        <w:trPr>
          <w:trHeight w:val="284"/>
        </w:trPr>
        <w:tc>
          <w:tcPr>
            <w:tcW w:w="5670" w:type="dxa"/>
            <w:tcBorders>
              <w:right w:val="single" w:sz="4" w:space="0" w:color="365F91" w:themeColor="accent1" w:themeShade="BF"/>
            </w:tcBorders>
            <w:vAlign w:val="center"/>
          </w:tcPr>
          <w:p w:rsidR="00761F3D" w:rsidRPr="00634375" w:rsidRDefault="00761F3D" w:rsidP="00DB3994">
            <w:pPr>
              <w:pStyle w:val="Intro"/>
              <w:jc w:val="left"/>
              <w:rPr>
                <w:b w:val="0"/>
                <w:sz w:val="14"/>
                <w:szCs w:val="14"/>
                <w:lang w:val="nl-BE"/>
              </w:rPr>
            </w:pPr>
            <w:r w:rsidRPr="00E903B5">
              <w:rPr>
                <w:b w:val="0"/>
                <w:sz w:val="14"/>
                <w:szCs w:val="14"/>
              </w:rPr>
              <w:t>Uitsplitsing per divisie (in miljoenen euro)</w:t>
            </w:r>
            <w:r w:rsidRPr="00E903B5">
              <w:rPr>
                <w:b w:val="0"/>
                <w:sz w:val="14"/>
                <w:szCs w:val="14"/>
                <w:vertAlign w:val="superscript"/>
              </w:rPr>
              <w:t>2</w:t>
            </w:r>
          </w:p>
        </w:tc>
        <w:tc>
          <w:tcPr>
            <w:tcW w:w="850" w:type="dxa"/>
            <w:tcBorders>
              <w:left w:val="single" w:sz="4" w:space="0" w:color="365F91" w:themeColor="accent1" w:themeShade="BF"/>
            </w:tcBorders>
            <w:vAlign w:val="center"/>
          </w:tcPr>
          <w:p w:rsidR="00761F3D" w:rsidRPr="00634375" w:rsidRDefault="00761F3D" w:rsidP="00DB3994">
            <w:pPr>
              <w:pStyle w:val="Intro"/>
              <w:jc w:val="right"/>
              <w:rPr>
                <w:b w:val="0"/>
                <w:sz w:val="14"/>
                <w:szCs w:val="14"/>
                <w:lang w:val="nl-BE"/>
              </w:rPr>
            </w:pPr>
          </w:p>
        </w:tc>
        <w:tc>
          <w:tcPr>
            <w:tcW w:w="851" w:type="dxa"/>
            <w:vAlign w:val="center"/>
          </w:tcPr>
          <w:p w:rsidR="00761F3D" w:rsidRPr="00634375" w:rsidRDefault="00761F3D" w:rsidP="00DB3994">
            <w:pPr>
              <w:pStyle w:val="Intro"/>
              <w:jc w:val="right"/>
              <w:rPr>
                <w:b w:val="0"/>
                <w:sz w:val="14"/>
                <w:szCs w:val="14"/>
                <w:lang w:val="nl-BE"/>
              </w:rPr>
            </w:pPr>
          </w:p>
        </w:tc>
        <w:tc>
          <w:tcPr>
            <w:tcW w:w="850" w:type="dxa"/>
            <w:tcBorders>
              <w:right w:val="single" w:sz="4" w:space="0" w:color="365F91" w:themeColor="accent1" w:themeShade="BF"/>
            </w:tcBorders>
            <w:shd w:val="clear" w:color="auto" w:fill="DBE5F1" w:themeFill="accent1" w:themeFillTint="33"/>
            <w:vAlign w:val="center"/>
          </w:tcPr>
          <w:p w:rsidR="00761F3D" w:rsidRPr="00634375" w:rsidRDefault="00761F3D" w:rsidP="00DB3994">
            <w:pPr>
              <w:pStyle w:val="Intro"/>
              <w:jc w:val="right"/>
              <w:rPr>
                <w:b w:val="0"/>
                <w:sz w:val="14"/>
                <w:szCs w:val="14"/>
                <w:lang w:val="nl-BE"/>
              </w:rPr>
            </w:pPr>
          </w:p>
        </w:tc>
        <w:tc>
          <w:tcPr>
            <w:tcW w:w="1128" w:type="dxa"/>
            <w:tcBorders>
              <w:left w:val="single" w:sz="4" w:space="0" w:color="365F91" w:themeColor="accent1" w:themeShade="BF"/>
            </w:tcBorders>
            <w:shd w:val="clear" w:color="auto" w:fill="auto"/>
            <w:vAlign w:val="center"/>
          </w:tcPr>
          <w:p w:rsidR="00761F3D" w:rsidRPr="00634375" w:rsidRDefault="00761F3D" w:rsidP="00DB3994">
            <w:pPr>
              <w:pStyle w:val="Intro"/>
              <w:jc w:val="right"/>
              <w:rPr>
                <w:b w:val="0"/>
                <w:sz w:val="14"/>
                <w:szCs w:val="14"/>
                <w:lang w:val="nl-BE"/>
              </w:rPr>
            </w:pPr>
          </w:p>
        </w:tc>
        <w:tc>
          <w:tcPr>
            <w:tcW w:w="857" w:type="dxa"/>
            <w:shd w:val="clear" w:color="auto" w:fill="DBE5F1" w:themeFill="accent1" w:themeFillTint="33"/>
            <w:vAlign w:val="center"/>
          </w:tcPr>
          <w:p w:rsidR="00761F3D" w:rsidRPr="00634375" w:rsidRDefault="00761F3D" w:rsidP="00DB3994">
            <w:pPr>
              <w:pStyle w:val="Intro"/>
              <w:jc w:val="right"/>
              <w:rPr>
                <w:b w:val="0"/>
                <w:sz w:val="14"/>
                <w:szCs w:val="14"/>
                <w:lang w:val="nl-BE"/>
              </w:rPr>
            </w:pPr>
          </w:p>
        </w:tc>
      </w:tr>
      <w:tr w:rsidR="00761F3D" w:rsidRPr="00E903B5" w:rsidTr="00761F3D">
        <w:trPr>
          <w:trHeight w:val="227"/>
        </w:trPr>
        <w:tc>
          <w:tcPr>
            <w:tcW w:w="5670" w:type="dxa"/>
            <w:tcBorders>
              <w:right w:val="single" w:sz="4" w:space="0" w:color="365F91" w:themeColor="accent1" w:themeShade="BF"/>
            </w:tcBorders>
            <w:vAlign w:val="center"/>
          </w:tcPr>
          <w:p w:rsidR="00761F3D" w:rsidRPr="00E903B5" w:rsidRDefault="00761F3D" w:rsidP="00DB3994">
            <w:pPr>
              <w:pStyle w:val="Intro"/>
              <w:jc w:val="left"/>
              <w:rPr>
                <w:b w:val="0"/>
                <w:sz w:val="14"/>
                <w:szCs w:val="14"/>
                <w:lang w:val="en-GB"/>
              </w:rPr>
            </w:pPr>
            <w:r w:rsidRPr="00E903B5">
              <w:rPr>
                <w:b w:val="0"/>
                <w:sz w:val="14"/>
                <w:szCs w:val="14"/>
              </w:rPr>
              <w:t xml:space="preserve">          België</w:t>
            </w:r>
          </w:p>
        </w:tc>
        <w:tc>
          <w:tcPr>
            <w:tcW w:w="850" w:type="dxa"/>
            <w:tcBorders>
              <w:left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295</w:t>
            </w:r>
          </w:p>
        </w:tc>
        <w:tc>
          <w:tcPr>
            <w:tcW w:w="851" w:type="dxa"/>
            <w:vAlign w:val="center"/>
          </w:tcPr>
          <w:p w:rsidR="00761F3D" w:rsidRPr="00E903B5" w:rsidRDefault="00761F3D" w:rsidP="00DB3994">
            <w:pPr>
              <w:pStyle w:val="Intro"/>
              <w:jc w:val="right"/>
              <w:rPr>
                <w:b w:val="0"/>
                <w:sz w:val="14"/>
                <w:szCs w:val="14"/>
                <w:lang w:val="en-GB"/>
              </w:rPr>
            </w:pPr>
            <w:r w:rsidRPr="00E903B5">
              <w:rPr>
                <w:b w:val="0"/>
                <w:sz w:val="14"/>
                <w:szCs w:val="14"/>
              </w:rPr>
              <w:t>391</w:t>
            </w:r>
          </w:p>
        </w:tc>
        <w:tc>
          <w:tcPr>
            <w:tcW w:w="850" w:type="dxa"/>
            <w:tcBorders>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376</w:t>
            </w:r>
          </w:p>
        </w:tc>
        <w:tc>
          <w:tcPr>
            <w:tcW w:w="1128" w:type="dxa"/>
            <w:tcBorders>
              <w:left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1 360</w:t>
            </w:r>
          </w:p>
        </w:tc>
        <w:tc>
          <w:tcPr>
            <w:tcW w:w="857" w:type="dxa"/>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1 570</w:t>
            </w:r>
          </w:p>
        </w:tc>
      </w:tr>
      <w:tr w:rsidR="00761F3D" w:rsidRPr="00E903B5" w:rsidTr="00761F3D">
        <w:trPr>
          <w:trHeight w:val="227"/>
        </w:trPr>
        <w:tc>
          <w:tcPr>
            <w:tcW w:w="5670" w:type="dxa"/>
            <w:tcBorders>
              <w:right w:val="single" w:sz="4" w:space="0" w:color="365F91" w:themeColor="accent1" w:themeShade="BF"/>
            </w:tcBorders>
            <w:vAlign w:val="center"/>
          </w:tcPr>
          <w:p w:rsidR="00761F3D" w:rsidRPr="00E903B5" w:rsidRDefault="00761F3D" w:rsidP="00DB3994">
            <w:pPr>
              <w:pStyle w:val="Intro"/>
              <w:jc w:val="left"/>
              <w:rPr>
                <w:b w:val="0"/>
                <w:sz w:val="14"/>
                <w:szCs w:val="14"/>
                <w:lang w:val="en-GB"/>
              </w:rPr>
            </w:pPr>
            <w:r w:rsidRPr="00E903B5">
              <w:rPr>
                <w:b w:val="0"/>
                <w:sz w:val="14"/>
                <w:szCs w:val="14"/>
              </w:rPr>
              <w:t xml:space="preserve">          Tsjechië</w:t>
            </w:r>
          </w:p>
        </w:tc>
        <w:tc>
          <w:tcPr>
            <w:tcW w:w="850" w:type="dxa"/>
            <w:tcBorders>
              <w:left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114</w:t>
            </w:r>
          </w:p>
        </w:tc>
        <w:tc>
          <w:tcPr>
            <w:tcW w:w="851" w:type="dxa"/>
            <w:vAlign w:val="center"/>
          </w:tcPr>
          <w:p w:rsidR="00761F3D" w:rsidRPr="00E903B5" w:rsidRDefault="00761F3D" w:rsidP="00DB3994">
            <w:pPr>
              <w:pStyle w:val="Intro"/>
              <w:jc w:val="right"/>
              <w:rPr>
                <w:b w:val="0"/>
                <w:sz w:val="14"/>
                <w:szCs w:val="14"/>
                <w:lang w:val="en-GB"/>
              </w:rPr>
            </w:pPr>
            <w:r w:rsidRPr="00E903B5">
              <w:rPr>
                <w:b w:val="0"/>
                <w:sz w:val="14"/>
                <w:szCs w:val="14"/>
              </w:rPr>
              <w:t>157</w:t>
            </w:r>
          </w:p>
        </w:tc>
        <w:tc>
          <w:tcPr>
            <w:tcW w:w="850" w:type="dxa"/>
            <w:tcBorders>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119</w:t>
            </w:r>
          </w:p>
        </w:tc>
        <w:tc>
          <w:tcPr>
            <w:tcW w:w="1128" w:type="dxa"/>
            <w:tcBorders>
              <w:left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581</w:t>
            </w:r>
          </w:p>
        </w:tc>
        <w:tc>
          <w:tcPr>
            <w:tcW w:w="857" w:type="dxa"/>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554</w:t>
            </w:r>
          </w:p>
        </w:tc>
      </w:tr>
      <w:tr w:rsidR="00761F3D" w:rsidRPr="00E903B5" w:rsidTr="00761F3D">
        <w:trPr>
          <w:trHeight w:val="227"/>
        </w:trPr>
        <w:tc>
          <w:tcPr>
            <w:tcW w:w="5670" w:type="dxa"/>
            <w:tcBorders>
              <w:right w:val="single" w:sz="4" w:space="0" w:color="365F91" w:themeColor="accent1" w:themeShade="BF"/>
            </w:tcBorders>
            <w:vAlign w:val="center"/>
          </w:tcPr>
          <w:p w:rsidR="00761F3D" w:rsidRPr="00E903B5" w:rsidRDefault="00761F3D" w:rsidP="00DB3994">
            <w:pPr>
              <w:pStyle w:val="Intro"/>
              <w:jc w:val="left"/>
              <w:rPr>
                <w:b w:val="0"/>
                <w:sz w:val="14"/>
                <w:szCs w:val="14"/>
                <w:lang w:val="en-GB"/>
              </w:rPr>
            </w:pPr>
            <w:r w:rsidRPr="00E903B5">
              <w:rPr>
                <w:b w:val="0"/>
                <w:sz w:val="14"/>
                <w:szCs w:val="14"/>
              </w:rPr>
              <w:t xml:space="preserve">          Internationale Markten</w:t>
            </w:r>
          </w:p>
        </w:tc>
        <w:tc>
          <w:tcPr>
            <w:tcW w:w="850" w:type="dxa"/>
            <w:tcBorders>
              <w:left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-18</w:t>
            </w:r>
          </w:p>
        </w:tc>
        <w:tc>
          <w:tcPr>
            <w:tcW w:w="851" w:type="dxa"/>
            <w:vAlign w:val="center"/>
          </w:tcPr>
          <w:p w:rsidR="00761F3D" w:rsidRPr="00E903B5" w:rsidRDefault="00761F3D" w:rsidP="00DB3994">
            <w:pPr>
              <w:pStyle w:val="Intro"/>
              <w:jc w:val="right"/>
              <w:rPr>
                <w:b w:val="0"/>
                <w:sz w:val="14"/>
                <w:szCs w:val="14"/>
                <w:lang w:val="en-GB"/>
              </w:rPr>
            </w:pPr>
            <w:r w:rsidRPr="00E903B5">
              <w:rPr>
                <w:b w:val="0"/>
                <w:sz w:val="14"/>
                <w:szCs w:val="14"/>
              </w:rPr>
              <w:t>-12</w:t>
            </w:r>
          </w:p>
        </w:tc>
        <w:tc>
          <w:tcPr>
            <w:tcW w:w="850" w:type="dxa"/>
            <w:tcBorders>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-731</w:t>
            </w:r>
          </w:p>
        </w:tc>
        <w:tc>
          <w:tcPr>
            <w:tcW w:w="1128" w:type="dxa"/>
            <w:tcBorders>
              <w:left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-260</w:t>
            </w:r>
          </w:p>
        </w:tc>
        <w:tc>
          <w:tcPr>
            <w:tcW w:w="857" w:type="dxa"/>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-853</w:t>
            </w:r>
          </w:p>
        </w:tc>
      </w:tr>
      <w:tr w:rsidR="00761F3D" w:rsidRPr="00E903B5" w:rsidTr="00761F3D">
        <w:trPr>
          <w:trHeight w:val="227"/>
        </w:trPr>
        <w:tc>
          <w:tcPr>
            <w:tcW w:w="5670" w:type="dxa"/>
            <w:tcBorders>
              <w:bottom w:val="single" w:sz="4" w:space="0" w:color="365F91" w:themeColor="accent1" w:themeShade="BF"/>
              <w:right w:val="single" w:sz="4" w:space="0" w:color="365F91" w:themeColor="accent1" w:themeShade="BF"/>
            </w:tcBorders>
            <w:vAlign w:val="center"/>
          </w:tcPr>
          <w:p w:rsidR="00761F3D" w:rsidRPr="00E903B5" w:rsidRDefault="00761F3D" w:rsidP="00DB3994">
            <w:pPr>
              <w:pStyle w:val="Intro"/>
              <w:jc w:val="left"/>
              <w:rPr>
                <w:b w:val="0"/>
                <w:sz w:val="14"/>
                <w:szCs w:val="14"/>
                <w:lang w:val="en-GB"/>
              </w:rPr>
            </w:pPr>
            <w:r w:rsidRPr="00E903B5">
              <w:rPr>
                <w:b w:val="0"/>
                <w:sz w:val="14"/>
                <w:szCs w:val="14"/>
              </w:rPr>
              <w:t xml:space="preserve">          Groepscenter</w:t>
            </w:r>
          </w:p>
        </w:tc>
        <w:tc>
          <w:tcPr>
            <w:tcW w:w="850" w:type="dxa"/>
            <w:tcBorders>
              <w:left w:val="single" w:sz="4" w:space="0" w:color="365F91" w:themeColor="accent1" w:themeShade="BF"/>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-113</w:t>
            </w:r>
          </w:p>
        </w:tc>
        <w:tc>
          <w:tcPr>
            <w:tcW w:w="851" w:type="dxa"/>
            <w:tcBorders>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-79</w:t>
            </w:r>
          </w:p>
        </w:tc>
        <w:tc>
          <w:tcPr>
            <w:tcW w:w="850"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-104</w:t>
            </w:r>
          </w:p>
        </w:tc>
        <w:tc>
          <w:tcPr>
            <w:tcW w:w="1128" w:type="dxa"/>
            <w:tcBorders>
              <w:left w:val="single" w:sz="4" w:space="0" w:color="365F91" w:themeColor="accent1" w:themeShade="BF"/>
              <w:bottom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-185</w:t>
            </w:r>
          </w:p>
        </w:tc>
        <w:tc>
          <w:tcPr>
            <w:tcW w:w="857" w:type="dxa"/>
            <w:tcBorders>
              <w:bottom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-311</w:t>
            </w:r>
          </w:p>
        </w:tc>
      </w:tr>
      <w:tr w:rsidR="00761F3D" w:rsidRPr="00E903B5" w:rsidTr="00761F3D">
        <w:trPr>
          <w:trHeight w:val="284"/>
        </w:trPr>
        <w:tc>
          <w:tcPr>
            <w:tcW w:w="5670"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rsidR="00761F3D" w:rsidRPr="00634375" w:rsidRDefault="00761F3D" w:rsidP="00DB3994">
            <w:pPr>
              <w:pStyle w:val="Intro"/>
              <w:jc w:val="left"/>
              <w:rPr>
                <w:b w:val="0"/>
                <w:sz w:val="14"/>
                <w:szCs w:val="14"/>
                <w:lang w:val="nl-BE"/>
              </w:rPr>
            </w:pPr>
            <w:r w:rsidRPr="00E903B5">
              <w:rPr>
                <w:b w:val="0"/>
                <w:sz w:val="14"/>
                <w:szCs w:val="14"/>
              </w:rPr>
              <w:t>Eigen vermogen van de aandeelhouders per aandeel (in euro, per einde periode)</w:t>
            </w:r>
          </w:p>
        </w:tc>
        <w:tc>
          <w:tcPr>
            <w:tcW w:w="850"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29.0</w:t>
            </w:r>
          </w:p>
        </w:tc>
        <w:tc>
          <w:tcPr>
            <w:tcW w:w="851" w:type="dxa"/>
            <w:tcBorders>
              <w:top w:val="single" w:sz="4" w:space="0" w:color="365F91" w:themeColor="accent1" w:themeShade="BF"/>
              <w:bottom w:val="single" w:sz="4" w:space="0" w:color="365F91" w:themeColor="accent1" w:themeShade="BF"/>
            </w:tcBorders>
            <w:vAlign w:val="center"/>
          </w:tcPr>
          <w:p w:rsidR="00761F3D" w:rsidRPr="00E903B5" w:rsidRDefault="00761F3D" w:rsidP="00DB3994">
            <w:pPr>
              <w:pStyle w:val="Intro"/>
              <w:jc w:val="right"/>
              <w:rPr>
                <w:b w:val="0"/>
                <w:sz w:val="14"/>
                <w:szCs w:val="14"/>
                <w:lang w:val="en-GB"/>
              </w:rPr>
            </w:pPr>
            <w:r w:rsidRPr="00E903B5">
              <w:rPr>
                <w:b w:val="0"/>
                <w:sz w:val="14"/>
                <w:szCs w:val="14"/>
              </w:rPr>
              <w:t>28.5</w:t>
            </w:r>
          </w:p>
        </w:tc>
        <w:tc>
          <w:tcPr>
            <w:tcW w:w="85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28.3</w:t>
            </w:r>
          </w:p>
        </w:tc>
        <w:tc>
          <w:tcPr>
            <w:tcW w:w="1128"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tcPr>
          <w:p w:rsidR="00761F3D" w:rsidRPr="00E903B5" w:rsidRDefault="00761F3D" w:rsidP="00DB3994">
            <w:pPr>
              <w:pStyle w:val="Intro"/>
              <w:jc w:val="right"/>
              <w:rPr>
                <w:b w:val="0"/>
                <w:sz w:val="14"/>
                <w:szCs w:val="14"/>
                <w:lang w:val="en-GB"/>
              </w:rPr>
            </w:pPr>
            <w:r w:rsidRPr="00E903B5">
              <w:rPr>
                <w:b w:val="0"/>
                <w:sz w:val="14"/>
                <w:szCs w:val="14"/>
              </w:rPr>
              <w:t>29.0</w:t>
            </w:r>
          </w:p>
        </w:tc>
        <w:tc>
          <w:tcPr>
            <w:tcW w:w="857"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761F3D" w:rsidRPr="00E903B5" w:rsidRDefault="00761F3D" w:rsidP="00DB3994">
            <w:pPr>
              <w:pStyle w:val="Intro"/>
              <w:jc w:val="right"/>
              <w:rPr>
                <w:b w:val="0"/>
                <w:sz w:val="14"/>
                <w:szCs w:val="14"/>
                <w:lang w:val="en-GB"/>
              </w:rPr>
            </w:pPr>
            <w:r w:rsidRPr="00E903B5">
              <w:rPr>
                <w:b w:val="0"/>
                <w:sz w:val="14"/>
                <w:szCs w:val="14"/>
              </w:rPr>
              <w:t>28.3</w:t>
            </w:r>
          </w:p>
        </w:tc>
      </w:tr>
      <w:tr w:rsidR="00761F3D" w:rsidRPr="00F76249" w:rsidTr="00761F3D">
        <w:trPr>
          <w:trHeight w:val="113"/>
        </w:trPr>
        <w:tc>
          <w:tcPr>
            <w:tcW w:w="10206" w:type="dxa"/>
            <w:gridSpan w:val="6"/>
            <w:tcBorders>
              <w:top w:val="single" w:sz="4" w:space="0" w:color="365F91" w:themeColor="accent1" w:themeShade="BF"/>
            </w:tcBorders>
            <w:vAlign w:val="center"/>
          </w:tcPr>
          <w:p w:rsidR="00761F3D" w:rsidRPr="00634375" w:rsidRDefault="00761F3D" w:rsidP="00DB3994">
            <w:pPr>
              <w:pStyle w:val="Intro"/>
              <w:ind w:left="88" w:hanging="88"/>
              <w:jc w:val="left"/>
              <w:rPr>
                <w:rFonts w:cs="Arial"/>
                <w:b w:val="0"/>
                <w:color w:val="808080"/>
                <w:sz w:val="12"/>
                <w:szCs w:val="12"/>
                <w:lang w:val="nl-BE"/>
              </w:rPr>
            </w:pPr>
            <w:r w:rsidRPr="00E903B5">
              <w:rPr>
                <w:b w:val="0"/>
                <w:sz w:val="12"/>
                <w:szCs w:val="12"/>
              </w:rPr>
              <w:t>1 Opmerking: Als er een coupon wordt betaald op de kernkapitaaleffecten verkocht aan de Belgische en de Vlaamse overheid, dan wordt die (pro rata) van de teller afgetrokken.</w:t>
            </w:r>
            <w:r w:rsidRPr="00E903B5">
              <w:rPr>
                <w:rFonts w:cs="Arial"/>
                <w:b w:val="0"/>
                <w:color w:val="000000"/>
                <w:sz w:val="12"/>
                <w:szCs w:val="12"/>
              </w:rPr>
              <w:t xml:space="preserve"> Als er een boete moet worden betaald, wordt die eveneens afgetrokken.</w:t>
            </w:r>
          </w:p>
          <w:p w:rsidR="00761F3D" w:rsidRPr="00634375" w:rsidRDefault="00761F3D" w:rsidP="00DB3994">
            <w:pPr>
              <w:pStyle w:val="Intro"/>
              <w:ind w:left="88" w:hanging="88"/>
              <w:jc w:val="left"/>
              <w:rPr>
                <w:b w:val="0"/>
                <w:sz w:val="12"/>
                <w:szCs w:val="12"/>
                <w:lang w:val="nl-BE"/>
              </w:rPr>
            </w:pPr>
            <w:r w:rsidRPr="00E903B5">
              <w:rPr>
                <w:b w:val="0"/>
                <w:sz w:val="12"/>
                <w:szCs w:val="12"/>
              </w:rPr>
              <w:t xml:space="preserve">2 Vanaf 2013 is er een nieuwe uitsplitsing per divisie van kracht (meer informatie over die uitsplitsing vindt u in het deel Geconsolideerde financiële staten van het kwartaalverslag, onder Toelichtingen bij de segmentinformatie). De referentiecijfers voor 2012 werden </w:t>
            </w:r>
            <w:proofErr w:type="spellStart"/>
            <w:r w:rsidRPr="00E903B5">
              <w:rPr>
                <w:b w:val="0"/>
                <w:sz w:val="12"/>
                <w:szCs w:val="12"/>
              </w:rPr>
              <w:t>herberekend</w:t>
            </w:r>
            <w:proofErr w:type="spellEnd"/>
            <w:r w:rsidRPr="00E903B5">
              <w:rPr>
                <w:b w:val="0"/>
                <w:sz w:val="12"/>
                <w:szCs w:val="12"/>
              </w:rPr>
              <w:t>, rekening houdend met die nieuwe indeling.</w:t>
            </w:r>
          </w:p>
        </w:tc>
      </w:tr>
    </w:tbl>
    <w:p w:rsidR="00761F3D" w:rsidRDefault="00761F3D" w:rsidP="00136A6C">
      <w:pPr>
        <w:autoSpaceDE w:val="0"/>
        <w:autoSpaceDN w:val="0"/>
        <w:adjustRightInd w:val="0"/>
        <w:spacing w:afterLines="60" w:after="144" w:line="240" w:lineRule="auto"/>
        <w:ind w:left="992" w:right="6"/>
        <w:jc w:val="both"/>
        <w:rPr>
          <w:rFonts w:cs="Arial"/>
          <w:bCs/>
          <w:color w:val="003768"/>
          <w:sz w:val="20"/>
          <w:szCs w:val="20"/>
          <w:lang w:val="nl-BE"/>
        </w:rPr>
      </w:pPr>
    </w:p>
    <w:p w:rsidR="00761F3D" w:rsidRDefault="00210DB3" w:rsidP="00210DB3">
      <w:pPr>
        <w:autoSpaceDE w:val="0"/>
        <w:autoSpaceDN w:val="0"/>
        <w:adjustRightInd w:val="0"/>
        <w:spacing w:after="120" w:line="240" w:lineRule="auto"/>
        <w:ind w:left="992" w:right="6"/>
        <w:jc w:val="both"/>
        <w:rPr>
          <w:rFonts w:cs="Arial"/>
          <w:bCs/>
          <w:color w:val="003768"/>
          <w:sz w:val="20"/>
          <w:szCs w:val="20"/>
          <w:lang w:val="nl-BE"/>
        </w:rPr>
      </w:pPr>
      <w:r>
        <w:rPr>
          <w:rFonts w:cs="Arial"/>
          <w:bCs/>
          <w:noProof/>
          <w:color w:val="003768"/>
          <w:sz w:val="20"/>
          <w:szCs w:val="20"/>
          <w:lang w:val="nl-BE" w:eastAsia="nl-BE"/>
        </w:rPr>
        <w:lastRenderedPageBreak/>
        <w:drawing>
          <wp:inline distT="0" distB="0" distL="0" distR="0" wp14:anchorId="574395A5">
            <wp:extent cx="6450330" cy="499745"/>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210DB3" w:rsidRPr="00210DB3" w:rsidRDefault="00210DB3" w:rsidP="00210DB3">
      <w:pPr>
        <w:autoSpaceDE w:val="0"/>
        <w:autoSpaceDN w:val="0"/>
        <w:adjustRightInd w:val="0"/>
        <w:spacing w:after="60" w:line="240" w:lineRule="auto"/>
        <w:ind w:left="992" w:right="6"/>
        <w:jc w:val="both"/>
        <w:rPr>
          <w:rFonts w:cs="Arial"/>
          <w:bCs/>
          <w:color w:val="003768"/>
          <w:sz w:val="20"/>
          <w:szCs w:val="20"/>
          <w:lang w:val="nl-BE"/>
        </w:rPr>
      </w:pPr>
      <w:r w:rsidRPr="00210DB3">
        <w:rPr>
          <w:rFonts w:cs="Arial"/>
          <w:bCs/>
          <w:color w:val="003768"/>
          <w:sz w:val="20"/>
          <w:szCs w:val="20"/>
          <w:lang w:val="nl-BE"/>
        </w:rPr>
        <w:t xml:space="preserve">In het deel Geconsolideerde jaarrekening van het kwartaalverslag vindt u een volledig overzicht van de geconsolideerde winst-en-verliesrekening en balans volgens IFRS. In datzelfde deel vindt u ook een vereenvoudigd overzicht van de gerealiseerde en niet-gerealiseerde resultaten, van de eigenvermogensmutaties en de kasstromentabel, evenals verschillende toelichtingen bij de rekeningen. </w:t>
      </w:r>
    </w:p>
    <w:p w:rsidR="00761F3D" w:rsidRPr="00761F3D" w:rsidRDefault="00210DB3" w:rsidP="00210DB3">
      <w:pPr>
        <w:autoSpaceDE w:val="0"/>
        <w:autoSpaceDN w:val="0"/>
        <w:adjustRightInd w:val="0"/>
        <w:spacing w:after="120" w:line="240" w:lineRule="auto"/>
        <w:ind w:left="992" w:right="6"/>
        <w:jc w:val="both"/>
        <w:rPr>
          <w:rFonts w:cs="Arial"/>
          <w:bCs/>
          <w:color w:val="003768"/>
          <w:sz w:val="20"/>
          <w:szCs w:val="20"/>
          <w:lang w:val="nl-BE"/>
        </w:rPr>
      </w:pPr>
      <w:r w:rsidRPr="00210DB3">
        <w:rPr>
          <w:rFonts w:cs="Arial"/>
          <w:bCs/>
          <w:color w:val="003768"/>
          <w:sz w:val="20"/>
          <w:szCs w:val="20"/>
          <w:lang w:val="nl-BE"/>
        </w:rPr>
        <w:t xml:space="preserve">Om een duidelijk inzicht te verschaffen in de bedrijfsresultaten geeft KBC ook een overzicht van de aangepaste resultaten, waarbij de invloed van de </w:t>
      </w:r>
      <w:proofErr w:type="spellStart"/>
      <w:r w:rsidRPr="00210DB3">
        <w:rPr>
          <w:rFonts w:cs="Arial"/>
          <w:bCs/>
          <w:color w:val="003768"/>
          <w:sz w:val="20"/>
          <w:szCs w:val="20"/>
          <w:lang w:val="nl-BE"/>
        </w:rPr>
        <w:t>legacy</w:t>
      </w:r>
      <w:proofErr w:type="spellEnd"/>
      <w:r w:rsidRPr="00210DB3">
        <w:rPr>
          <w:rFonts w:cs="Arial"/>
          <w:bCs/>
          <w:color w:val="003768"/>
          <w:sz w:val="20"/>
          <w:szCs w:val="20"/>
          <w:lang w:val="nl-BE"/>
        </w:rPr>
        <w:t xml:space="preserve">-activiteiten (desinvesteringen, </w:t>
      </w:r>
      <w:proofErr w:type="spellStart"/>
      <w:r w:rsidRPr="00210DB3">
        <w:rPr>
          <w:rFonts w:cs="Arial"/>
          <w:bCs/>
          <w:color w:val="003768"/>
          <w:sz w:val="20"/>
          <w:szCs w:val="20"/>
          <w:lang w:val="nl-BE"/>
        </w:rPr>
        <w:t>CDO’s</w:t>
      </w:r>
      <w:proofErr w:type="spellEnd"/>
      <w:r w:rsidRPr="00210DB3">
        <w:rPr>
          <w:rFonts w:cs="Arial"/>
          <w:bCs/>
          <w:color w:val="003768"/>
          <w:sz w:val="20"/>
          <w:szCs w:val="20"/>
          <w:lang w:val="nl-BE"/>
        </w:rPr>
        <w:t>) en van de waardering van het eigen kredietrisico niet is opgenomen in de winst-en-verliesrekening maar wordt samengevat in drie lijnen onderaan het overzicht (zie het volgende deel).</w:t>
      </w:r>
    </w:p>
    <w:tbl>
      <w:tblPr>
        <w:tblW w:w="10530" w:type="dxa"/>
        <w:tblInd w:w="1013" w:type="dxa"/>
        <w:tblLayout w:type="fixed"/>
        <w:tblLook w:val="01E0" w:firstRow="1" w:lastRow="1" w:firstColumn="1" w:lastColumn="1" w:noHBand="0" w:noVBand="0"/>
      </w:tblPr>
      <w:tblGrid>
        <w:gridCol w:w="3621"/>
        <w:gridCol w:w="675"/>
        <w:gridCol w:w="710"/>
        <w:gridCol w:w="603"/>
        <w:gridCol w:w="650"/>
        <w:gridCol w:w="650"/>
        <w:gridCol w:w="638"/>
        <w:gridCol w:w="668"/>
        <w:gridCol w:w="643"/>
        <w:gridCol w:w="836"/>
        <w:gridCol w:w="836"/>
      </w:tblGrid>
      <w:tr w:rsidR="00210DB3" w:rsidRPr="004E3B8B" w:rsidTr="00BE652F">
        <w:trPr>
          <w:trHeight w:val="324"/>
        </w:trPr>
        <w:tc>
          <w:tcPr>
            <w:tcW w:w="3621" w:type="dxa"/>
            <w:shd w:val="clear" w:color="auto" w:fill="365F91" w:themeFill="accent1" w:themeFillShade="BF"/>
            <w:vAlign w:val="center"/>
          </w:tcPr>
          <w:p w:rsidR="00210DB3" w:rsidRPr="00634375" w:rsidRDefault="00210DB3" w:rsidP="00DB3994">
            <w:pPr>
              <w:pStyle w:val="Intro"/>
              <w:jc w:val="left"/>
              <w:rPr>
                <w:b w:val="0"/>
                <w:color w:val="FFFFFF" w:themeColor="background1"/>
                <w:sz w:val="14"/>
                <w:szCs w:val="14"/>
                <w:lang w:val="nl-BE"/>
              </w:rPr>
            </w:pPr>
            <w:r w:rsidRPr="00E903B5">
              <w:rPr>
                <w:b w:val="0"/>
                <w:color w:val="FFFFFF" w:themeColor="background1"/>
                <w:sz w:val="14"/>
                <w:szCs w:val="14"/>
              </w:rPr>
              <w:t>Geconsolideerde resultaten</w:t>
            </w:r>
            <w:r w:rsidRPr="00E903B5">
              <w:rPr>
                <w:b w:val="0"/>
                <w:color w:val="FFFFFF" w:themeColor="background1"/>
                <w:sz w:val="14"/>
                <w:szCs w:val="14"/>
              </w:rPr>
              <w:br/>
              <w:t xml:space="preserve"> volgens IFRS van de KBC-groep (in miljoenen euro)</w:t>
            </w:r>
          </w:p>
        </w:tc>
        <w:tc>
          <w:tcPr>
            <w:tcW w:w="675" w:type="dxa"/>
            <w:shd w:val="clear" w:color="auto" w:fill="365F91" w:themeFill="accent1" w:themeFillShade="BF"/>
            <w:vAlign w:val="bottom"/>
          </w:tcPr>
          <w:p w:rsidR="00210DB3" w:rsidRPr="00E342D4" w:rsidRDefault="00210DB3" w:rsidP="00BE652F">
            <w:pPr>
              <w:pStyle w:val="Intro"/>
              <w:jc w:val="right"/>
              <w:rPr>
                <w:b w:val="0"/>
                <w:color w:val="FFFFFF" w:themeColor="background1"/>
                <w:sz w:val="14"/>
                <w:szCs w:val="14"/>
                <w:lang w:val="nl-BE"/>
              </w:rPr>
            </w:pPr>
            <w:r w:rsidRPr="00E903B5">
              <w:rPr>
                <w:b w:val="0"/>
                <w:color w:val="FFFFFF" w:themeColor="background1"/>
                <w:sz w:val="14"/>
                <w:szCs w:val="14"/>
              </w:rPr>
              <w:t>1</w:t>
            </w:r>
            <w:r w:rsidR="00BE652F">
              <w:rPr>
                <w:b w:val="0"/>
                <w:color w:val="FFFFFF" w:themeColor="background1"/>
                <w:sz w:val="14"/>
                <w:szCs w:val="14"/>
              </w:rPr>
              <w:t>KW</w:t>
            </w:r>
            <w:r>
              <w:rPr>
                <w:b w:val="0"/>
                <w:color w:val="FFFFFF" w:themeColor="background1"/>
                <w:sz w:val="14"/>
                <w:szCs w:val="14"/>
              </w:rPr>
              <w:br/>
            </w:r>
            <w:r w:rsidRPr="00E903B5">
              <w:rPr>
                <w:b w:val="0"/>
                <w:color w:val="FFFFFF" w:themeColor="background1"/>
                <w:sz w:val="14"/>
                <w:szCs w:val="14"/>
              </w:rPr>
              <w:t>2012</w:t>
            </w:r>
          </w:p>
        </w:tc>
        <w:tc>
          <w:tcPr>
            <w:tcW w:w="710" w:type="dxa"/>
            <w:shd w:val="clear" w:color="auto" w:fill="365F91" w:themeFill="accent1" w:themeFillShade="BF"/>
            <w:vAlign w:val="bottom"/>
          </w:tcPr>
          <w:p w:rsidR="00210DB3" w:rsidRPr="00E342D4" w:rsidRDefault="00BE652F" w:rsidP="00DB3994">
            <w:pPr>
              <w:pStyle w:val="Intro"/>
              <w:jc w:val="right"/>
              <w:rPr>
                <w:b w:val="0"/>
                <w:color w:val="FFFFFF" w:themeColor="background1"/>
                <w:sz w:val="14"/>
                <w:szCs w:val="14"/>
                <w:lang w:val="nl-BE"/>
              </w:rPr>
            </w:pPr>
            <w:r>
              <w:rPr>
                <w:b w:val="0"/>
                <w:color w:val="FFFFFF" w:themeColor="background1"/>
                <w:sz w:val="14"/>
                <w:szCs w:val="14"/>
              </w:rPr>
              <w:t>2KW</w:t>
            </w:r>
            <w:r w:rsidR="00210DB3">
              <w:rPr>
                <w:b w:val="0"/>
                <w:color w:val="FFFFFF" w:themeColor="background1"/>
                <w:sz w:val="14"/>
                <w:szCs w:val="14"/>
              </w:rPr>
              <w:br/>
            </w:r>
            <w:r w:rsidR="00210DB3" w:rsidRPr="00E903B5">
              <w:rPr>
                <w:b w:val="0"/>
                <w:color w:val="FFFFFF" w:themeColor="background1"/>
                <w:sz w:val="14"/>
                <w:szCs w:val="14"/>
              </w:rPr>
              <w:t>2012</w:t>
            </w:r>
          </w:p>
        </w:tc>
        <w:tc>
          <w:tcPr>
            <w:tcW w:w="603" w:type="dxa"/>
            <w:shd w:val="clear" w:color="auto" w:fill="365F91" w:themeFill="accent1" w:themeFillShade="BF"/>
            <w:vAlign w:val="bottom"/>
          </w:tcPr>
          <w:p w:rsidR="00210DB3" w:rsidRPr="00E342D4" w:rsidRDefault="00BE652F" w:rsidP="00DB3994">
            <w:pPr>
              <w:pStyle w:val="Intro"/>
              <w:jc w:val="right"/>
              <w:rPr>
                <w:b w:val="0"/>
                <w:color w:val="FFFFFF" w:themeColor="background1"/>
                <w:sz w:val="14"/>
                <w:szCs w:val="14"/>
                <w:lang w:val="nl-BE"/>
              </w:rPr>
            </w:pPr>
            <w:r>
              <w:rPr>
                <w:b w:val="0"/>
                <w:color w:val="FFFFFF" w:themeColor="background1"/>
                <w:sz w:val="14"/>
                <w:szCs w:val="14"/>
              </w:rPr>
              <w:t>3KW</w:t>
            </w:r>
            <w:r w:rsidR="00210DB3" w:rsidRPr="00E903B5">
              <w:rPr>
                <w:b w:val="0"/>
                <w:color w:val="FFFFFF" w:themeColor="background1"/>
                <w:sz w:val="14"/>
                <w:szCs w:val="14"/>
              </w:rPr>
              <w:t xml:space="preserve"> </w:t>
            </w:r>
          </w:p>
          <w:p w:rsidR="00210DB3" w:rsidRPr="00E342D4" w:rsidRDefault="00210DB3" w:rsidP="00DB3994">
            <w:pPr>
              <w:pStyle w:val="Intro"/>
              <w:jc w:val="right"/>
              <w:rPr>
                <w:b w:val="0"/>
                <w:color w:val="FFFFFF" w:themeColor="background1"/>
                <w:sz w:val="14"/>
                <w:szCs w:val="14"/>
                <w:lang w:val="nl-BE"/>
              </w:rPr>
            </w:pPr>
            <w:r w:rsidRPr="00E903B5">
              <w:rPr>
                <w:b w:val="0"/>
                <w:color w:val="FFFFFF" w:themeColor="background1"/>
                <w:sz w:val="14"/>
                <w:szCs w:val="14"/>
              </w:rPr>
              <w:t>2012</w:t>
            </w:r>
          </w:p>
        </w:tc>
        <w:tc>
          <w:tcPr>
            <w:tcW w:w="650" w:type="dxa"/>
            <w:shd w:val="clear" w:color="auto" w:fill="365F91" w:themeFill="accent1" w:themeFillShade="BF"/>
            <w:vAlign w:val="bottom"/>
          </w:tcPr>
          <w:p w:rsidR="00210DB3" w:rsidRPr="00E342D4" w:rsidRDefault="00BE652F" w:rsidP="00DB3994">
            <w:pPr>
              <w:pStyle w:val="Intro"/>
              <w:jc w:val="right"/>
              <w:rPr>
                <w:b w:val="0"/>
                <w:color w:val="FFFFFF" w:themeColor="background1"/>
                <w:sz w:val="14"/>
                <w:szCs w:val="14"/>
                <w:lang w:val="nl-BE"/>
              </w:rPr>
            </w:pPr>
            <w:r>
              <w:rPr>
                <w:b w:val="0"/>
                <w:color w:val="FFFFFF" w:themeColor="background1"/>
                <w:sz w:val="14"/>
                <w:szCs w:val="14"/>
              </w:rPr>
              <w:t>4KW</w:t>
            </w:r>
            <w:r w:rsidR="00210DB3">
              <w:rPr>
                <w:b w:val="0"/>
                <w:color w:val="FFFFFF" w:themeColor="background1"/>
                <w:sz w:val="14"/>
                <w:szCs w:val="14"/>
              </w:rPr>
              <w:br/>
            </w:r>
            <w:r w:rsidR="00210DB3" w:rsidRPr="00E903B5">
              <w:rPr>
                <w:b w:val="0"/>
                <w:color w:val="FFFFFF" w:themeColor="background1"/>
                <w:sz w:val="14"/>
                <w:szCs w:val="14"/>
              </w:rPr>
              <w:t>2012</w:t>
            </w:r>
          </w:p>
        </w:tc>
        <w:tc>
          <w:tcPr>
            <w:tcW w:w="650" w:type="dxa"/>
            <w:shd w:val="clear" w:color="auto" w:fill="365F91" w:themeFill="accent1" w:themeFillShade="BF"/>
            <w:vAlign w:val="bottom"/>
          </w:tcPr>
          <w:p w:rsidR="00210DB3" w:rsidRPr="00E342D4" w:rsidRDefault="00BE652F" w:rsidP="00DB3994">
            <w:pPr>
              <w:pStyle w:val="Intro"/>
              <w:jc w:val="right"/>
              <w:rPr>
                <w:b w:val="0"/>
                <w:color w:val="FFFFFF" w:themeColor="background1"/>
                <w:sz w:val="14"/>
                <w:szCs w:val="14"/>
                <w:lang w:val="nl-BE"/>
              </w:rPr>
            </w:pPr>
            <w:r>
              <w:rPr>
                <w:b w:val="0"/>
                <w:color w:val="FFFFFF" w:themeColor="background1"/>
                <w:sz w:val="14"/>
                <w:szCs w:val="14"/>
              </w:rPr>
              <w:t>1KW</w:t>
            </w:r>
            <w:r w:rsidR="00210DB3">
              <w:rPr>
                <w:b w:val="0"/>
                <w:color w:val="FFFFFF" w:themeColor="background1"/>
                <w:sz w:val="14"/>
                <w:szCs w:val="14"/>
              </w:rPr>
              <w:br/>
            </w:r>
            <w:r w:rsidR="00210DB3" w:rsidRPr="00E903B5">
              <w:rPr>
                <w:b w:val="0"/>
                <w:color w:val="FFFFFF" w:themeColor="background1"/>
                <w:sz w:val="14"/>
                <w:szCs w:val="14"/>
              </w:rPr>
              <w:t>2013</w:t>
            </w:r>
          </w:p>
        </w:tc>
        <w:tc>
          <w:tcPr>
            <w:tcW w:w="638" w:type="dxa"/>
            <w:shd w:val="clear" w:color="auto" w:fill="365F91" w:themeFill="accent1" w:themeFillShade="BF"/>
            <w:vAlign w:val="bottom"/>
          </w:tcPr>
          <w:p w:rsidR="00210DB3" w:rsidRPr="00E342D4" w:rsidRDefault="00210DB3" w:rsidP="00BE652F">
            <w:pPr>
              <w:pStyle w:val="Intro"/>
              <w:jc w:val="right"/>
              <w:rPr>
                <w:b w:val="0"/>
                <w:color w:val="FFFFFF" w:themeColor="background1"/>
                <w:sz w:val="14"/>
                <w:szCs w:val="14"/>
                <w:lang w:val="nl-BE"/>
              </w:rPr>
            </w:pPr>
            <w:r w:rsidRPr="00E903B5">
              <w:rPr>
                <w:b w:val="0"/>
                <w:color w:val="FFFFFF" w:themeColor="background1"/>
                <w:sz w:val="14"/>
                <w:szCs w:val="14"/>
              </w:rPr>
              <w:t>2</w:t>
            </w:r>
            <w:r w:rsidR="00BE652F">
              <w:rPr>
                <w:b w:val="0"/>
                <w:color w:val="FFFFFF" w:themeColor="background1"/>
                <w:sz w:val="14"/>
                <w:szCs w:val="14"/>
              </w:rPr>
              <w:t>KW</w:t>
            </w:r>
            <w:r>
              <w:rPr>
                <w:b w:val="0"/>
                <w:color w:val="FFFFFF" w:themeColor="background1"/>
                <w:sz w:val="14"/>
                <w:szCs w:val="14"/>
              </w:rPr>
              <w:br/>
            </w:r>
            <w:r w:rsidRPr="00E903B5">
              <w:rPr>
                <w:b w:val="0"/>
                <w:color w:val="FFFFFF" w:themeColor="background1"/>
                <w:sz w:val="14"/>
                <w:szCs w:val="14"/>
              </w:rPr>
              <w:t>2013</w:t>
            </w:r>
          </w:p>
        </w:tc>
        <w:tc>
          <w:tcPr>
            <w:tcW w:w="668" w:type="dxa"/>
            <w:shd w:val="clear" w:color="auto" w:fill="365F91" w:themeFill="accent1" w:themeFillShade="BF"/>
            <w:vAlign w:val="bottom"/>
          </w:tcPr>
          <w:p w:rsidR="00210DB3" w:rsidRPr="00E342D4" w:rsidRDefault="00BE652F" w:rsidP="00DB3994">
            <w:pPr>
              <w:pStyle w:val="Intro"/>
              <w:jc w:val="right"/>
              <w:rPr>
                <w:b w:val="0"/>
                <w:color w:val="FFFFFF" w:themeColor="background1"/>
                <w:sz w:val="14"/>
                <w:szCs w:val="14"/>
                <w:lang w:val="nl-BE"/>
              </w:rPr>
            </w:pPr>
            <w:r>
              <w:rPr>
                <w:b w:val="0"/>
                <w:color w:val="FFFFFF" w:themeColor="background1"/>
                <w:sz w:val="14"/>
                <w:szCs w:val="14"/>
              </w:rPr>
              <w:t>3KW</w:t>
            </w:r>
            <w:r w:rsidR="00210DB3" w:rsidRPr="00E903B5">
              <w:rPr>
                <w:b w:val="0"/>
                <w:color w:val="FFFFFF" w:themeColor="background1"/>
                <w:sz w:val="14"/>
                <w:szCs w:val="14"/>
              </w:rPr>
              <w:t xml:space="preserve"> </w:t>
            </w:r>
          </w:p>
          <w:p w:rsidR="00210DB3" w:rsidRPr="00E342D4" w:rsidRDefault="00210DB3" w:rsidP="00DB3994">
            <w:pPr>
              <w:pStyle w:val="Intro"/>
              <w:jc w:val="right"/>
              <w:rPr>
                <w:b w:val="0"/>
                <w:color w:val="FFFFFF" w:themeColor="background1"/>
                <w:sz w:val="14"/>
                <w:szCs w:val="14"/>
                <w:lang w:val="nl-BE"/>
              </w:rPr>
            </w:pPr>
            <w:r w:rsidRPr="00E903B5">
              <w:rPr>
                <w:b w:val="0"/>
                <w:color w:val="FFFFFF" w:themeColor="background1"/>
                <w:sz w:val="14"/>
                <w:szCs w:val="14"/>
              </w:rPr>
              <w:t>2013</w:t>
            </w:r>
          </w:p>
        </w:tc>
        <w:tc>
          <w:tcPr>
            <w:tcW w:w="643" w:type="dxa"/>
            <w:shd w:val="clear" w:color="auto" w:fill="365F91" w:themeFill="accent1" w:themeFillShade="BF"/>
            <w:vAlign w:val="bottom"/>
          </w:tcPr>
          <w:p w:rsidR="00210DB3" w:rsidRDefault="00BE652F" w:rsidP="00DB3994">
            <w:pPr>
              <w:pStyle w:val="Intro"/>
              <w:jc w:val="right"/>
              <w:rPr>
                <w:b w:val="0"/>
                <w:color w:val="FFFFFF" w:themeColor="background1"/>
                <w:sz w:val="14"/>
                <w:szCs w:val="14"/>
              </w:rPr>
            </w:pPr>
            <w:r>
              <w:rPr>
                <w:b w:val="0"/>
                <w:color w:val="FFFFFF" w:themeColor="background1"/>
                <w:sz w:val="14"/>
                <w:szCs w:val="14"/>
              </w:rPr>
              <w:t>4KW</w:t>
            </w:r>
          </w:p>
          <w:p w:rsidR="00210DB3" w:rsidRPr="00E342D4" w:rsidRDefault="00210DB3" w:rsidP="00DB3994">
            <w:pPr>
              <w:pStyle w:val="Intro"/>
              <w:jc w:val="right"/>
              <w:rPr>
                <w:b w:val="0"/>
                <w:color w:val="FFFFFF" w:themeColor="background1"/>
                <w:sz w:val="14"/>
                <w:szCs w:val="14"/>
                <w:lang w:val="nl-BE"/>
              </w:rPr>
            </w:pPr>
            <w:r w:rsidRPr="00E903B5">
              <w:rPr>
                <w:b w:val="0"/>
                <w:color w:val="FFFFFF" w:themeColor="background1"/>
                <w:sz w:val="14"/>
                <w:szCs w:val="14"/>
              </w:rPr>
              <w:t>2013</w:t>
            </w:r>
          </w:p>
        </w:tc>
        <w:tc>
          <w:tcPr>
            <w:tcW w:w="836" w:type="dxa"/>
            <w:shd w:val="clear" w:color="auto" w:fill="365F91" w:themeFill="accent1" w:themeFillShade="BF"/>
            <w:vAlign w:val="bottom"/>
          </w:tcPr>
          <w:p w:rsidR="00210DB3" w:rsidRPr="00E342D4" w:rsidRDefault="00210DB3" w:rsidP="00BE652F">
            <w:pPr>
              <w:pStyle w:val="Intro"/>
              <w:jc w:val="right"/>
              <w:rPr>
                <w:b w:val="0"/>
                <w:color w:val="FFFFFF" w:themeColor="background1"/>
                <w:sz w:val="14"/>
                <w:szCs w:val="14"/>
                <w:lang w:val="nl-BE"/>
              </w:rPr>
            </w:pPr>
            <w:r w:rsidRPr="00E903B5">
              <w:rPr>
                <w:b w:val="0"/>
                <w:color w:val="FFFFFF" w:themeColor="background1"/>
                <w:sz w:val="14"/>
                <w:szCs w:val="14"/>
              </w:rPr>
              <w:t>Boekjaar</w:t>
            </w:r>
            <w:r w:rsidRPr="00E903B5">
              <w:rPr>
                <w:b w:val="0"/>
                <w:color w:val="FFFFFF" w:themeColor="background1"/>
                <w:sz w:val="14"/>
                <w:szCs w:val="14"/>
              </w:rPr>
              <w:br/>
              <w:t xml:space="preserve"> 2012</w:t>
            </w:r>
          </w:p>
        </w:tc>
        <w:tc>
          <w:tcPr>
            <w:tcW w:w="836" w:type="dxa"/>
            <w:shd w:val="clear" w:color="auto" w:fill="365F91" w:themeFill="accent1" w:themeFillShade="BF"/>
            <w:vAlign w:val="bottom"/>
          </w:tcPr>
          <w:p w:rsidR="00210DB3" w:rsidRPr="00E342D4" w:rsidRDefault="00210DB3" w:rsidP="00BE652F">
            <w:pPr>
              <w:pStyle w:val="Intro"/>
              <w:jc w:val="right"/>
              <w:rPr>
                <w:b w:val="0"/>
                <w:color w:val="FFFFFF" w:themeColor="background1"/>
                <w:sz w:val="14"/>
                <w:szCs w:val="14"/>
                <w:lang w:val="nl-BE"/>
              </w:rPr>
            </w:pPr>
            <w:r>
              <w:rPr>
                <w:b w:val="0"/>
                <w:color w:val="FFFFFF" w:themeColor="background1"/>
                <w:sz w:val="14"/>
                <w:szCs w:val="14"/>
              </w:rPr>
              <w:t>Boekjaar</w:t>
            </w:r>
            <w:r w:rsidRPr="00E903B5">
              <w:rPr>
                <w:b w:val="0"/>
                <w:color w:val="FFFFFF" w:themeColor="background1"/>
                <w:sz w:val="14"/>
                <w:szCs w:val="14"/>
              </w:rPr>
              <w:br/>
            </w:r>
            <w:r>
              <w:rPr>
                <w:b w:val="0"/>
                <w:color w:val="FFFFFF" w:themeColor="background1"/>
                <w:sz w:val="14"/>
                <w:szCs w:val="14"/>
              </w:rPr>
              <w:t>2013</w:t>
            </w:r>
          </w:p>
        </w:tc>
      </w:tr>
      <w:tr w:rsidR="00210DB3" w:rsidRPr="00E903B5" w:rsidTr="00BE652F">
        <w:trPr>
          <w:trHeight w:val="237"/>
        </w:trPr>
        <w:tc>
          <w:tcPr>
            <w:tcW w:w="3621" w:type="dxa"/>
            <w:tcBorders>
              <w:right w:val="single" w:sz="8" w:space="0" w:color="1F497D" w:themeColor="text2"/>
            </w:tcBorders>
            <w:vAlign w:val="center"/>
          </w:tcPr>
          <w:p w:rsidR="00210DB3" w:rsidRPr="00E342D4" w:rsidRDefault="00210DB3" w:rsidP="00DB3994">
            <w:pPr>
              <w:pStyle w:val="Intro"/>
              <w:jc w:val="left"/>
              <w:rPr>
                <w:b w:val="0"/>
                <w:sz w:val="14"/>
                <w:szCs w:val="14"/>
                <w:lang w:val="nl-BE"/>
              </w:rPr>
            </w:pPr>
            <w:proofErr w:type="spellStart"/>
            <w:r w:rsidRPr="00E903B5">
              <w:rPr>
                <w:b w:val="0"/>
                <w:sz w:val="14"/>
                <w:szCs w:val="14"/>
              </w:rPr>
              <w:t>Nettorente</w:t>
            </w:r>
            <w:proofErr w:type="spellEnd"/>
            <w:r w:rsidRPr="00E903B5">
              <w:rPr>
                <w:b w:val="0"/>
                <w:sz w:val="14"/>
                <w:szCs w:val="14"/>
              </w:rPr>
              <w:t>-inkomsten</w:t>
            </w:r>
          </w:p>
        </w:tc>
        <w:tc>
          <w:tcPr>
            <w:tcW w:w="675" w:type="dxa"/>
            <w:tcBorders>
              <w:left w:val="single" w:sz="8" w:space="0" w:color="1F497D" w:themeColor="text2"/>
            </w:tcBorders>
            <w:vAlign w:val="center"/>
          </w:tcPr>
          <w:p w:rsidR="00210DB3" w:rsidRPr="00E342D4" w:rsidRDefault="00210DB3" w:rsidP="00DB3994">
            <w:pPr>
              <w:pStyle w:val="Intro"/>
              <w:jc w:val="right"/>
              <w:rPr>
                <w:b w:val="0"/>
                <w:sz w:val="14"/>
                <w:szCs w:val="14"/>
                <w:lang w:val="nl-BE"/>
              </w:rPr>
            </w:pPr>
            <w:r w:rsidRPr="00E903B5">
              <w:rPr>
                <w:b w:val="0"/>
                <w:sz w:val="14"/>
                <w:szCs w:val="14"/>
              </w:rPr>
              <w:t>1 261</w:t>
            </w:r>
          </w:p>
        </w:tc>
        <w:tc>
          <w:tcPr>
            <w:tcW w:w="710" w:type="dxa"/>
            <w:vAlign w:val="center"/>
          </w:tcPr>
          <w:p w:rsidR="00210DB3" w:rsidRPr="00E342D4" w:rsidRDefault="00210DB3" w:rsidP="00DB3994">
            <w:pPr>
              <w:pStyle w:val="Intro"/>
              <w:jc w:val="right"/>
              <w:rPr>
                <w:b w:val="0"/>
                <w:sz w:val="14"/>
                <w:szCs w:val="14"/>
                <w:lang w:val="nl-BE"/>
              </w:rPr>
            </w:pPr>
            <w:r w:rsidRPr="00E903B5">
              <w:rPr>
                <w:b w:val="0"/>
                <w:sz w:val="14"/>
                <w:szCs w:val="14"/>
              </w:rPr>
              <w:t>1 190</w:t>
            </w:r>
          </w:p>
        </w:tc>
        <w:tc>
          <w:tcPr>
            <w:tcW w:w="603" w:type="dxa"/>
            <w:vAlign w:val="center"/>
          </w:tcPr>
          <w:p w:rsidR="00210DB3" w:rsidRPr="00E342D4" w:rsidRDefault="00210DB3" w:rsidP="00DB3994">
            <w:pPr>
              <w:pStyle w:val="Intro"/>
              <w:jc w:val="right"/>
              <w:rPr>
                <w:b w:val="0"/>
                <w:sz w:val="14"/>
                <w:szCs w:val="14"/>
                <w:lang w:val="nl-BE"/>
              </w:rPr>
            </w:pPr>
            <w:r w:rsidRPr="00E903B5">
              <w:rPr>
                <w:b w:val="0"/>
                <w:sz w:val="14"/>
                <w:szCs w:val="14"/>
              </w:rPr>
              <w:t>1 097</w:t>
            </w:r>
          </w:p>
        </w:tc>
        <w:tc>
          <w:tcPr>
            <w:tcW w:w="650" w:type="dxa"/>
            <w:vAlign w:val="center"/>
          </w:tcPr>
          <w:p w:rsidR="00210DB3" w:rsidRPr="00E342D4" w:rsidRDefault="00210DB3" w:rsidP="00DB3994">
            <w:pPr>
              <w:pStyle w:val="Intro"/>
              <w:jc w:val="right"/>
              <w:rPr>
                <w:b w:val="0"/>
                <w:sz w:val="14"/>
                <w:szCs w:val="14"/>
                <w:lang w:val="nl-BE"/>
              </w:rPr>
            </w:pPr>
            <w:r w:rsidRPr="00E903B5">
              <w:rPr>
                <w:b w:val="0"/>
                <w:sz w:val="14"/>
                <w:szCs w:val="14"/>
              </w:rPr>
              <w:t>1 121</w:t>
            </w:r>
          </w:p>
        </w:tc>
        <w:tc>
          <w:tcPr>
            <w:tcW w:w="650" w:type="dxa"/>
            <w:shd w:val="clear" w:color="auto" w:fill="auto"/>
            <w:vAlign w:val="center"/>
          </w:tcPr>
          <w:p w:rsidR="00210DB3" w:rsidRPr="00E342D4" w:rsidRDefault="00210DB3" w:rsidP="00DB3994">
            <w:pPr>
              <w:pStyle w:val="Intro"/>
              <w:jc w:val="right"/>
              <w:rPr>
                <w:b w:val="0"/>
                <w:sz w:val="14"/>
                <w:szCs w:val="14"/>
                <w:lang w:val="nl-BE"/>
              </w:rPr>
            </w:pPr>
            <w:r w:rsidRPr="00E903B5">
              <w:rPr>
                <w:b w:val="0"/>
                <w:sz w:val="14"/>
                <w:szCs w:val="14"/>
              </w:rPr>
              <w:t>1 068</w:t>
            </w:r>
          </w:p>
        </w:tc>
        <w:tc>
          <w:tcPr>
            <w:tcW w:w="638" w:type="dxa"/>
            <w:shd w:val="clear" w:color="auto" w:fill="auto"/>
            <w:vAlign w:val="center"/>
          </w:tcPr>
          <w:p w:rsidR="00210DB3" w:rsidRPr="00E342D4" w:rsidRDefault="00210DB3" w:rsidP="00DB3994">
            <w:pPr>
              <w:pStyle w:val="Intro"/>
              <w:jc w:val="right"/>
              <w:rPr>
                <w:b w:val="0"/>
                <w:sz w:val="14"/>
                <w:szCs w:val="14"/>
                <w:lang w:val="nl-BE"/>
              </w:rPr>
            </w:pPr>
            <w:r w:rsidRPr="00E903B5">
              <w:rPr>
                <w:b w:val="0"/>
                <w:sz w:val="14"/>
                <w:szCs w:val="14"/>
              </w:rPr>
              <w:t>1 016</w:t>
            </w:r>
          </w:p>
        </w:tc>
        <w:tc>
          <w:tcPr>
            <w:tcW w:w="668" w:type="dxa"/>
            <w:shd w:val="clear" w:color="auto" w:fill="auto"/>
            <w:vAlign w:val="center"/>
          </w:tcPr>
          <w:p w:rsidR="00210DB3" w:rsidRPr="00E342D4" w:rsidRDefault="00210DB3" w:rsidP="00DB3994">
            <w:pPr>
              <w:pStyle w:val="Intro"/>
              <w:jc w:val="right"/>
              <w:rPr>
                <w:b w:val="0"/>
                <w:sz w:val="14"/>
                <w:szCs w:val="14"/>
                <w:lang w:val="nl-BE"/>
              </w:rPr>
            </w:pPr>
            <w:r w:rsidRPr="00E903B5">
              <w:rPr>
                <w:b w:val="0"/>
                <w:sz w:val="14"/>
                <w:szCs w:val="14"/>
              </w:rPr>
              <w:t>1 028</w:t>
            </w:r>
          </w:p>
        </w:tc>
        <w:tc>
          <w:tcPr>
            <w:tcW w:w="643" w:type="dxa"/>
            <w:tcBorders>
              <w:right w:val="single" w:sz="8" w:space="0" w:color="1F497D" w:themeColor="text2"/>
            </w:tcBorders>
            <w:shd w:val="clear" w:color="auto" w:fill="DBE5F1" w:themeFill="accent1" w:themeFillTint="33"/>
            <w:vAlign w:val="center"/>
          </w:tcPr>
          <w:p w:rsidR="00210DB3" w:rsidRPr="00E342D4" w:rsidRDefault="00210DB3" w:rsidP="00DB3994">
            <w:pPr>
              <w:pStyle w:val="Intro"/>
              <w:jc w:val="right"/>
              <w:rPr>
                <w:b w:val="0"/>
                <w:sz w:val="14"/>
                <w:szCs w:val="14"/>
                <w:lang w:val="nl-BE"/>
              </w:rPr>
            </w:pPr>
            <w:r w:rsidRPr="00E903B5">
              <w:rPr>
                <w:b w:val="0"/>
                <w:sz w:val="14"/>
                <w:szCs w:val="14"/>
              </w:rPr>
              <w:t>1 020</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4 669</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4 132</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2"/>
                <w:szCs w:val="12"/>
                <w:lang w:val="en-GB"/>
              </w:rPr>
            </w:pPr>
            <w:r w:rsidRPr="00E903B5">
              <w:rPr>
                <w:b w:val="0"/>
                <w:sz w:val="12"/>
                <w:szCs w:val="12"/>
              </w:rPr>
              <w:t xml:space="preserve">     Rente-inkomsten</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2"/>
                <w:szCs w:val="12"/>
                <w:lang w:val="en-GB"/>
              </w:rPr>
            </w:pPr>
            <w:r w:rsidRPr="00E903B5">
              <w:rPr>
                <w:b w:val="0"/>
                <w:sz w:val="12"/>
                <w:szCs w:val="12"/>
              </w:rPr>
              <w:t>2 695</w:t>
            </w:r>
          </w:p>
        </w:tc>
        <w:tc>
          <w:tcPr>
            <w:tcW w:w="710" w:type="dxa"/>
            <w:vAlign w:val="center"/>
          </w:tcPr>
          <w:p w:rsidR="00210DB3" w:rsidRPr="00E903B5" w:rsidRDefault="00210DB3" w:rsidP="00DB3994">
            <w:pPr>
              <w:pStyle w:val="Intro"/>
              <w:jc w:val="right"/>
              <w:rPr>
                <w:b w:val="0"/>
                <w:sz w:val="12"/>
                <w:szCs w:val="12"/>
                <w:lang w:val="en-GB"/>
              </w:rPr>
            </w:pPr>
            <w:r w:rsidRPr="00E903B5">
              <w:rPr>
                <w:b w:val="0"/>
                <w:sz w:val="12"/>
                <w:szCs w:val="12"/>
              </w:rPr>
              <w:t>2 563</w:t>
            </w:r>
          </w:p>
        </w:tc>
        <w:tc>
          <w:tcPr>
            <w:tcW w:w="603" w:type="dxa"/>
            <w:vAlign w:val="center"/>
          </w:tcPr>
          <w:p w:rsidR="00210DB3" w:rsidRPr="00E903B5" w:rsidRDefault="00210DB3" w:rsidP="00DB3994">
            <w:pPr>
              <w:pStyle w:val="Intro"/>
              <w:jc w:val="right"/>
              <w:rPr>
                <w:b w:val="0"/>
                <w:sz w:val="12"/>
                <w:szCs w:val="12"/>
                <w:lang w:val="en-GB"/>
              </w:rPr>
            </w:pPr>
            <w:r w:rsidRPr="00E903B5">
              <w:rPr>
                <w:b w:val="0"/>
                <w:sz w:val="12"/>
                <w:szCs w:val="12"/>
              </w:rPr>
              <w:t>2 493</w:t>
            </w:r>
          </w:p>
        </w:tc>
        <w:tc>
          <w:tcPr>
            <w:tcW w:w="650" w:type="dxa"/>
            <w:vAlign w:val="center"/>
          </w:tcPr>
          <w:p w:rsidR="00210DB3" w:rsidRPr="00E903B5" w:rsidRDefault="00210DB3" w:rsidP="00DB3994">
            <w:pPr>
              <w:pStyle w:val="Intro"/>
              <w:jc w:val="right"/>
              <w:rPr>
                <w:b w:val="0"/>
                <w:sz w:val="12"/>
                <w:szCs w:val="12"/>
                <w:lang w:val="en-GB"/>
              </w:rPr>
            </w:pPr>
            <w:r w:rsidRPr="00E903B5">
              <w:rPr>
                <w:b w:val="0"/>
                <w:sz w:val="12"/>
                <w:szCs w:val="12"/>
              </w:rPr>
              <w:t>2 382</w:t>
            </w:r>
          </w:p>
        </w:tc>
        <w:tc>
          <w:tcPr>
            <w:tcW w:w="650" w:type="dxa"/>
            <w:shd w:val="clear" w:color="auto" w:fill="auto"/>
            <w:vAlign w:val="center"/>
          </w:tcPr>
          <w:p w:rsidR="00210DB3" w:rsidRPr="00E903B5" w:rsidRDefault="00210DB3" w:rsidP="00DB3994">
            <w:pPr>
              <w:pStyle w:val="Intro"/>
              <w:keepNext/>
              <w:ind w:right="-290"/>
              <w:jc w:val="right"/>
              <w:outlineLvl w:val="3"/>
              <w:rPr>
                <w:b w:val="0"/>
                <w:sz w:val="12"/>
                <w:szCs w:val="12"/>
                <w:lang w:val="en-GB"/>
              </w:rPr>
            </w:pPr>
            <w:r w:rsidRPr="00E903B5">
              <w:rPr>
                <w:b w:val="0"/>
                <w:sz w:val="12"/>
                <w:szCs w:val="12"/>
              </w:rPr>
              <w:t>2 193    00</w:t>
            </w:r>
          </w:p>
        </w:tc>
        <w:tc>
          <w:tcPr>
            <w:tcW w:w="63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2 109</w:t>
            </w:r>
          </w:p>
        </w:tc>
        <w:tc>
          <w:tcPr>
            <w:tcW w:w="66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2 066</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2 095</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10 134</w:t>
            </w:r>
          </w:p>
        </w:tc>
        <w:tc>
          <w:tcPr>
            <w:tcW w:w="836" w:type="dxa"/>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8 464</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2"/>
                <w:szCs w:val="12"/>
                <w:lang w:val="en-GB"/>
              </w:rPr>
            </w:pPr>
            <w:r w:rsidRPr="00E903B5">
              <w:rPr>
                <w:b w:val="0"/>
                <w:sz w:val="12"/>
                <w:szCs w:val="12"/>
              </w:rPr>
              <w:t xml:space="preserve">     Rentelasten</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2"/>
                <w:szCs w:val="12"/>
                <w:lang w:val="en-GB"/>
              </w:rPr>
            </w:pPr>
            <w:r w:rsidRPr="00E903B5">
              <w:rPr>
                <w:b w:val="0"/>
                <w:sz w:val="12"/>
                <w:szCs w:val="12"/>
              </w:rPr>
              <w:t>-1 434</w:t>
            </w:r>
          </w:p>
        </w:tc>
        <w:tc>
          <w:tcPr>
            <w:tcW w:w="710" w:type="dxa"/>
            <w:vAlign w:val="center"/>
          </w:tcPr>
          <w:p w:rsidR="00210DB3" w:rsidRPr="00E903B5" w:rsidRDefault="00210DB3" w:rsidP="00DB3994">
            <w:pPr>
              <w:pStyle w:val="Intro"/>
              <w:jc w:val="right"/>
              <w:rPr>
                <w:b w:val="0"/>
                <w:sz w:val="12"/>
                <w:szCs w:val="12"/>
                <w:lang w:val="en-GB"/>
              </w:rPr>
            </w:pPr>
            <w:r w:rsidRPr="00E903B5">
              <w:rPr>
                <w:b w:val="0"/>
                <w:sz w:val="12"/>
                <w:szCs w:val="12"/>
              </w:rPr>
              <w:t>-1 374</w:t>
            </w:r>
          </w:p>
        </w:tc>
        <w:tc>
          <w:tcPr>
            <w:tcW w:w="603" w:type="dxa"/>
            <w:vAlign w:val="center"/>
          </w:tcPr>
          <w:p w:rsidR="00210DB3" w:rsidRPr="00E903B5" w:rsidRDefault="00210DB3" w:rsidP="00DB3994">
            <w:pPr>
              <w:pStyle w:val="Intro"/>
              <w:jc w:val="right"/>
              <w:rPr>
                <w:b w:val="0"/>
                <w:sz w:val="12"/>
                <w:szCs w:val="12"/>
                <w:lang w:val="en-GB"/>
              </w:rPr>
            </w:pPr>
            <w:r w:rsidRPr="00E903B5">
              <w:rPr>
                <w:b w:val="0"/>
                <w:sz w:val="12"/>
                <w:szCs w:val="12"/>
              </w:rPr>
              <w:t>-1 396</w:t>
            </w:r>
          </w:p>
        </w:tc>
        <w:tc>
          <w:tcPr>
            <w:tcW w:w="650" w:type="dxa"/>
            <w:vAlign w:val="center"/>
          </w:tcPr>
          <w:p w:rsidR="00210DB3" w:rsidRPr="00E903B5" w:rsidRDefault="00210DB3" w:rsidP="00DB3994">
            <w:pPr>
              <w:pStyle w:val="Intro"/>
              <w:jc w:val="right"/>
              <w:rPr>
                <w:b w:val="0"/>
                <w:sz w:val="12"/>
                <w:szCs w:val="12"/>
                <w:lang w:val="en-GB"/>
              </w:rPr>
            </w:pPr>
            <w:r w:rsidRPr="00E903B5">
              <w:rPr>
                <w:b w:val="0"/>
                <w:sz w:val="12"/>
                <w:szCs w:val="12"/>
              </w:rPr>
              <w:t>-1 261</w:t>
            </w:r>
          </w:p>
        </w:tc>
        <w:tc>
          <w:tcPr>
            <w:tcW w:w="650" w:type="dxa"/>
            <w:shd w:val="clear" w:color="auto" w:fill="auto"/>
            <w:vAlign w:val="center"/>
          </w:tcPr>
          <w:p w:rsidR="00210DB3" w:rsidRPr="00E903B5" w:rsidRDefault="00210DB3" w:rsidP="00DB3994">
            <w:pPr>
              <w:pStyle w:val="Intro"/>
              <w:keepNext/>
              <w:ind w:right="-290"/>
              <w:jc w:val="right"/>
              <w:outlineLvl w:val="3"/>
              <w:rPr>
                <w:b w:val="0"/>
                <w:sz w:val="12"/>
                <w:szCs w:val="12"/>
                <w:lang w:val="en-GB"/>
              </w:rPr>
            </w:pPr>
            <w:r w:rsidRPr="00E903B5">
              <w:rPr>
                <w:b w:val="0"/>
                <w:sz w:val="12"/>
                <w:szCs w:val="12"/>
              </w:rPr>
              <w:t>-1 125    00</w:t>
            </w:r>
          </w:p>
        </w:tc>
        <w:tc>
          <w:tcPr>
            <w:tcW w:w="63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-1 093</w:t>
            </w:r>
          </w:p>
        </w:tc>
        <w:tc>
          <w:tcPr>
            <w:tcW w:w="66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-1 039</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-1 075</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-5 465</w:t>
            </w:r>
          </w:p>
        </w:tc>
        <w:tc>
          <w:tcPr>
            <w:tcW w:w="836" w:type="dxa"/>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-4 332</w:t>
            </w:r>
          </w:p>
        </w:tc>
      </w:tr>
      <w:tr w:rsidR="00210DB3" w:rsidRPr="00E903B5" w:rsidTr="00BE652F">
        <w:trPr>
          <w:trHeight w:val="222"/>
        </w:trPr>
        <w:tc>
          <w:tcPr>
            <w:tcW w:w="3621" w:type="dxa"/>
            <w:tcBorders>
              <w:right w:val="single" w:sz="8" w:space="0" w:color="1F497D" w:themeColor="text2"/>
            </w:tcBorders>
            <w:vAlign w:val="center"/>
          </w:tcPr>
          <w:p w:rsidR="00210DB3" w:rsidRPr="00634375" w:rsidRDefault="00210DB3" w:rsidP="00DB3994">
            <w:pPr>
              <w:rPr>
                <w:rFonts w:ascii="Arial" w:hAnsi="Arial" w:cs="Arial"/>
                <w:sz w:val="14"/>
                <w:szCs w:val="14"/>
                <w:lang w:val="nl-BE"/>
              </w:rPr>
            </w:pPr>
            <w:r w:rsidRPr="00634375">
              <w:rPr>
                <w:rFonts w:ascii="Arial" w:hAnsi="Arial" w:cs="Arial"/>
                <w:sz w:val="14"/>
                <w:szCs w:val="14"/>
                <w:lang w:val="nl-BE"/>
              </w:rPr>
              <w:t>Verzekeringen Niet-leven (vóór herverzekering)</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204</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200</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157</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61</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149</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115</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145</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127</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622</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536</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ind w:firstLineChars="400" w:firstLine="560"/>
              <w:rPr>
                <w:rFonts w:ascii="Arial" w:hAnsi="Arial" w:cs="Arial"/>
                <w:i/>
                <w:iCs/>
                <w:color w:val="404040" w:themeColor="text1" w:themeTint="BF"/>
                <w:sz w:val="14"/>
                <w:szCs w:val="14"/>
              </w:rPr>
            </w:pPr>
            <w:proofErr w:type="spellStart"/>
            <w:r w:rsidRPr="00E903B5">
              <w:rPr>
                <w:rFonts w:ascii="Arial" w:hAnsi="Arial" w:cs="Arial"/>
                <w:i/>
                <w:iCs/>
                <w:sz w:val="14"/>
                <w:szCs w:val="14"/>
              </w:rPr>
              <w:t>Verdiende</w:t>
            </w:r>
            <w:proofErr w:type="spellEnd"/>
            <w:r w:rsidRPr="00E903B5">
              <w:rPr>
                <w:rFonts w:ascii="Arial" w:hAnsi="Arial" w:cs="Arial"/>
                <w:i/>
                <w:iCs/>
                <w:sz w:val="14"/>
                <w:szCs w:val="14"/>
              </w:rPr>
              <w:t xml:space="preserve"> </w:t>
            </w:r>
            <w:proofErr w:type="spellStart"/>
            <w:r w:rsidRPr="00E903B5">
              <w:rPr>
                <w:rFonts w:ascii="Arial" w:hAnsi="Arial" w:cs="Arial"/>
                <w:i/>
                <w:iCs/>
                <w:sz w:val="14"/>
                <w:szCs w:val="14"/>
              </w:rPr>
              <w:t>premies</w:t>
            </w:r>
            <w:proofErr w:type="spellEnd"/>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438</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442</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307</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313</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305</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316</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321</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317</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1 500</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1 259</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ind w:firstLineChars="400" w:firstLine="560"/>
              <w:rPr>
                <w:rFonts w:ascii="Arial" w:hAnsi="Arial" w:cs="Arial"/>
                <w:i/>
                <w:iCs/>
                <w:color w:val="404040" w:themeColor="text1" w:themeTint="BF"/>
                <w:sz w:val="14"/>
                <w:szCs w:val="14"/>
              </w:rPr>
            </w:pPr>
            <w:proofErr w:type="spellStart"/>
            <w:r w:rsidRPr="00E903B5">
              <w:rPr>
                <w:rFonts w:ascii="Arial" w:hAnsi="Arial" w:cs="Arial"/>
                <w:i/>
                <w:iCs/>
                <w:sz w:val="14"/>
                <w:szCs w:val="14"/>
              </w:rPr>
              <w:t>Technische</w:t>
            </w:r>
            <w:proofErr w:type="spellEnd"/>
            <w:r w:rsidRPr="00E903B5">
              <w:rPr>
                <w:rFonts w:ascii="Arial" w:hAnsi="Arial" w:cs="Arial"/>
                <w:i/>
                <w:iCs/>
                <w:sz w:val="14"/>
                <w:szCs w:val="14"/>
              </w:rPr>
              <w:t xml:space="preserve"> </w:t>
            </w:r>
            <w:proofErr w:type="spellStart"/>
            <w:r w:rsidRPr="00E903B5">
              <w:rPr>
                <w:rFonts w:ascii="Arial" w:hAnsi="Arial" w:cs="Arial"/>
                <w:i/>
                <w:iCs/>
                <w:sz w:val="14"/>
                <w:szCs w:val="14"/>
              </w:rPr>
              <w:t>lasten</w:t>
            </w:r>
            <w:proofErr w:type="spellEnd"/>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-234</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-243</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-150</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-252</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-156</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-201</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-176</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-190</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-878</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-723</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rPr>
                <w:rFonts w:ascii="Arial" w:hAnsi="Arial" w:cs="Arial"/>
                <w:sz w:val="14"/>
                <w:szCs w:val="14"/>
              </w:rPr>
            </w:pPr>
            <w:proofErr w:type="spellStart"/>
            <w:r w:rsidRPr="00E903B5">
              <w:rPr>
                <w:rFonts w:ascii="Arial" w:hAnsi="Arial" w:cs="Arial"/>
                <w:sz w:val="14"/>
                <w:szCs w:val="14"/>
              </w:rPr>
              <w:t>Levensverzekeringen</w:t>
            </w:r>
            <w:proofErr w:type="spellEnd"/>
            <w:r w:rsidRPr="00E903B5">
              <w:rPr>
                <w:rFonts w:ascii="Arial" w:hAnsi="Arial" w:cs="Arial"/>
                <w:sz w:val="14"/>
                <w:szCs w:val="14"/>
              </w:rPr>
              <w:t xml:space="preserve"> (</w:t>
            </w:r>
            <w:proofErr w:type="spellStart"/>
            <w:r w:rsidRPr="00E903B5">
              <w:rPr>
                <w:rFonts w:ascii="Arial" w:hAnsi="Arial" w:cs="Arial"/>
                <w:sz w:val="14"/>
                <w:szCs w:val="14"/>
              </w:rPr>
              <w:t>vóór</w:t>
            </w:r>
            <w:proofErr w:type="spellEnd"/>
            <w:r w:rsidRPr="00E903B5">
              <w:rPr>
                <w:rFonts w:ascii="Arial" w:hAnsi="Arial" w:cs="Arial"/>
                <w:sz w:val="14"/>
                <w:szCs w:val="14"/>
              </w:rPr>
              <w:t xml:space="preserve"> </w:t>
            </w:r>
            <w:proofErr w:type="spellStart"/>
            <w:r w:rsidRPr="00E903B5">
              <w:rPr>
                <w:rFonts w:ascii="Arial" w:hAnsi="Arial" w:cs="Arial"/>
                <w:sz w:val="14"/>
                <w:szCs w:val="14"/>
              </w:rPr>
              <w:t>herverzekering</w:t>
            </w:r>
            <w:proofErr w:type="spellEnd"/>
            <w:r w:rsidRPr="00E903B5">
              <w:rPr>
                <w:rFonts w:ascii="Arial" w:hAnsi="Arial" w:cs="Arial"/>
                <w:sz w:val="14"/>
                <w:szCs w:val="14"/>
              </w:rPr>
              <w:t>)</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-72</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-67</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-79</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-22</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-59</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-62</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-63</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-57</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-240</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-242</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ind w:firstLineChars="400" w:firstLine="560"/>
              <w:rPr>
                <w:rFonts w:ascii="Arial" w:hAnsi="Arial" w:cs="Arial"/>
                <w:i/>
                <w:iCs/>
                <w:sz w:val="14"/>
                <w:szCs w:val="14"/>
              </w:rPr>
            </w:pPr>
            <w:proofErr w:type="spellStart"/>
            <w:r w:rsidRPr="00E903B5">
              <w:rPr>
                <w:rFonts w:ascii="Arial" w:hAnsi="Arial" w:cs="Arial"/>
                <w:i/>
                <w:iCs/>
                <w:sz w:val="14"/>
                <w:szCs w:val="14"/>
              </w:rPr>
              <w:t>Verdiende</w:t>
            </w:r>
            <w:proofErr w:type="spellEnd"/>
            <w:r w:rsidRPr="00E903B5">
              <w:rPr>
                <w:rFonts w:ascii="Arial" w:hAnsi="Arial" w:cs="Arial"/>
                <w:i/>
                <w:iCs/>
                <w:sz w:val="14"/>
                <w:szCs w:val="14"/>
              </w:rPr>
              <w:t xml:space="preserve"> </w:t>
            </w:r>
            <w:proofErr w:type="spellStart"/>
            <w:r w:rsidRPr="00E903B5">
              <w:rPr>
                <w:rFonts w:ascii="Arial" w:hAnsi="Arial" w:cs="Arial"/>
                <w:i/>
                <w:iCs/>
                <w:sz w:val="14"/>
                <w:szCs w:val="14"/>
              </w:rPr>
              <w:t>premies</w:t>
            </w:r>
            <w:proofErr w:type="spellEnd"/>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446</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448</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271</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310</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271</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241</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238</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381</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1 475</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1 132</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ind w:firstLineChars="400" w:firstLine="560"/>
              <w:rPr>
                <w:rFonts w:ascii="Arial" w:hAnsi="Arial" w:cs="Arial"/>
                <w:i/>
                <w:iCs/>
                <w:sz w:val="14"/>
                <w:szCs w:val="14"/>
              </w:rPr>
            </w:pPr>
            <w:proofErr w:type="spellStart"/>
            <w:r w:rsidRPr="00E903B5">
              <w:rPr>
                <w:rFonts w:ascii="Arial" w:hAnsi="Arial" w:cs="Arial"/>
                <w:i/>
                <w:iCs/>
                <w:sz w:val="14"/>
                <w:szCs w:val="14"/>
              </w:rPr>
              <w:t>Technische</w:t>
            </w:r>
            <w:proofErr w:type="spellEnd"/>
            <w:r w:rsidRPr="00E903B5">
              <w:rPr>
                <w:rFonts w:ascii="Arial" w:hAnsi="Arial" w:cs="Arial"/>
                <w:i/>
                <w:iCs/>
                <w:sz w:val="14"/>
                <w:szCs w:val="14"/>
              </w:rPr>
              <w:t xml:space="preserve"> </w:t>
            </w:r>
            <w:proofErr w:type="spellStart"/>
            <w:r w:rsidRPr="00E903B5">
              <w:rPr>
                <w:rFonts w:ascii="Arial" w:hAnsi="Arial" w:cs="Arial"/>
                <w:i/>
                <w:iCs/>
                <w:sz w:val="14"/>
                <w:szCs w:val="14"/>
              </w:rPr>
              <w:t>lasten</w:t>
            </w:r>
            <w:proofErr w:type="spellEnd"/>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-518</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-514</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-350</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-332</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-331</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-303</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-302</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-438</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-1 714</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-1 373</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4"/>
                <w:szCs w:val="14"/>
                <w:lang w:val="en-GB"/>
              </w:rPr>
            </w:pPr>
            <w:r w:rsidRPr="00E903B5">
              <w:rPr>
                <w:b w:val="0"/>
                <w:sz w:val="14"/>
                <w:szCs w:val="14"/>
              </w:rPr>
              <w:t>Nettoresultaat uit afgestane herverzekering</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-14</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-1</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-12</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13</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-12</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13</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-6</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-13</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-5</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4"/>
                <w:szCs w:val="14"/>
                <w:lang w:val="en-GB"/>
              </w:rPr>
            </w:pPr>
            <w:r w:rsidRPr="00E903B5">
              <w:rPr>
                <w:b w:val="0"/>
                <w:sz w:val="14"/>
                <w:szCs w:val="14"/>
              </w:rPr>
              <w:t>Dividendinkomsten</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6</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21</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13</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5</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5</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20</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14</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8</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45</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47</w:t>
            </w:r>
          </w:p>
        </w:tc>
      </w:tr>
      <w:tr w:rsidR="00210DB3" w:rsidRPr="00E903B5" w:rsidTr="00BE652F">
        <w:trPr>
          <w:trHeight w:val="282"/>
        </w:trPr>
        <w:tc>
          <w:tcPr>
            <w:tcW w:w="3621" w:type="dxa"/>
            <w:tcBorders>
              <w:right w:val="single" w:sz="8" w:space="0" w:color="1F497D" w:themeColor="text2"/>
            </w:tcBorders>
            <w:vAlign w:val="center"/>
          </w:tcPr>
          <w:p w:rsidR="00210DB3" w:rsidRPr="00634375" w:rsidRDefault="00210DB3" w:rsidP="00DB3994">
            <w:pPr>
              <w:pStyle w:val="Intro"/>
              <w:jc w:val="left"/>
              <w:rPr>
                <w:b w:val="0"/>
                <w:sz w:val="14"/>
                <w:szCs w:val="14"/>
                <w:lang w:val="nl-BE"/>
              </w:rPr>
            </w:pPr>
            <w:r w:rsidRPr="00E903B5">
              <w:rPr>
                <w:b w:val="0"/>
                <w:sz w:val="14"/>
                <w:szCs w:val="14"/>
              </w:rPr>
              <w:t>Nettoresultaat uit financiële instrumenten tegen reële waarde met verwerking van waardeveranderingen in de winst-en-verliesrekening</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60</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43</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275</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42</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314</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425</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223</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229</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420</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1 191</w:t>
            </w:r>
          </w:p>
        </w:tc>
      </w:tr>
      <w:tr w:rsidR="00210DB3" w:rsidRPr="00E903B5" w:rsidTr="00BE652F">
        <w:trPr>
          <w:trHeight w:val="282"/>
        </w:trPr>
        <w:tc>
          <w:tcPr>
            <w:tcW w:w="3621" w:type="dxa"/>
            <w:tcBorders>
              <w:right w:val="single" w:sz="8" w:space="0" w:color="1F497D" w:themeColor="text2"/>
            </w:tcBorders>
            <w:vAlign w:val="center"/>
          </w:tcPr>
          <w:p w:rsidR="00210DB3" w:rsidRPr="00634375" w:rsidRDefault="00210DB3" w:rsidP="00DB3994">
            <w:pPr>
              <w:pStyle w:val="Intro"/>
              <w:jc w:val="left"/>
              <w:rPr>
                <w:b w:val="0"/>
                <w:sz w:val="14"/>
                <w:szCs w:val="14"/>
                <w:lang w:val="nl-BE"/>
              </w:rPr>
            </w:pPr>
            <w:r w:rsidRPr="00E903B5">
              <w:rPr>
                <w:b w:val="0"/>
                <w:sz w:val="14"/>
                <w:szCs w:val="14"/>
              </w:rPr>
              <w:t>Netto gerealiseerd resultaat uit voor verkoop beschikbare financiële activa</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32</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9</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56</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85</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142</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47</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34</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29</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181</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252</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4"/>
                <w:szCs w:val="14"/>
                <w:lang w:val="en-GB"/>
              </w:rPr>
            </w:pPr>
            <w:proofErr w:type="spellStart"/>
            <w:r w:rsidRPr="00E903B5">
              <w:rPr>
                <w:b w:val="0"/>
                <w:sz w:val="14"/>
                <w:szCs w:val="14"/>
              </w:rPr>
              <w:t>Nettoprovisie</w:t>
            </w:r>
            <w:proofErr w:type="spellEnd"/>
            <w:r w:rsidRPr="00E903B5">
              <w:rPr>
                <w:b w:val="0"/>
                <w:sz w:val="14"/>
                <w:szCs w:val="14"/>
              </w:rPr>
              <w:t>-inkomsten</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304</w:t>
            </w:r>
          </w:p>
        </w:tc>
        <w:tc>
          <w:tcPr>
            <w:tcW w:w="710" w:type="dxa"/>
            <w:vAlign w:val="center"/>
          </w:tcPr>
          <w:p w:rsidR="00210DB3" w:rsidRPr="00E903B5" w:rsidRDefault="00210DB3" w:rsidP="00DB3994">
            <w:pPr>
              <w:pStyle w:val="Intro"/>
              <w:jc w:val="right"/>
              <w:rPr>
                <w:b w:val="0"/>
                <w:sz w:val="14"/>
                <w:szCs w:val="14"/>
                <w:lang w:val="en-GB"/>
              </w:rPr>
            </w:pPr>
            <w:r w:rsidRPr="00E903B5">
              <w:rPr>
                <w:b w:val="0"/>
                <w:sz w:val="14"/>
                <w:szCs w:val="14"/>
              </w:rPr>
              <w:t>309</w:t>
            </w:r>
          </w:p>
        </w:tc>
        <w:tc>
          <w:tcPr>
            <w:tcW w:w="603" w:type="dxa"/>
            <w:vAlign w:val="center"/>
          </w:tcPr>
          <w:p w:rsidR="00210DB3" w:rsidRPr="00E903B5" w:rsidRDefault="00210DB3" w:rsidP="00DB3994">
            <w:pPr>
              <w:pStyle w:val="Intro"/>
              <w:jc w:val="right"/>
              <w:rPr>
                <w:b w:val="0"/>
                <w:sz w:val="14"/>
                <w:szCs w:val="14"/>
                <w:lang w:val="en-GB"/>
              </w:rPr>
            </w:pPr>
            <w:r w:rsidRPr="00E903B5">
              <w:rPr>
                <w:b w:val="0"/>
                <w:sz w:val="14"/>
                <w:szCs w:val="14"/>
              </w:rPr>
              <w:t>343</w:t>
            </w:r>
          </w:p>
        </w:tc>
        <w:tc>
          <w:tcPr>
            <w:tcW w:w="650" w:type="dxa"/>
            <w:vAlign w:val="center"/>
          </w:tcPr>
          <w:p w:rsidR="00210DB3" w:rsidRPr="00E903B5" w:rsidRDefault="00210DB3" w:rsidP="00DB3994">
            <w:pPr>
              <w:pStyle w:val="Intro"/>
              <w:jc w:val="right"/>
              <w:rPr>
                <w:b w:val="0"/>
                <w:sz w:val="14"/>
                <w:szCs w:val="14"/>
                <w:lang w:val="en-GB"/>
              </w:rPr>
            </w:pPr>
            <w:r w:rsidRPr="00E903B5">
              <w:rPr>
                <w:b w:val="0"/>
                <w:sz w:val="14"/>
                <w:szCs w:val="14"/>
              </w:rPr>
              <w:t>360</w:t>
            </w:r>
          </w:p>
        </w:tc>
        <w:tc>
          <w:tcPr>
            <w:tcW w:w="650"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393</w:t>
            </w:r>
          </w:p>
        </w:tc>
        <w:tc>
          <w:tcPr>
            <w:tcW w:w="63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385</w:t>
            </w:r>
          </w:p>
        </w:tc>
        <w:tc>
          <w:tcPr>
            <w:tcW w:w="668" w:type="dxa"/>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340</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366</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1 315</w:t>
            </w:r>
          </w:p>
        </w:tc>
        <w:tc>
          <w:tcPr>
            <w:tcW w:w="836" w:type="dxa"/>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1 484</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2"/>
                <w:szCs w:val="12"/>
                <w:lang w:val="en-GB"/>
              </w:rPr>
            </w:pPr>
            <w:r w:rsidRPr="00E903B5">
              <w:rPr>
                <w:b w:val="0"/>
                <w:sz w:val="12"/>
                <w:szCs w:val="12"/>
              </w:rPr>
              <w:t xml:space="preserve">     Ontvangen provisies</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2"/>
                <w:szCs w:val="12"/>
                <w:lang w:val="en-GB"/>
              </w:rPr>
            </w:pPr>
            <w:r w:rsidRPr="00E903B5">
              <w:rPr>
                <w:b w:val="0"/>
                <w:sz w:val="12"/>
                <w:szCs w:val="12"/>
              </w:rPr>
              <w:t>492</w:t>
            </w:r>
          </w:p>
        </w:tc>
        <w:tc>
          <w:tcPr>
            <w:tcW w:w="710" w:type="dxa"/>
            <w:vAlign w:val="center"/>
          </w:tcPr>
          <w:p w:rsidR="00210DB3" w:rsidRPr="00E903B5" w:rsidRDefault="00210DB3" w:rsidP="00DB3994">
            <w:pPr>
              <w:pStyle w:val="Intro"/>
              <w:jc w:val="right"/>
              <w:rPr>
                <w:b w:val="0"/>
                <w:sz w:val="12"/>
                <w:szCs w:val="12"/>
                <w:lang w:val="en-GB"/>
              </w:rPr>
            </w:pPr>
            <w:r w:rsidRPr="00E903B5">
              <w:rPr>
                <w:b w:val="0"/>
                <w:sz w:val="12"/>
                <w:szCs w:val="12"/>
              </w:rPr>
              <w:t>479</w:t>
            </w:r>
          </w:p>
        </w:tc>
        <w:tc>
          <w:tcPr>
            <w:tcW w:w="603" w:type="dxa"/>
            <w:vAlign w:val="center"/>
          </w:tcPr>
          <w:p w:rsidR="00210DB3" w:rsidRPr="00E903B5" w:rsidRDefault="00210DB3" w:rsidP="00DB3994">
            <w:pPr>
              <w:pStyle w:val="Intro"/>
              <w:jc w:val="right"/>
              <w:rPr>
                <w:b w:val="0"/>
                <w:sz w:val="12"/>
                <w:szCs w:val="12"/>
                <w:lang w:val="en-GB"/>
              </w:rPr>
            </w:pPr>
            <w:r w:rsidRPr="00E903B5">
              <w:rPr>
                <w:b w:val="0"/>
                <w:sz w:val="12"/>
                <w:szCs w:val="12"/>
              </w:rPr>
              <w:t>494</w:t>
            </w:r>
          </w:p>
        </w:tc>
        <w:tc>
          <w:tcPr>
            <w:tcW w:w="650" w:type="dxa"/>
            <w:vAlign w:val="center"/>
          </w:tcPr>
          <w:p w:rsidR="00210DB3" w:rsidRPr="00E903B5" w:rsidRDefault="00210DB3" w:rsidP="00DB3994">
            <w:pPr>
              <w:pStyle w:val="Intro"/>
              <w:jc w:val="right"/>
              <w:rPr>
                <w:b w:val="0"/>
                <w:sz w:val="12"/>
                <w:szCs w:val="12"/>
                <w:lang w:val="en-GB"/>
              </w:rPr>
            </w:pPr>
            <w:r w:rsidRPr="00E903B5">
              <w:rPr>
                <w:b w:val="0"/>
                <w:sz w:val="12"/>
                <w:szCs w:val="12"/>
              </w:rPr>
              <w:t>541</w:t>
            </w:r>
          </w:p>
        </w:tc>
        <w:tc>
          <w:tcPr>
            <w:tcW w:w="650" w:type="dxa"/>
            <w:shd w:val="clear" w:color="auto" w:fill="auto"/>
            <w:vAlign w:val="center"/>
          </w:tcPr>
          <w:p w:rsidR="00210DB3" w:rsidRPr="00E903B5" w:rsidRDefault="00210DB3" w:rsidP="00DB3994">
            <w:pPr>
              <w:pStyle w:val="Intro"/>
              <w:keepNext/>
              <w:ind w:right="-290"/>
              <w:jc w:val="right"/>
              <w:outlineLvl w:val="3"/>
              <w:rPr>
                <w:b w:val="0"/>
                <w:sz w:val="12"/>
                <w:szCs w:val="12"/>
                <w:lang w:val="en-GB"/>
              </w:rPr>
            </w:pPr>
            <w:r w:rsidRPr="00E903B5">
              <w:rPr>
                <w:b w:val="0"/>
                <w:sz w:val="12"/>
                <w:szCs w:val="12"/>
              </w:rPr>
              <w:t>641     00</w:t>
            </w:r>
          </w:p>
        </w:tc>
        <w:tc>
          <w:tcPr>
            <w:tcW w:w="63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565</w:t>
            </w:r>
          </w:p>
        </w:tc>
        <w:tc>
          <w:tcPr>
            <w:tcW w:w="66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512</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569</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2 005</w:t>
            </w:r>
          </w:p>
        </w:tc>
        <w:tc>
          <w:tcPr>
            <w:tcW w:w="836" w:type="dxa"/>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2 286</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jc w:val="left"/>
              <w:rPr>
                <w:b w:val="0"/>
                <w:sz w:val="12"/>
                <w:szCs w:val="12"/>
                <w:lang w:val="en-GB"/>
              </w:rPr>
            </w:pPr>
            <w:r w:rsidRPr="00E903B5">
              <w:rPr>
                <w:b w:val="0"/>
                <w:sz w:val="12"/>
                <w:szCs w:val="12"/>
              </w:rPr>
              <w:t xml:space="preserve">     Betaalde provisies</w:t>
            </w:r>
          </w:p>
        </w:tc>
        <w:tc>
          <w:tcPr>
            <w:tcW w:w="675" w:type="dxa"/>
            <w:tcBorders>
              <w:left w:val="single" w:sz="8" w:space="0" w:color="1F497D" w:themeColor="text2"/>
            </w:tcBorders>
            <w:vAlign w:val="center"/>
          </w:tcPr>
          <w:p w:rsidR="00210DB3" w:rsidRPr="00E903B5" w:rsidRDefault="00210DB3" w:rsidP="00DB3994">
            <w:pPr>
              <w:pStyle w:val="Intro"/>
              <w:jc w:val="right"/>
              <w:rPr>
                <w:b w:val="0"/>
                <w:sz w:val="12"/>
                <w:szCs w:val="12"/>
                <w:lang w:val="en-GB"/>
              </w:rPr>
            </w:pPr>
            <w:r w:rsidRPr="00E903B5">
              <w:rPr>
                <w:b w:val="0"/>
                <w:sz w:val="12"/>
                <w:szCs w:val="12"/>
              </w:rPr>
              <w:t>-188</w:t>
            </w:r>
          </w:p>
        </w:tc>
        <w:tc>
          <w:tcPr>
            <w:tcW w:w="710" w:type="dxa"/>
            <w:vAlign w:val="center"/>
          </w:tcPr>
          <w:p w:rsidR="00210DB3" w:rsidRPr="00E903B5" w:rsidRDefault="00210DB3" w:rsidP="00DB3994">
            <w:pPr>
              <w:pStyle w:val="Intro"/>
              <w:jc w:val="right"/>
              <w:rPr>
                <w:b w:val="0"/>
                <w:sz w:val="12"/>
                <w:szCs w:val="12"/>
                <w:lang w:val="en-GB"/>
              </w:rPr>
            </w:pPr>
            <w:r w:rsidRPr="00E903B5">
              <w:rPr>
                <w:b w:val="0"/>
                <w:sz w:val="12"/>
                <w:szCs w:val="12"/>
              </w:rPr>
              <w:t>-170</w:t>
            </w:r>
          </w:p>
        </w:tc>
        <w:tc>
          <w:tcPr>
            <w:tcW w:w="603" w:type="dxa"/>
            <w:vAlign w:val="center"/>
          </w:tcPr>
          <w:p w:rsidR="00210DB3" w:rsidRPr="00E903B5" w:rsidRDefault="00210DB3" w:rsidP="00DB3994">
            <w:pPr>
              <w:pStyle w:val="Intro"/>
              <w:jc w:val="right"/>
              <w:rPr>
                <w:b w:val="0"/>
                <w:sz w:val="12"/>
                <w:szCs w:val="12"/>
                <w:lang w:val="en-GB"/>
              </w:rPr>
            </w:pPr>
            <w:r w:rsidRPr="00E903B5">
              <w:rPr>
                <w:b w:val="0"/>
                <w:sz w:val="12"/>
                <w:szCs w:val="12"/>
              </w:rPr>
              <w:t>-151</w:t>
            </w:r>
          </w:p>
        </w:tc>
        <w:tc>
          <w:tcPr>
            <w:tcW w:w="650" w:type="dxa"/>
            <w:vAlign w:val="center"/>
          </w:tcPr>
          <w:p w:rsidR="00210DB3" w:rsidRPr="00E903B5" w:rsidRDefault="00210DB3" w:rsidP="00DB3994">
            <w:pPr>
              <w:pStyle w:val="Intro"/>
              <w:jc w:val="right"/>
              <w:rPr>
                <w:b w:val="0"/>
                <w:sz w:val="12"/>
                <w:szCs w:val="12"/>
                <w:lang w:val="en-GB"/>
              </w:rPr>
            </w:pPr>
            <w:r w:rsidRPr="00E903B5">
              <w:rPr>
                <w:b w:val="0"/>
                <w:sz w:val="12"/>
                <w:szCs w:val="12"/>
              </w:rPr>
              <w:t>-181</w:t>
            </w:r>
          </w:p>
        </w:tc>
        <w:tc>
          <w:tcPr>
            <w:tcW w:w="650" w:type="dxa"/>
            <w:shd w:val="clear" w:color="auto" w:fill="auto"/>
            <w:vAlign w:val="center"/>
          </w:tcPr>
          <w:p w:rsidR="00210DB3" w:rsidRPr="00E903B5" w:rsidRDefault="00210DB3" w:rsidP="00DB3994">
            <w:pPr>
              <w:pStyle w:val="Intro"/>
              <w:keepNext/>
              <w:ind w:right="-290"/>
              <w:jc w:val="right"/>
              <w:outlineLvl w:val="3"/>
              <w:rPr>
                <w:b w:val="0"/>
                <w:sz w:val="12"/>
                <w:szCs w:val="12"/>
                <w:lang w:val="en-GB"/>
              </w:rPr>
            </w:pPr>
            <w:r w:rsidRPr="00E903B5">
              <w:rPr>
                <w:b w:val="0"/>
                <w:sz w:val="12"/>
                <w:szCs w:val="12"/>
              </w:rPr>
              <w:t>-248     00</w:t>
            </w:r>
          </w:p>
        </w:tc>
        <w:tc>
          <w:tcPr>
            <w:tcW w:w="63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-180</w:t>
            </w:r>
          </w:p>
        </w:tc>
        <w:tc>
          <w:tcPr>
            <w:tcW w:w="668" w:type="dxa"/>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-171</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-203</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jc w:val="right"/>
              <w:rPr>
                <w:b w:val="0"/>
                <w:sz w:val="12"/>
                <w:szCs w:val="12"/>
                <w:lang w:val="en-GB"/>
              </w:rPr>
            </w:pPr>
            <w:r w:rsidRPr="00E903B5">
              <w:rPr>
                <w:b w:val="0"/>
                <w:sz w:val="12"/>
                <w:szCs w:val="12"/>
              </w:rPr>
              <w:t>-690</w:t>
            </w:r>
          </w:p>
        </w:tc>
        <w:tc>
          <w:tcPr>
            <w:tcW w:w="836" w:type="dxa"/>
            <w:shd w:val="clear" w:color="auto" w:fill="DBE5F1" w:themeFill="accent1" w:themeFillTint="33"/>
            <w:vAlign w:val="center"/>
          </w:tcPr>
          <w:p w:rsidR="00210DB3" w:rsidRPr="00E903B5" w:rsidRDefault="00210DB3" w:rsidP="00DB3994">
            <w:pPr>
              <w:pStyle w:val="Intro"/>
              <w:jc w:val="right"/>
              <w:rPr>
                <w:b w:val="0"/>
                <w:sz w:val="12"/>
                <w:szCs w:val="12"/>
                <w:lang w:val="en-GB"/>
              </w:rPr>
            </w:pPr>
            <w:r w:rsidRPr="00E903B5">
              <w:rPr>
                <w:b w:val="0"/>
                <w:sz w:val="12"/>
                <w:szCs w:val="12"/>
              </w:rPr>
              <w:t>-802</w:t>
            </w:r>
          </w:p>
        </w:tc>
      </w:tr>
      <w:tr w:rsidR="00210DB3" w:rsidRPr="00E903B5" w:rsidTr="00BE652F">
        <w:trPr>
          <w:trHeight w:val="282"/>
        </w:trPr>
        <w:tc>
          <w:tcPr>
            <w:tcW w:w="3621" w:type="dxa"/>
            <w:tcBorders>
              <w:bottom w:val="single" w:sz="8" w:space="0" w:color="1F497D" w:themeColor="text2"/>
              <w:right w:val="single" w:sz="8" w:space="0" w:color="1F497D" w:themeColor="text2"/>
            </w:tcBorders>
            <w:vAlign w:val="center"/>
          </w:tcPr>
          <w:p w:rsidR="00210DB3" w:rsidRPr="00E903B5" w:rsidRDefault="00210DB3" w:rsidP="00DB3994">
            <w:pPr>
              <w:pStyle w:val="Intro"/>
              <w:jc w:val="left"/>
              <w:rPr>
                <w:b w:val="0"/>
                <w:sz w:val="14"/>
                <w:szCs w:val="14"/>
                <w:lang w:val="en-GB"/>
              </w:rPr>
            </w:pPr>
            <w:r w:rsidRPr="00E903B5">
              <w:rPr>
                <w:b w:val="0"/>
                <w:sz w:val="14"/>
                <w:szCs w:val="14"/>
              </w:rPr>
              <w:t>Overige netto-inkomsten</w:t>
            </w:r>
          </w:p>
        </w:tc>
        <w:tc>
          <w:tcPr>
            <w:tcW w:w="675" w:type="dxa"/>
            <w:tcBorders>
              <w:left w:val="single" w:sz="8" w:space="0" w:color="1F497D" w:themeColor="text2"/>
              <w:bottom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73</w:t>
            </w:r>
          </w:p>
        </w:tc>
        <w:tc>
          <w:tcPr>
            <w:tcW w:w="710" w:type="dxa"/>
            <w:tcBorders>
              <w:bottom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368</w:t>
            </w:r>
          </w:p>
        </w:tc>
        <w:tc>
          <w:tcPr>
            <w:tcW w:w="603" w:type="dxa"/>
            <w:tcBorders>
              <w:bottom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106</w:t>
            </w:r>
          </w:p>
        </w:tc>
        <w:tc>
          <w:tcPr>
            <w:tcW w:w="650" w:type="dxa"/>
            <w:tcBorders>
              <w:bottom w:val="single" w:sz="8" w:space="0" w:color="1F497D" w:themeColor="text2"/>
            </w:tcBorders>
            <w:vAlign w:val="center"/>
          </w:tcPr>
          <w:p w:rsidR="00210DB3" w:rsidRPr="00E903B5" w:rsidRDefault="00210DB3" w:rsidP="00DB3994">
            <w:pPr>
              <w:pStyle w:val="Intro"/>
              <w:jc w:val="right"/>
              <w:rPr>
                <w:b w:val="0"/>
                <w:sz w:val="14"/>
                <w:szCs w:val="14"/>
                <w:lang w:val="en-GB"/>
              </w:rPr>
            </w:pPr>
            <w:r w:rsidRPr="00E903B5">
              <w:rPr>
                <w:b w:val="0"/>
                <w:sz w:val="14"/>
                <w:szCs w:val="14"/>
              </w:rPr>
              <w:t>187</w:t>
            </w:r>
          </w:p>
        </w:tc>
        <w:tc>
          <w:tcPr>
            <w:tcW w:w="650" w:type="dxa"/>
            <w:tcBorders>
              <w:bottom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76</w:t>
            </w:r>
          </w:p>
        </w:tc>
        <w:tc>
          <w:tcPr>
            <w:tcW w:w="638" w:type="dxa"/>
            <w:tcBorders>
              <w:bottom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-20</w:t>
            </w:r>
          </w:p>
        </w:tc>
        <w:tc>
          <w:tcPr>
            <w:tcW w:w="668" w:type="dxa"/>
            <w:tcBorders>
              <w:bottom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51</w:t>
            </w:r>
          </w:p>
        </w:tc>
        <w:tc>
          <w:tcPr>
            <w:tcW w:w="643" w:type="dxa"/>
            <w:tcBorders>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15</w:t>
            </w:r>
          </w:p>
        </w:tc>
        <w:tc>
          <w:tcPr>
            <w:tcW w:w="836" w:type="dxa"/>
            <w:tcBorders>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jc w:val="right"/>
              <w:rPr>
                <w:b w:val="0"/>
                <w:sz w:val="14"/>
                <w:szCs w:val="14"/>
                <w:lang w:val="en-GB"/>
              </w:rPr>
            </w:pPr>
            <w:r w:rsidRPr="00E903B5">
              <w:rPr>
                <w:b w:val="0"/>
                <w:sz w:val="14"/>
                <w:szCs w:val="14"/>
              </w:rPr>
              <w:t>734</w:t>
            </w:r>
          </w:p>
        </w:tc>
        <w:tc>
          <w:tcPr>
            <w:tcW w:w="836" w:type="dxa"/>
            <w:tcBorders>
              <w:bottom w:val="single" w:sz="8" w:space="0" w:color="1F497D" w:themeColor="text2"/>
            </w:tcBorders>
            <w:shd w:val="clear" w:color="auto" w:fill="DBE5F1" w:themeFill="accent1" w:themeFillTint="33"/>
            <w:vAlign w:val="center"/>
          </w:tcPr>
          <w:p w:rsidR="00210DB3" w:rsidRPr="00E903B5" w:rsidRDefault="00210DB3" w:rsidP="00DB3994">
            <w:pPr>
              <w:pStyle w:val="Intro"/>
              <w:jc w:val="right"/>
              <w:rPr>
                <w:b w:val="0"/>
                <w:sz w:val="14"/>
                <w:szCs w:val="14"/>
                <w:lang w:val="en-GB"/>
              </w:rPr>
            </w:pPr>
            <w:r w:rsidRPr="00E903B5">
              <w:rPr>
                <w:b w:val="0"/>
                <w:sz w:val="14"/>
                <w:szCs w:val="14"/>
              </w:rPr>
              <w:t>123</w:t>
            </w:r>
          </w:p>
        </w:tc>
      </w:tr>
      <w:tr w:rsidR="00210DB3" w:rsidRPr="00E903B5" w:rsidTr="00BE652F">
        <w:trPr>
          <w:trHeight w:val="282"/>
        </w:trPr>
        <w:tc>
          <w:tcPr>
            <w:tcW w:w="3621" w:type="dxa"/>
            <w:tcBorders>
              <w:top w:val="single" w:sz="8" w:space="0" w:color="1F497D" w:themeColor="text2"/>
              <w:bottom w:val="single" w:sz="8" w:space="0" w:color="1F497D" w:themeColor="text2"/>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Totale opbrengsten</w:t>
            </w:r>
          </w:p>
        </w:tc>
        <w:tc>
          <w:tcPr>
            <w:tcW w:w="675" w:type="dxa"/>
            <w:tcBorders>
              <w:top w:val="single" w:sz="8" w:space="0" w:color="1F497D" w:themeColor="text2"/>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1 853</w:t>
            </w:r>
          </w:p>
        </w:tc>
        <w:tc>
          <w:tcPr>
            <w:tcW w:w="71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2 072</w:t>
            </w:r>
          </w:p>
        </w:tc>
        <w:tc>
          <w:tcPr>
            <w:tcW w:w="603"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1 954</w:t>
            </w:r>
          </w:p>
        </w:tc>
        <w:tc>
          <w:tcPr>
            <w:tcW w:w="65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1 854</w:t>
            </w:r>
          </w:p>
        </w:tc>
        <w:tc>
          <w:tcPr>
            <w:tcW w:w="650"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2 076</w:t>
            </w:r>
          </w:p>
        </w:tc>
        <w:tc>
          <w:tcPr>
            <w:tcW w:w="63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1 938</w:t>
            </w:r>
          </w:p>
        </w:tc>
        <w:tc>
          <w:tcPr>
            <w:tcW w:w="66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1 772</w:t>
            </w:r>
          </w:p>
        </w:tc>
        <w:tc>
          <w:tcPr>
            <w:tcW w:w="643"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1 731</w:t>
            </w:r>
          </w:p>
        </w:tc>
        <w:tc>
          <w:tcPr>
            <w:tcW w:w="8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7 733</w:t>
            </w:r>
          </w:p>
        </w:tc>
        <w:tc>
          <w:tcPr>
            <w:tcW w:w="836" w:type="dxa"/>
            <w:tcBorders>
              <w:top w:val="single" w:sz="8" w:space="0" w:color="1F497D" w:themeColor="text2"/>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7 517</w:t>
            </w:r>
          </w:p>
        </w:tc>
      </w:tr>
      <w:tr w:rsidR="00210DB3" w:rsidRPr="00E903B5" w:rsidTr="00BE652F">
        <w:trPr>
          <w:trHeight w:val="282"/>
        </w:trPr>
        <w:tc>
          <w:tcPr>
            <w:tcW w:w="3621" w:type="dxa"/>
            <w:tcBorders>
              <w:top w:val="single" w:sz="8" w:space="0" w:color="1F497D" w:themeColor="text2"/>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Exploitatiekosten</w:t>
            </w:r>
          </w:p>
        </w:tc>
        <w:tc>
          <w:tcPr>
            <w:tcW w:w="675" w:type="dxa"/>
            <w:tcBorders>
              <w:top w:val="single" w:sz="8" w:space="0" w:color="1F497D" w:themeColor="text2"/>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-1 132</w:t>
            </w:r>
          </w:p>
        </w:tc>
        <w:tc>
          <w:tcPr>
            <w:tcW w:w="71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-1 033</w:t>
            </w:r>
          </w:p>
        </w:tc>
        <w:tc>
          <w:tcPr>
            <w:tcW w:w="603"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-1 003</w:t>
            </w:r>
          </w:p>
        </w:tc>
        <w:tc>
          <w:tcPr>
            <w:tcW w:w="65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-1 081</w:t>
            </w:r>
          </w:p>
        </w:tc>
        <w:tc>
          <w:tcPr>
            <w:tcW w:w="650"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-1 039</w:t>
            </w:r>
          </w:p>
        </w:tc>
        <w:tc>
          <w:tcPr>
            <w:tcW w:w="63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-931</w:t>
            </w:r>
          </w:p>
        </w:tc>
        <w:tc>
          <w:tcPr>
            <w:tcW w:w="66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-925</w:t>
            </w:r>
          </w:p>
        </w:tc>
        <w:tc>
          <w:tcPr>
            <w:tcW w:w="643" w:type="dxa"/>
            <w:tcBorders>
              <w:top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-976</w:t>
            </w:r>
          </w:p>
        </w:tc>
        <w:tc>
          <w:tcPr>
            <w:tcW w:w="836" w:type="dxa"/>
            <w:tcBorders>
              <w:top w:val="single" w:sz="8" w:space="0" w:color="1F497D" w:themeColor="text2"/>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-4 248</w:t>
            </w:r>
          </w:p>
        </w:tc>
        <w:tc>
          <w:tcPr>
            <w:tcW w:w="836" w:type="dxa"/>
            <w:tcBorders>
              <w:top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-3 871</w:t>
            </w:r>
          </w:p>
        </w:tc>
      </w:tr>
      <w:tr w:rsidR="00210DB3" w:rsidRPr="00E903B5" w:rsidTr="00BE652F">
        <w:trPr>
          <w:trHeight w:val="282"/>
        </w:trPr>
        <w:tc>
          <w:tcPr>
            <w:tcW w:w="3621" w:type="dxa"/>
            <w:tcBorders>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Bijzondere waardeverminderingen</w:t>
            </w:r>
          </w:p>
        </w:tc>
        <w:tc>
          <w:tcPr>
            <w:tcW w:w="675" w:type="dxa"/>
            <w:tcBorders>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-273</w:t>
            </w:r>
          </w:p>
        </w:tc>
        <w:tc>
          <w:tcPr>
            <w:tcW w:w="71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-1 473</w:t>
            </w:r>
          </w:p>
        </w:tc>
        <w:tc>
          <w:tcPr>
            <w:tcW w:w="603"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-302</w:t>
            </w:r>
          </w:p>
        </w:tc>
        <w:tc>
          <w:tcPr>
            <w:tcW w:w="65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-463</w:t>
            </w:r>
          </w:p>
        </w:tc>
        <w:tc>
          <w:tcPr>
            <w:tcW w:w="650"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-352</w:t>
            </w:r>
          </w:p>
        </w:tc>
        <w:tc>
          <w:tcPr>
            <w:tcW w:w="63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-276</w:t>
            </w:r>
          </w:p>
        </w:tc>
        <w:tc>
          <w:tcPr>
            <w:tcW w:w="66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-363</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-942</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-2 511</w:t>
            </w:r>
          </w:p>
        </w:tc>
        <w:tc>
          <w:tcPr>
            <w:tcW w:w="836" w:type="dxa"/>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-1 933</w:t>
            </w:r>
          </w:p>
        </w:tc>
      </w:tr>
      <w:tr w:rsidR="00210DB3" w:rsidRPr="00E903B5" w:rsidTr="00BE652F">
        <w:trPr>
          <w:trHeight w:val="226"/>
        </w:trPr>
        <w:tc>
          <w:tcPr>
            <w:tcW w:w="3621" w:type="dxa"/>
            <w:tcBorders>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 xml:space="preserve">     op leningen en vorderingen</w:t>
            </w:r>
          </w:p>
        </w:tc>
        <w:tc>
          <w:tcPr>
            <w:tcW w:w="675" w:type="dxa"/>
            <w:tcBorders>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-261</w:t>
            </w:r>
          </w:p>
        </w:tc>
        <w:tc>
          <w:tcPr>
            <w:tcW w:w="71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-198</w:t>
            </w:r>
          </w:p>
        </w:tc>
        <w:tc>
          <w:tcPr>
            <w:tcW w:w="603"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-283</w:t>
            </w:r>
          </w:p>
        </w:tc>
        <w:tc>
          <w:tcPr>
            <w:tcW w:w="65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-330</w:t>
            </w:r>
          </w:p>
        </w:tc>
        <w:tc>
          <w:tcPr>
            <w:tcW w:w="650"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-295</w:t>
            </w:r>
          </w:p>
        </w:tc>
        <w:tc>
          <w:tcPr>
            <w:tcW w:w="63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-255</w:t>
            </w:r>
          </w:p>
        </w:tc>
        <w:tc>
          <w:tcPr>
            <w:tcW w:w="66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-231</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-938</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-1 072</w:t>
            </w:r>
          </w:p>
        </w:tc>
        <w:tc>
          <w:tcPr>
            <w:tcW w:w="836" w:type="dxa"/>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-1 719</w:t>
            </w:r>
          </w:p>
        </w:tc>
      </w:tr>
      <w:tr w:rsidR="00210DB3" w:rsidRPr="00E903B5" w:rsidTr="00BE652F">
        <w:trPr>
          <w:trHeight w:val="226"/>
        </w:trPr>
        <w:tc>
          <w:tcPr>
            <w:tcW w:w="3621" w:type="dxa"/>
            <w:tcBorders>
              <w:right w:val="single" w:sz="8" w:space="0" w:color="1F497D" w:themeColor="text2"/>
            </w:tcBorders>
            <w:vAlign w:val="center"/>
          </w:tcPr>
          <w:p w:rsidR="00210DB3" w:rsidRPr="00634375" w:rsidRDefault="00210DB3" w:rsidP="00DB3994">
            <w:pPr>
              <w:pStyle w:val="Intro"/>
              <w:spacing w:before="120"/>
              <w:jc w:val="left"/>
              <w:rPr>
                <w:b w:val="0"/>
                <w:sz w:val="14"/>
                <w:szCs w:val="14"/>
                <w:lang w:val="nl-BE"/>
              </w:rPr>
            </w:pPr>
            <w:r w:rsidRPr="00E903B5">
              <w:rPr>
                <w:b w:val="0"/>
                <w:sz w:val="14"/>
                <w:szCs w:val="14"/>
              </w:rPr>
              <w:t xml:space="preserve">     op voor verkoop beschikbare financiële activa</w:t>
            </w:r>
          </w:p>
        </w:tc>
        <w:tc>
          <w:tcPr>
            <w:tcW w:w="675" w:type="dxa"/>
            <w:tcBorders>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w:t>
            </w:r>
          </w:p>
        </w:tc>
        <w:tc>
          <w:tcPr>
            <w:tcW w:w="71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-75</w:t>
            </w:r>
          </w:p>
        </w:tc>
        <w:tc>
          <w:tcPr>
            <w:tcW w:w="603"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w:t>
            </w:r>
          </w:p>
        </w:tc>
        <w:tc>
          <w:tcPr>
            <w:tcW w:w="65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-11</w:t>
            </w:r>
          </w:p>
        </w:tc>
        <w:tc>
          <w:tcPr>
            <w:tcW w:w="650"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-13</w:t>
            </w:r>
          </w:p>
        </w:tc>
        <w:tc>
          <w:tcPr>
            <w:tcW w:w="63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w:t>
            </w:r>
          </w:p>
        </w:tc>
        <w:tc>
          <w:tcPr>
            <w:tcW w:w="66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-8</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-95</w:t>
            </w:r>
          </w:p>
        </w:tc>
        <w:tc>
          <w:tcPr>
            <w:tcW w:w="836" w:type="dxa"/>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-34</w:t>
            </w:r>
          </w:p>
        </w:tc>
      </w:tr>
      <w:tr w:rsidR="00210DB3" w:rsidRPr="00E903B5" w:rsidTr="00BE652F">
        <w:trPr>
          <w:trHeight w:val="226"/>
        </w:trPr>
        <w:tc>
          <w:tcPr>
            <w:tcW w:w="3621" w:type="dxa"/>
            <w:tcBorders>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 xml:space="preserve">     op goodwill</w:t>
            </w:r>
          </w:p>
        </w:tc>
        <w:tc>
          <w:tcPr>
            <w:tcW w:w="675" w:type="dxa"/>
            <w:tcBorders>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71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-414</w:t>
            </w:r>
          </w:p>
        </w:tc>
        <w:tc>
          <w:tcPr>
            <w:tcW w:w="603"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5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-8</w:t>
            </w:r>
          </w:p>
        </w:tc>
        <w:tc>
          <w:tcPr>
            <w:tcW w:w="650"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w:t>
            </w:r>
          </w:p>
        </w:tc>
        <w:tc>
          <w:tcPr>
            <w:tcW w:w="63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6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-421</w:t>
            </w:r>
          </w:p>
        </w:tc>
        <w:tc>
          <w:tcPr>
            <w:tcW w:w="836" w:type="dxa"/>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w:t>
            </w:r>
          </w:p>
        </w:tc>
      </w:tr>
      <w:tr w:rsidR="00210DB3" w:rsidRPr="00E903B5" w:rsidTr="00BE652F">
        <w:trPr>
          <w:trHeight w:val="226"/>
        </w:trPr>
        <w:tc>
          <w:tcPr>
            <w:tcW w:w="3621" w:type="dxa"/>
            <w:tcBorders>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 xml:space="preserve">     op overige</w:t>
            </w:r>
          </w:p>
        </w:tc>
        <w:tc>
          <w:tcPr>
            <w:tcW w:w="675" w:type="dxa"/>
            <w:tcBorders>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w:t>
            </w:r>
          </w:p>
        </w:tc>
        <w:tc>
          <w:tcPr>
            <w:tcW w:w="71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-786</w:t>
            </w:r>
          </w:p>
        </w:tc>
        <w:tc>
          <w:tcPr>
            <w:tcW w:w="603"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-15</w:t>
            </w:r>
          </w:p>
        </w:tc>
        <w:tc>
          <w:tcPr>
            <w:tcW w:w="650" w:type="dxa"/>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-114</w:t>
            </w:r>
          </w:p>
        </w:tc>
        <w:tc>
          <w:tcPr>
            <w:tcW w:w="650"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-37</w:t>
            </w:r>
          </w:p>
        </w:tc>
        <w:tc>
          <w:tcPr>
            <w:tcW w:w="63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-18</w:t>
            </w:r>
          </w:p>
        </w:tc>
        <w:tc>
          <w:tcPr>
            <w:tcW w:w="668" w:type="dxa"/>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-125</w:t>
            </w:r>
          </w:p>
        </w:tc>
        <w:tc>
          <w:tcPr>
            <w:tcW w:w="643" w:type="dxa"/>
            <w:tcBorders>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w:t>
            </w:r>
          </w:p>
        </w:tc>
        <w:tc>
          <w:tcPr>
            <w:tcW w:w="836" w:type="dxa"/>
            <w:tcBorders>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-923</w:t>
            </w:r>
          </w:p>
        </w:tc>
        <w:tc>
          <w:tcPr>
            <w:tcW w:w="836" w:type="dxa"/>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-173</w:t>
            </w:r>
          </w:p>
        </w:tc>
      </w:tr>
      <w:tr w:rsidR="00210DB3" w:rsidRPr="00E903B5" w:rsidTr="00BE652F">
        <w:trPr>
          <w:trHeight w:val="282"/>
        </w:trPr>
        <w:tc>
          <w:tcPr>
            <w:tcW w:w="3621" w:type="dxa"/>
            <w:tcBorders>
              <w:bottom w:val="single" w:sz="8" w:space="0" w:color="1F497D" w:themeColor="text2"/>
              <w:right w:val="single" w:sz="8" w:space="0" w:color="1F497D" w:themeColor="text2"/>
            </w:tcBorders>
            <w:vAlign w:val="center"/>
          </w:tcPr>
          <w:p w:rsidR="00210DB3" w:rsidRPr="00634375" w:rsidRDefault="00210DB3" w:rsidP="00DB3994">
            <w:pPr>
              <w:pStyle w:val="Intro"/>
              <w:spacing w:before="120"/>
              <w:jc w:val="left"/>
              <w:rPr>
                <w:b w:val="0"/>
                <w:sz w:val="14"/>
                <w:szCs w:val="14"/>
                <w:lang w:val="nl-BE"/>
              </w:rPr>
            </w:pPr>
            <w:r w:rsidRPr="00E903B5">
              <w:rPr>
                <w:b w:val="0"/>
                <w:sz w:val="14"/>
                <w:szCs w:val="14"/>
              </w:rPr>
              <w:t>Aandeel in het resultaat van geassocieerde ondernemingen</w:t>
            </w:r>
          </w:p>
        </w:tc>
        <w:tc>
          <w:tcPr>
            <w:tcW w:w="675" w:type="dxa"/>
            <w:tcBorders>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w:t>
            </w:r>
          </w:p>
        </w:tc>
        <w:tc>
          <w:tcPr>
            <w:tcW w:w="71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17</w:t>
            </w:r>
          </w:p>
        </w:tc>
        <w:tc>
          <w:tcPr>
            <w:tcW w:w="603"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w:t>
            </w:r>
          </w:p>
        </w:tc>
        <w:tc>
          <w:tcPr>
            <w:tcW w:w="65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w:t>
            </w:r>
          </w:p>
        </w:tc>
        <w:tc>
          <w:tcPr>
            <w:tcW w:w="650"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3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6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43" w:type="dxa"/>
            <w:tcBorders>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836" w:type="dxa"/>
            <w:tcBorders>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w:t>
            </w:r>
          </w:p>
        </w:tc>
        <w:tc>
          <w:tcPr>
            <w:tcW w:w="836" w:type="dxa"/>
            <w:tcBorders>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w:t>
            </w:r>
          </w:p>
        </w:tc>
      </w:tr>
      <w:tr w:rsidR="00210DB3" w:rsidRPr="00E903B5" w:rsidTr="00BE652F">
        <w:trPr>
          <w:trHeight w:val="282"/>
        </w:trPr>
        <w:tc>
          <w:tcPr>
            <w:tcW w:w="3621" w:type="dxa"/>
            <w:tcBorders>
              <w:top w:val="single" w:sz="8" w:space="0" w:color="1F497D" w:themeColor="text2"/>
              <w:bottom w:val="single" w:sz="8" w:space="0" w:color="1F497D" w:themeColor="text2"/>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Resultaat vóór belastingen</w:t>
            </w:r>
          </w:p>
        </w:tc>
        <w:tc>
          <w:tcPr>
            <w:tcW w:w="675" w:type="dxa"/>
            <w:tcBorders>
              <w:top w:val="single" w:sz="8" w:space="0" w:color="1F497D" w:themeColor="text2"/>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439</w:t>
            </w:r>
          </w:p>
        </w:tc>
        <w:tc>
          <w:tcPr>
            <w:tcW w:w="71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-417</w:t>
            </w:r>
          </w:p>
        </w:tc>
        <w:tc>
          <w:tcPr>
            <w:tcW w:w="603"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644</w:t>
            </w:r>
          </w:p>
        </w:tc>
        <w:tc>
          <w:tcPr>
            <w:tcW w:w="65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310</w:t>
            </w:r>
          </w:p>
        </w:tc>
        <w:tc>
          <w:tcPr>
            <w:tcW w:w="650"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684</w:t>
            </w:r>
          </w:p>
        </w:tc>
        <w:tc>
          <w:tcPr>
            <w:tcW w:w="63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731</w:t>
            </w:r>
          </w:p>
        </w:tc>
        <w:tc>
          <w:tcPr>
            <w:tcW w:w="66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485</w:t>
            </w:r>
          </w:p>
        </w:tc>
        <w:tc>
          <w:tcPr>
            <w:tcW w:w="643"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-186</w:t>
            </w:r>
          </w:p>
        </w:tc>
        <w:tc>
          <w:tcPr>
            <w:tcW w:w="8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976</w:t>
            </w:r>
          </w:p>
        </w:tc>
        <w:tc>
          <w:tcPr>
            <w:tcW w:w="836" w:type="dxa"/>
            <w:tcBorders>
              <w:top w:val="single" w:sz="8" w:space="0" w:color="1F497D" w:themeColor="text2"/>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1 714</w:t>
            </w:r>
          </w:p>
        </w:tc>
      </w:tr>
      <w:tr w:rsidR="00210DB3" w:rsidRPr="00E903B5" w:rsidTr="00BE652F">
        <w:trPr>
          <w:trHeight w:val="282"/>
        </w:trPr>
        <w:tc>
          <w:tcPr>
            <w:tcW w:w="3621" w:type="dxa"/>
            <w:tcBorders>
              <w:top w:val="single" w:sz="8" w:space="0" w:color="1F497D" w:themeColor="text2"/>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Pr>
                <w:b w:val="0"/>
                <w:sz w:val="14"/>
                <w:szCs w:val="14"/>
              </w:rPr>
              <w:t>B</w:t>
            </w:r>
            <w:r w:rsidRPr="00E903B5">
              <w:rPr>
                <w:b w:val="0"/>
                <w:sz w:val="14"/>
                <w:szCs w:val="14"/>
              </w:rPr>
              <w:t>elastingen</w:t>
            </w:r>
          </w:p>
        </w:tc>
        <w:tc>
          <w:tcPr>
            <w:tcW w:w="675" w:type="dxa"/>
            <w:tcBorders>
              <w:top w:val="single" w:sz="8" w:space="0" w:color="1F497D" w:themeColor="text2"/>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-93</w:t>
            </w:r>
          </w:p>
        </w:tc>
        <w:tc>
          <w:tcPr>
            <w:tcW w:w="71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-110</w:t>
            </w:r>
          </w:p>
        </w:tc>
        <w:tc>
          <w:tcPr>
            <w:tcW w:w="603"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-103</w:t>
            </w:r>
          </w:p>
        </w:tc>
        <w:tc>
          <w:tcPr>
            <w:tcW w:w="65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-56</w:t>
            </w:r>
          </w:p>
        </w:tc>
        <w:tc>
          <w:tcPr>
            <w:tcW w:w="650"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-160</w:t>
            </w:r>
          </w:p>
        </w:tc>
        <w:tc>
          <w:tcPr>
            <w:tcW w:w="63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-211</w:t>
            </w:r>
          </w:p>
        </w:tc>
        <w:tc>
          <w:tcPr>
            <w:tcW w:w="66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-209</w:t>
            </w:r>
          </w:p>
        </w:tc>
        <w:tc>
          <w:tcPr>
            <w:tcW w:w="643" w:type="dxa"/>
            <w:tcBorders>
              <w:top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-104</w:t>
            </w:r>
          </w:p>
        </w:tc>
        <w:tc>
          <w:tcPr>
            <w:tcW w:w="836" w:type="dxa"/>
            <w:tcBorders>
              <w:top w:val="single" w:sz="8" w:space="0" w:color="1F497D" w:themeColor="text2"/>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-362</w:t>
            </w:r>
          </w:p>
        </w:tc>
        <w:tc>
          <w:tcPr>
            <w:tcW w:w="836" w:type="dxa"/>
            <w:tcBorders>
              <w:top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-685</w:t>
            </w:r>
          </w:p>
        </w:tc>
      </w:tr>
      <w:tr w:rsidR="00210DB3" w:rsidRPr="00E903B5" w:rsidTr="00BE652F">
        <w:trPr>
          <w:trHeight w:val="282"/>
        </w:trPr>
        <w:tc>
          <w:tcPr>
            <w:tcW w:w="3621" w:type="dxa"/>
            <w:tcBorders>
              <w:bottom w:val="single" w:sz="8" w:space="0" w:color="1F497D" w:themeColor="text2"/>
              <w:right w:val="single" w:sz="8" w:space="0" w:color="1F497D" w:themeColor="text2"/>
            </w:tcBorders>
            <w:vAlign w:val="center"/>
          </w:tcPr>
          <w:p w:rsidR="00210DB3" w:rsidRPr="00634375" w:rsidRDefault="00210DB3" w:rsidP="00DB3994">
            <w:pPr>
              <w:pStyle w:val="Intro"/>
              <w:spacing w:before="120"/>
              <w:jc w:val="left"/>
              <w:rPr>
                <w:b w:val="0"/>
                <w:sz w:val="14"/>
                <w:szCs w:val="14"/>
                <w:lang w:val="nl-BE"/>
              </w:rPr>
            </w:pPr>
            <w:r w:rsidRPr="00E903B5">
              <w:rPr>
                <w:b w:val="0"/>
                <w:sz w:val="14"/>
                <w:szCs w:val="14"/>
              </w:rPr>
              <w:t>Nettoresultaat na belastingen uit beëindigde bedrijfsactiviteiten</w:t>
            </w:r>
          </w:p>
        </w:tc>
        <w:tc>
          <w:tcPr>
            <w:tcW w:w="675" w:type="dxa"/>
            <w:tcBorders>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40</w:t>
            </w:r>
          </w:p>
        </w:tc>
        <w:tc>
          <w:tcPr>
            <w:tcW w:w="71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-8</w:t>
            </w:r>
          </w:p>
        </w:tc>
        <w:tc>
          <w:tcPr>
            <w:tcW w:w="603"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5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w:t>
            </w:r>
          </w:p>
        </w:tc>
        <w:tc>
          <w:tcPr>
            <w:tcW w:w="650"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3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6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643" w:type="dxa"/>
            <w:tcBorders>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c>
          <w:tcPr>
            <w:tcW w:w="836" w:type="dxa"/>
            <w:tcBorders>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27</w:t>
            </w:r>
          </w:p>
        </w:tc>
        <w:tc>
          <w:tcPr>
            <w:tcW w:w="836" w:type="dxa"/>
            <w:tcBorders>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w:t>
            </w:r>
          </w:p>
        </w:tc>
      </w:tr>
      <w:tr w:rsidR="00210DB3" w:rsidRPr="00E903B5" w:rsidTr="00BE652F">
        <w:trPr>
          <w:trHeight w:val="282"/>
        </w:trPr>
        <w:tc>
          <w:tcPr>
            <w:tcW w:w="3621" w:type="dxa"/>
            <w:tcBorders>
              <w:top w:val="single" w:sz="8" w:space="0" w:color="1F497D" w:themeColor="text2"/>
              <w:bottom w:val="single" w:sz="8" w:space="0" w:color="1F497D" w:themeColor="text2"/>
              <w:right w:val="single" w:sz="8" w:space="0" w:color="1F497D" w:themeColor="text2"/>
            </w:tcBorders>
            <w:vAlign w:val="center"/>
          </w:tcPr>
          <w:p w:rsidR="00210DB3" w:rsidRPr="00E903B5" w:rsidRDefault="00210DB3" w:rsidP="00DB3994">
            <w:pPr>
              <w:pStyle w:val="Intro"/>
              <w:spacing w:before="120"/>
              <w:jc w:val="left"/>
              <w:rPr>
                <w:b w:val="0"/>
                <w:sz w:val="14"/>
                <w:szCs w:val="14"/>
                <w:lang w:val="en-GB"/>
              </w:rPr>
            </w:pPr>
            <w:r w:rsidRPr="00E903B5">
              <w:rPr>
                <w:b w:val="0"/>
                <w:sz w:val="14"/>
                <w:szCs w:val="14"/>
              </w:rPr>
              <w:t>Resultaat na belastingen</w:t>
            </w:r>
          </w:p>
        </w:tc>
        <w:tc>
          <w:tcPr>
            <w:tcW w:w="675" w:type="dxa"/>
            <w:tcBorders>
              <w:top w:val="single" w:sz="8" w:space="0" w:color="1F497D" w:themeColor="text2"/>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387</w:t>
            </w:r>
          </w:p>
        </w:tc>
        <w:tc>
          <w:tcPr>
            <w:tcW w:w="71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-535</w:t>
            </w:r>
          </w:p>
        </w:tc>
        <w:tc>
          <w:tcPr>
            <w:tcW w:w="603"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540</w:t>
            </w:r>
          </w:p>
        </w:tc>
        <w:tc>
          <w:tcPr>
            <w:tcW w:w="650" w:type="dxa"/>
            <w:tcBorders>
              <w:top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249</w:t>
            </w:r>
          </w:p>
        </w:tc>
        <w:tc>
          <w:tcPr>
            <w:tcW w:w="650"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524</w:t>
            </w:r>
          </w:p>
        </w:tc>
        <w:tc>
          <w:tcPr>
            <w:tcW w:w="63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520</w:t>
            </w:r>
          </w:p>
        </w:tc>
        <w:tc>
          <w:tcPr>
            <w:tcW w:w="668" w:type="dxa"/>
            <w:tcBorders>
              <w:top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276</w:t>
            </w:r>
          </w:p>
        </w:tc>
        <w:tc>
          <w:tcPr>
            <w:tcW w:w="643"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-290</w:t>
            </w:r>
          </w:p>
        </w:tc>
        <w:tc>
          <w:tcPr>
            <w:tcW w:w="8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641</w:t>
            </w:r>
          </w:p>
        </w:tc>
        <w:tc>
          <w:tcPr>
            <w:tcW w:w="836" w:type="dxa"/>
            <w:tcBorders>
              <w:top w:val="single" w:sz="8" w:space="0" w:color="1F497D" w:themeColor="text2"/>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1 029</w:t>
            </w:r>
          </w:p>
        </w:tc>
      </w:tr>
      <w:tr w:rsidR="00210DB3" w:rsidRPr="00E903B5" w:rsidTr="00BE652F">
        <w:trPr>
          <w:trHeight w:val="282"/>
        </w:trPr>
        <w:tc>
          <w:tcPr>
            <w:tcW w:w="3621" w:type="dxa"/>
            <w:tcBorders>
              <w:top w:val="single" w:sz="8" w:space="0" w:color="1F497D" w:themeColor="text2"/>
              <w:right w:val="single" w:sz="8" w:space="0" w:color="1F497D" w:themeColor="text2"/>
            </w:tcBorders>
            <w:vAlign w:val="center"/>
          </w:tcPr>
          <w:p w:rsidR="00210DB3" w:rsidRPr="00634375" w:rsidRDefault="00210DB3" w:rsidP="00DB3994">
            <w:pPr>
              <w:pStyle w:val="Intro"/>
              <w:spacing w:before="120"/>
              <w:jc w:val="left"/>
              <w:rPr>
                <w:b w:val="0"/>
                <w:sz w:val="14"/>
                <w:szCs w:val="14"/>
                <w:lang w:val="nl-BE"/>
              </w:rPr>
            </w:pPr>
            <w:r w:rsidRPr="00E903B5">
              <w:rPr>
                <w:b w:val="0"/>
                <w:sz w:val="14"/>
                <w:szCs w:val="14"/>
              </w:rPr>
              <w:t xml:space="preserve">      toerekenbaar aan belangen van derden</w:t>
            </w:r>
          </w:p>
        </w:tc>
        <w:tc>
          <w:tcPr>
            <w:tcW w:w="675" w:type="dxa"/>
            <w:tcBorders>
              <w:top w:val="single" w:sz="8" w:space="0" w:color="1F497D" w:themeColor="text2"/>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7</w:t>
            </w:r>
          </w:p>
        </w:tc>
        <w:tc>
          <w:tcPr>
            <w:tcW w:w="71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5</w:t>
            </w:r>
          </w:p>
        </w:tc>
        <w:tc>
          <w:tcPr>
            <w:tcW w:w="603"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w:t>
            </w:r>
          </w:p>
        </w:tc>
        <w:tc>
          <w:tcPr>
            <w:tcW w:w="65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9</w:t>
            </w:r>
          </w:p>
        </w:tc>
        <w:tc>
          <w:tcPr>
            <w:tcW w:w="650"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w:t>
            </w:r>
          </w:p>
        </w:tc>
        <w:tc>
          <w:tcPr>
            <w:tcW w:w="63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3</w:t>
            </w:r>
          </w:p>
        </w:tc>
        <w:tc>
          <w:tcPr>
            <w:tcW w:w="66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w:t>
            </w:r>
          </w:p>
        </w:tc>
        <w:tc>
          <w:tcPr>
            <w:tcW w:w="643" w:type="dxa"/>
            <w:tcBorders>
              <w:top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4</w:t>
            </w:r>
          </w:p>
        </w:tc>
        <w:tc>
          <w:tcPr>
            <w:tcW w:w="836" w:type="dxa"/>
            <w:tcBorders>
              <w:top w:val="single" w:sz="8" w:space="0" w:color="1F497D" w:themeColor="text2"/>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29</w:t>
            </w:r>
          </w:p>
        </w:tc>
        <w:tc>
          <w:tcPr>
            <w:tcW w:w="836" w:type="dxa"/>
            <w:tcBorders>
              <w:top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14</w:t>
            </w:r>
          </w:p>
        </w:tc>
      </w:tr>
      <w:tr w:rsidR="00210DB3" w:rsidRPr="00E903B5" w:rsidTr="00BE652F">
        <w:trPr>
          <w:trHeight w:val="282"/>
        </w:trPr>
        <w:tc>
          <w:tcPr>
            <w:tcW w:w="3621" w:type="dxa"/>
            <w:tcBorders>
              <w:bottom w:val="single" w:sz="8" w:space="0" w:color="1F497D" w:themeColor="text2"/>
              <w:right w:val="single" w:sz="8" w:space="0" w:color="1F497D" w:themeColor="text2"/>
            </w:tcBorders>
            <w:vAlign w:val="center"/>
          </w:tcPr>
          <w:p w:rsidR="00210DB3" w:rsidRPr="00634375" w:rsidRDefault="00210DB3" w:rsidP="00DB3994">
            <w:pPr>
              <w:pStyle w:val="Intro"/>
              <w:spacing w:before="120"/>
              <w:ind w:left="176" w:hanging="176"/>
              <w:jc w:val="left"/>
              <w:rPr>
                <w:sz w:val="14"/>
                <w:szCs w:val="14"/>
                <w:lang w:val="nl-BE"/>
              </w:rPr>
            </w:pPr>
            <w:r w:rsidRPr="00E903B5">
              <w:rPr>
                <w:sz w:val="14"/>
                <w:szCs w:val="14"/>
              </w:rPr>
              <w:t xml:space="preserve">     toerekenbaar aan de aandeelhouders van de moedermaatschappij</w:t>
            </w:r>
          </w:p>
        </w:tc>
        <w:tc>
          <w:tcPr>
            <w:tcW w:w="675" w:type="dxa"/>
            <w:tcBorders>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sz w:val="14"/>
                <w:szCs w:val="14"/>
                <w:lang w:val="en-GB"/>
              </w:rPr>
            </w:pPr>
            <w:r w:rsidRPr="00E903B5">
              <w:rPr>
                <w:sz w:val="14"/>
                <w:szCs w:val="14"/>
              </w:rPr>
              <w:t>380</w:t>
            </w:r>
          </w:p>
        </w:tc>
        <w:tc>
          <w:tcPr>
            <w:tcW w:w="710" w:type="dxa"/>
            <w:tcBorders>
              <w:bottom w:val="single" w:sz="8" w:space="0" w:color="1F497D" w:themeColor="text2"/>
            </w:tcBorders>
            <w:vAlign w:val="center"/>
          </w:tcPr>
          <w:p w:rsidR="00210DB3" w:rsidRPr="00E903B5" w:rsidRDefault="00210DB3" w:rsidP="00DB3994">
            <w:pPr>
              <w:pStyle w:val="Intro"/>
              <w:spacing w:before="120"/>
              <w:jc w:val="right"/>
              <w:rPr>
                <w:sz w:val="14"/>
                <w:szCs w:val="14"/>
                <w:lang w:val="en-GB"/>
              </w:rPr>
            </w:pPr>
            <w:r w:rsidRPr="00E903B5">
              <w:rPr>
                <w:sz w:val="14"/>
                <w:szCs w:val="14"/>
              </w:rPr>
              <w:t>-539</w:t>
            </w:r>
          </w:p>
        </w:tc>
        <w:tc>
          <w:tcPr>
            <w:tcW w:w="603" w:type="dxa"/>
            <w:tcBorders>
              <w:bottom w:val="single" w:sz="8" w:space="0" w:color="1F497D" w:themeColor="text2"/>
            </w:tcBorders>
            <w:vAlign w:val="center"/>
          </w:tcPr>
          <w:p w:rsidR="00210DB3" w:rsidRPr="00E903B5" w:rsidRDefault="00210DB3" w:rsidP="00DB3994">
            <w:pPr>
              <w:pStyle w:val="Intro"/>
              <w:spacing w:before="120"/>
              <w:jc w:val="right"/>
              <w:rPr>
                <w:sz w:val="14"/>
                <w:szCs w:val="14"/>
                <w:lang w:val="en-GB"/>
              </w:rPr>
            </w:pPr>
            <w:r w:rsidRPr="00E903B5">
              <w:rPr>
                <w:sz w:val="14"/>
                <w:szCs w:val="14"/>
              </w:rPr>
              <w:t>531</w:t>
            </w:r>
          </w:p>
        </w:tc>
        <w:tc>
          <w:tcPr>
            <w:tcW w:w="650" w:type="dxa"/>
            <w:tcBorders>
              <w:bottom w:val="single" w:sz="8" w:space="0" w:color="1F497D" w:themeColor="text2"/>
            </w:tcBorders>
            <w:vAlign w:val="center"/>
          </w:tcPr>
          <w:p w:rsidR="00210DB3" w:rsidRPr="00E903B5" w:rsidRDefault="00210DB3" w:rsidP="00DB3994">
            <w:pPr>
              <w:pStyle w:val="Intro"/>
              <w:spacing w:before="120"/>
              <w:jc w:val="right"/>
              <w:rPr>
                <w:sz w:val="14"/>
                <w:szCs w:val="14"/>
                <w:lang w:val="en-GB"/>
              </w:rPr>
            </w:pPr>
            <w:r w:rsidRPr="00E903B5">
              <w:rPr>
                <w:sz w:val="14"/>
                <w:szCs w:val="14"/>
              </w:rPr>
              <w:t>240</w:t>
            </w:r>
          </w:p>
        </w:tc>
        <w:tc>
          <w:tcPr>
            <w:tcW w:w="650"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sz w:val="14"/>
                <w:szCs w:val="14"/>
                <w:lang w:val="en-GB"/>
              </w:rPr>
            </w:pPr>
            <w:r w:rsidRPr="00E903B5">
              <w:rPr>
                <w:sz w:val="14"/>
                <w:szCs w:val="14"/>
              </w:rPr>
              <w:t>520</w:t>
            </w:r>
          </w:p>
        </w:tc>
        <w:tc>
          <w:tcPr>
            <w:tcW w:w="63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sz w:val="14"/>
                <w:szCs w:val="14"/>
                <w:lang w:val="en-GB"/>
              </w:rPr>
            </w:pPr>
            <w:r w:rsidRPr="00E903B5">
              <w:rPr>
                <w:sz w:val="14"/>
                <w:szCs w:val="14"/>
              </w:rPr>
              <w:t>517</w:t>
            </w:r>
          </w:p>
        </w:tc>
        <w:tc>
          <w:tcPr>
            <w:tcW w:w="66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sz w:val="14"/>
                <w:szCs w:val="14"/>
                <w:lang w:val="en-GB"/>
              </w:rPr>
            </w:pPr>
            <w:r w:rsidRPr="00E903B5">
              <w:rPr>
                <w:sz w:val="14"/>
                <w:szCs w:val="14"/>
              </w:rPr>
              <w:t>272</w:t>
            </w:r>
          </w:p>
        </w:tc>
        <w:tc>
          <w:tcPr>
            <w:tcW w:w="643" w:type="dxa"/>
            <w:tcBorders>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sz w:val="14"/>
                <w:szCs w:val="14"/>
                <w:lang w:val="en-GB"/>
              </w:rPr>
            </w:pPr>
            <w:r w:rsidRPr="00E903B5">
              <w:rPr>
                <w:sz w:val="14"/>
                <w:szCs w:val="14"/>
              </w:rPr>
              <w:t>-294</w:t>
            </w:r>
          </w:p>
        </w:tc>
        <w:tc>
          <w:tcPr>
            <w:tcW w:w="836" w:type="dxa"/>
            <w:tcBorders>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sz w:val="14"/>
                <w:szCs w:val="14"/>
                <w:lang w:val="en-GB"/>
              </w:rPr>
            </w:pPr>
            <w:r w:rsidRPr="00E903B5">
              <w:rPr>
                <w:sz w:val="14"/>
                <w:szCs w:val="14"/>
              </w:rPr>
              <w:t>612</w:t>
            </w:r>
          </w:p>
        </w:tc>
        <w:tc>
          <w:tcPr>
            <w:tcW w:w="836" w:type="dxa"/>
            <w:tcBorders>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sz w:val="14"/>
                <w:szCs w:val="14"/>
                <w:lang w:val="en-GB"/>
              </w:rPr>
            </w:pPr>
            <w:r w:rsidRPr="00E903B5">
              <w:rPr>
                <w:sz w:val="14"/>
                <w:szCs w:val="14"/>
              </w:rPr>
              <w:t>1 015</w:t>
            </w:r>
          </w:p>
        </w:tc>
      </w:tr>
      <w:tr w:rsidR="00210DB3" w:rsidRPr="00E903B5" w:rsidTr="00BE652F">
        <w:trPr>
          <w:trHeight w:val="57"/>
        </w:trPr>
        <w:tc>
          <w:tcPr>
            <w:tcW w:w="3621" w:type="dxa"/>
            <w:tcBorders>
              <w:top w:val="single" w:sz="8" w:space="0" w:color="1F497D" w:themeColor="text2"/>
              <w:right w:val="single" w:sz="8" w:space="0" w:color="1F497D" w:themeColor="text2"/>
            </w:tcBorders>
            <w:vAlign w:val="center"/>
          </w:tcPr>
          <w:p w:rsidR="00210DB3" w:rsidRPr="00634375" w:rsidRDefault="00210DB3" w:rsidP="00DB3994">
            <w:pPr>
              <w:pStyle w:val="Intro"/>
              <w:spacing w:before="120"/>
              <w:jc w:val="left"/>
              <w:rPr>
                <w:b w:val="0"/>
                <w:sz w:val="14"/>
                <w:szCs w:val="14"/>
                <w:vertAlign w:val="superscript"/>
                <w:lang w:val="nl-BE"/>
              </w:rPr>
            </w:pPr>
            <w:r w:rsidRPr="00E903B5">
              <w:rPr>
                <w:b w:val="0"/>
                <w:sz w:val="14"/>
                <w:szCs w:val="14"/>
              </w:rPr>
              <w:t>Gewone winst per aandeel (in euro)</w:t>
            </w:r>
          </w:p>
        </w:tc>
        <w:tc>
          <w:tcPr>
            <w:tcW w:w="675" w:type="dxa"/>
            <w:tcBorders>
              <w:top w:val="single" w:sz="8" w:space="0" w:color="1F497D" w:themeColor="text2"/>
              <w:left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0.71</w:t>
            </w:r>
          </w:p>
        </w:tc>
        <w:tc>
          <w:tcPr>
            <w:tcW w:w="71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-1.99</w:t>
            </w:r>
          </w:p>
        </w:tc>
        <w:tc>
          <w:tcPr>
            <w:tcW w:w="603"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1.16</w:t>
            </w:r>
          </w:p>
        </w:tc>
        <w:tc>
          <w:tcPr>
            <w:tcW w:w="650" w:type="dxa"/>
            <w:tcBorders>
              <w:top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-0.97</w:t>
            </w:r>
          </w:p>
        </w:tc>
        <w:tc>
          <w:tcPr>
            <w:tcW w:w="650"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1.25</w:t>
            </w:r>
          </w:p>
        </w:tc>
        <w:tc>
          <w:tcPr>
            <w:tcW w:w="63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1.24</w:t>
            </w:r>
          </w:p>
        </w:tc>
        <w:tc>
          <w:tcPr>
            <w:tcW w:w="668" w:type="dxa"/>
            <w:tcBorders>
              <w:top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-0.75</w:t>
            </w:r>
          </w:p>
        </w:tc>
        <w:tc>
          <w:tcPr>
            <w:tcW w:w="643" w:type="dxa"/>
            <w:tcBorders>
              <w:top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-0.71</w:t>
            </w:r>
          </w:p>
        </w:tc>
        <w:tc>
          <w:tcPr>
            <w:tcW w:w="836" w:type="dxa"/>
            <w:tcBorders>
              <w:top w:val="single" w:sz="8" w:space="0" w:color="1F497D" w:themeColor="text2"/>
              <w:left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-1.09</w:t>
            </w:r>
          </w:p>
        </w:tc>
        <w:tc>
          <w:tcPr>
            <w:tcW w:w="836" w:type="dxa"/>
            <w:tcBorders>
              <w:top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1.03</w:t>
            </w:r>
          </w:p>
        </w:tc>
      </w:tr>
      <w:tr w:rsidR="00210DB3" w:rsidRPr="00E903B5" w:rsidTr="00BE652F">
        <w:trPr>
          <w:trHeight w:val="57"/>
        </w:trPr>
        <w:tc>
          <w:tcPr>
            <w:tcW w:w="3621" w:type="dxa"/>
            <w:tcBorders>
              <w:bottom w:val="single" w:sz="8" w:space="0" w:color="1F497D" w:themeColor="text2"/>
              <w:right w:val="single" w:sz="8" w:space="0" w:color="1F497D" w:themeColor="text2"/>
            </w:tcBorders>
            <w:vAlign w:val="center"/>
          </w:tcPr>
          <w:p w:rsidR="00210DB3" w:rsidRPr="00634375" w:rsidRDefault="00210DB3" w:rsidP="00DB3994">
            <w:pPr>
              <w:pStyle w:val="Intro"/>
              <w:spacing w:before="120"/>
              <w:jc w:val="left"/>
              <w:rPr>
                <w:b w:val="0"/>
                <w:sz w:val="14"/>
                <w:szCs w:val="14"/>
                <w:vertAlign w:val="superscript"/>
                <w:lang w:val="nl-BE"/>
              </w:rPr>
            </w:pPr>
            <w:r w:rsidRPr="00E903B5">
              <w:rPr>
                <w:b w:val="0"/>
                <w:sz w:val="14"/>
                <w:szCs w:val="14"/>
              </w:rPr>
              <w:t>Verwaterde winst per aandeel (in euro)</w:t>
            </w:r>
          </w:p>
        </w:tc>
        <w:tc>
          <w:tcPr>
            <w:tcW w:w="675" w:type="dxa"/>
            <w:tcBorders>
              <w:left w:val="single" w:sz="8" w:space="0" w:color="1F497D" w:themeColor="text2"/>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0.71</w:t>
            </w:r>
          </w:p>
        </w:tc>
        <w:tc>
          <w:tcPr>
            <w:tcW w:w="71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-1.99</w:t>
            </w:r>
          </w:p>
        </w:tc>
        <w:tc>
          <w:tcPr>
            <w:tcW w:w="603"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1.16</w:t>
            </w:r>
          </w:p>
        </w:tc>
        <w:tc>
          <w:tcPr>
            <w:tcW w:w="650" w:type="dxa"/>
            <w:tcBorders>
              <w:bottom w:val="single" w:sz="8" w:space="0" w:color="1F497D" w:themeColor="text2"/>
            </w:tcBorders>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-0.97</w:t>
            </w:r>
          </w:p>
        </w:tc>
        <w:tc>
          <w:tcPr>
            <w:tcW w:w="650"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1.25</w:t>
            </w:r>
          </w:p>
        </w:tc>
        <w:tc>
          <w:tcPr>
            <w:tcW w:w="63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1.24</w:t>
            </w:r>
          </w:p>
        </w:tc>
        <w:tc>
          <w:tcPr>
            <w:tcW w:w="668" w:type="dxa"/>
            <w:tcBorders>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-0.75</w:t>
            </w:r>
          </w:p>
        </w:tc>
        <w:tc>
          <w:tcPr>
            <w:tcW w:w="643" w:type="dxa"/>
            <w:tcBorders>
              <w:bottom w:val="single" w:sz="8" w:space="0" w:color="1F497D" w:themeColor="text2"/>
              <w:right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-0.71</w:t>
            </w:r>
          </w:p>
        </w:tc>
        <w:tc>
          <w:tcPr>
            <w:tcW w:w="836" w:type="dxa"/>
            <w:tcBorders>
              <w:left w:val="single" w:sz="8" w:space="0" w:color="1F497D" w:themeColor="text2"/>
              <w:bottom w:val="single" w:sz="8" w:space="0" w:color="1F497D" w:themeColor="text2"/>
            </w:tcBorders>
            <w:shd w:val="clear" w:color="auto" w:fill="auto"/>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-1.09</w:t>
            </w:r>
          </w:p>
        </w:tc>
        <w:tc>
          <w:tcPr>
            <w:tcW w:w="836" w:type="dxa"/>
            <w:tcBorders>
              <w:bottom w:val="single" w:sz="8" w:space="0" w:color="1F497D" w:themeColor="text2"/>
            </w:tcBorders>
            <w:shd w:val="clear" w:color="auto" w:fill="DBE5F1" w:themeFill="accent1" w:themeFillTint="33"/>
            <w:vAlign w:val="center"/>
          </w:tcPr>
          <w:p w:rsidR="00210DB3" w:rsidRPr="00E903B5" w:rsidRDefault="00210DB3" w:rsidP="00DB3994">
            <w:pPr>
              <w:pStyle w:val="Intro"/>
              <w:spacing w:before="120"/>
              <w:jc w:val="right"/>
              <w:rPr>
                <w:b w:val="0"/>
                <w:sz w:val="14"/>
                <w:szCs w:val="14"/>
                <w:lang w:val="en-GB"/>
              </w:rPr>
            </w:pPr>
            <w:r w:rsidRPr="00E903B5">
              <w:rPr>
                <w:b w:val="0"/>
                <w:sz w:val="14"/>
                <w:szCs w:val="14"/>
              </w:rPr>
              <w:t>1.03</w:t>
            </w:r>
          </w:p>
        </w:tc>
      </w:tr>
    </w:tbl>
    <w:p w:rsidR="00210DB3" w:rsidRDefault="00210DB3" w:rsidP="00136A6C">
      <w:pPr>
        <w:autoSpaceDE w:val="0"/>
        <w:autoSpaceDN w:val="0"/>
        <w:adjustRightInd w:val="0"/>
        <w:spacing w:afterLines="60" w:after="144" w:line="240" w:lineRule="auto"/>
        <w:ind w:left="992" w:right="6"/>
        <w:jc w:val="both"/>
        <w:rPr>
          <w:rFonts w:cs="Arial"/>
          <w:bCs/>
          <w:color w:val="003768"/>
          <w:sz w:val="20"/>
          <w:szCs w:val="20"/>
          <w:lang w:val="nl-BE"/>
        </w:rPr>
      </w:pPr>
    </w:p>
    <w:p w:rsidR="00210DB3" w:rsidRDefault="00210DB3">
      <w:pPr>
        <w:spacing w:after="0" w:line="240" w:lineRule="auto"/>
        <w:rPr>
          <w:rFonts w:cs="Arial"/>
          <w:bCs/>
          <w:color w:val="003768"/>
          <w:sz w:val="20"/>
          <w:szCs w:val="20"/>
          <w:lang w:val="nl-BE"/>
        </w:rPr>
      </w:pPr>
      <w:r>
        <w:rPr>
          <w:rFonts w:cs="Arial"/>
          <w:bCs/>
          <w:color w:val="003768"/>
          <w:sz w:val="20"/>
          <w:szCs w:val="20"/>
          <w:lang w:val="nl-BE"/>
        </w:rPr>
        <w:br w:type="page"/>
      </w:r>
    </w:p>
    <w:p w:rsidR="00210DB3" w:rsidRDefault="00210DB3" w:rsidP="00210DB3">
      <w:pPr>
        <w:autoSpaceDE w:val="0"/>
        <w:autoSpaceDN w:val="0"/>
        <w:adjustRightInd w:val="0"/>
        <w:spacing w:after="120" w:line="240" w:lineRule="auto"/>
        <w:ind w:left="992" w:right="6"/>
        <w:jc w:val="both"/>
        <w:rPr>
          <w:rFonts w:cs="Arial"/>
          <w:bCs/>
          <w:color w:val="003768"/>
          <w:sz w:val="20"/>
          <w:szCs w:val="20"/>
          <w:lang w:val="nl-BE"/>
        </w:rPr>
      </w:pPr>
      <w:r>
        <w:rPr>
          <w:rFonts w:cs="Arial"/>
          <w:bCs/>
          <w:noProof/>
          <w:color w:val="003768"/>
          <w:sz w:val="20"/>
          <w:szCs w:val="20"/>
          <w:lang w:val="nl-BE" w:eastAsia="nl-BE"/>
        </w:rPr>
        <w:lastRenderedPageBreak/>
        <w:drawing>
          <wp:inline distT="0" distB="0" distL="0" distR="0" wp14:anchorId="16982EB6">
            <wp:extent cx="6456045" cy="414655"/>
            <wp:effectExtent l="0" t="0" r="190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6045" cy="414655"/>
                    </a:xfrm>
                    <a:prstGeom prst="rect">
                      <a:avLst/>
                    </a:prstGeom>
                    <a:noFill/>
                  </pic:spPr>
                </pic:pic>
              </a:graphicData>
            </a:graphic>
          </wp:inline>
        </w:drawing>
      </w:r>
    </w:p>
    <w:p w:rsidR="00210DB3" w:rsidRPr="00BE652F" w:rsidRDefault="00210DB3" w:rsidP="00CD63AD">
      <w:pPr>
        <w:autoSpaceDE w:val="0"/>
        <w:autoSpaceDN w:val="0"/>
        <w:adjustRightInd w:val="0"/>
        <w:spacing w:after="120" w:line="240" w:lineRule="auto"/>
        <w:ind w:left="992" w:right="6"/>
        <w:jc w:val="both"/>
        <w:rPr>
          <w:lang w:val="nl-BE"/>
        </w:rPr>
      </w:pPr>
      <w:r w:rsidRPr="00210DB3">
        <w:rPr>
          <w:rFonts w:cs="Arial"/>
          <w:bCs/>
          <w:color w:val="003768"/>
          <w:sz w:val="20"/>
          <w:szCs w:val="20"/>
          <w:lang w:val="nl-BE"/>
        </w:rPr>
        <w:t xml:space="preserve">Naast de cijfers volgens IFRS (vorige deel) geeft KBC ook cijfers die meer inzicht verschaffen in de bedrijfsresultaten. Daarom is in het onderstaande overzicht de invloed van de </w:t>
      </w:r>
      <w:proofErr w:type="spellStart"/>
      <w:r w:rsidRPr="00210DB3">
        <w:rPr>
          <w:rFonts w:cs="Arial"/>
          <w:bCs/>
          <w:color w:val="003768"/>
          <w:sz w:val="20"/>
          <w:szCs w:val="20"/>
          <w:lang w:val="nl-BE"/>
        </w:rPr>
        <w:t>legacy</w:t>
      </w:r>
      <w:proofErr w:type="spellEnd"/>
      <w:r w:rsidRPr="00210DB3">
        <w:rPr>
          <w:rFonts w:cs="Arial"/>
          <w:bCs/>
          <w:color w:val="003768"/>
          <w:sz w:val="20"/>
          <w:szCs w:val="20"/>
          <w:lang w:val="nl-BE"/>
        </w:rPr>
        <w:t xml:space="preserve">-activiteiten (overblijvende desinvesteringen, </w:t>
      </w:r>
      <w:proofErr w:type="spellStart"/>
      <w:r w:rsidRPr="00210DB3">
        <w:rPr>
          <w:rFonts w:cs="Arial"/>
          <w:bCs/>
          <w:color w:val="003768"/>
          <w:sz w:val="20"/>
          <w:szCs w:val="20"/>
          <w:lang w:val="nl-BE"/>
        </w:rPr>
        <w:t>CDO’s</w:t>
      </w:r>
      <w:proofErr w:type="spellEnd"/>
      <w:r w:rsidRPr="00210DB3">
        <w:rPr>
          <w:rFonts w:cs="Arial"/>
          <w:bCs/>
          <w:color w:val="003768"/>
          <w:sz w:val="20"/>
          <w:szCs w:val="20"/>
          <w:lang w:val="nl-BE"/>
        </w:rPr>
        <w:t xml:space="preserve">) en van de waardering van het eigen kredietrisico niet opgenomen in de winst-en-verliesrekening maar samengevat in drie lijnen onderaan het overzicht (in de gesegmenteerde informatie zijn die elementen allemaal opgenomen onder Groepscenter). Bovendien is voor de divisie België een andere boekhoudkundige verwerking van kapitaalmarktinkomsten toegepast (alle </w:t>
      </w:r>
      <w:proofErr w:type="spellStart"/>
      <w:r w:rsidRPr="00210DB3">
        <w:rPr>
          <w:rFonts w:cs="Arial"/>
          <w:bCs/>
          <w:color w:val="003768"/>
          <w:sz w:val="20"/>
          <w:szCs w:val="20"/>
          <w:lang w:val="nl-BE"/>
        </w:rPr>
        <w:t>tradingresultaten</w:t>
      </w:r>
      <w:proofErr w:type="spellEnd"/>
      <w:r w:rsidRPr="00210DB3">
        <w:rPr>
          <w:rFonts w:cs="Arial"/>
          <w:bCs/>
          <w:color w:val="003768"/>
          <w:sz w:val="20"/>
          <w:szCs w:val="20"/>
          <w:lang w:val="nl-BE"/>
        </w:rPr>
        <w:t xml:space="preserve"> zijn verplaatst naar de post Nettoresultaat uit financiële instrumenten tegen reële waarde). In het deel Geconsolideerde financiële staten van het kwartaalverslag, onder Toelichtingen bij de segmentinformatie, vindt u een volledige verklaring van de verschillen tussen de resultaten volgen</w:t>
      </w:r>
      <w:r w:rsidR="00BE652F">
        <w:rPr>
          <w:rFonts w:cs="Arial"/>
          <w:bCs/>
          <w:color w:val="003768"/>
          <w:sz w:val="20"/>
          <w:szCs w:val="20"/>
          <w:lang w:val="nl-BE"/>
        </w:rPr>
        <w:t>s IFRS en de aangepaste cijfers.</w:t>
      </w:r>
    </w:p>
    <w:tbl>
      <w:tblPr>
        <w:tblW w:w="10451" w:type="dxa"/>
        <w:tblInd w:w="945" w:type="dxa"/>
        <w:tblLook w:val="01E0" w:firstRow="1" w:lastRow="1" w:firstColumn="1" w:lastColumn="1" w:noHBand="0" w:noVBand="0"/>
      </w:tblPr>
      <w:tblGrid>
        <w:gridCol w:w="3158"/>
        <w:gridCol w:w="753"/>
        <w:gridCol w:w="684"/>
        <w:gridCol w:w="754"/>
        <w:gridCol w:w="694"/>
        <w:gridCol w:w="754"/>
        <w:gridCol w:w="754"/>
        <w:gridCol w:w="754"/>
        <w:gridCol w:w="13"/>
        <w:gridCol w:w="535"/>
        <w:gridCol w:w="24"/>
        <w:gridCol w:w="769"/>
        <w:gridCol w:w="805"/>
      </w:tblGrid>
      <w:tr w:rsidR="00CD63AD" w:rsidRPr="00CD63AD" w:rsidTr="00CD63AD">
        <w:trPr>
          <w:trHeight w:val="307"/>
        </w:trPr>
        <w:tc>
          <w:tcPr>
            <w:tcW w:w="3161" w:type="dxa"/>
            <w:tcBorders>
              <w:bottom w:val="single" w:sz="24" w:space="0" w:color="FFFFFF" w:themeColor="background1"/>
              <w:right w:val="single" w:sz="8" w:space="0" w:color="FFFFFF" w:themeColor="background1"/>
            </w:tcBorders>
            <w:shd w:val="clear" w:color="auto" w:fill="365F91" w:themeFill="accent1" w:themeFillShade="BF"/>
            <w:vAlign w:val="center"/>
          </w:tcPr>
          <w:p w:rsidR="00CD63AD" w:rsidRPr="00CD63AD" w:rsidRDefault="00CD63AD" w:rsidP="00CD63AD">
            <w:pPr>
              <w:spacing w:after="0" w:line="240" w:lineRule="auto"/>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Geconsolideerde resultaten van de KBC-groep (in miljoenen euro)</w:t>
            </w:r>
          </w:p>
        </w:tc>
        <w:tc>
          <w:tcPr>
            <w:tcW w:w="754" w:type="dxa"/>
            <w:tcBorders>
              <w:left w:val="single" w:sz="8" w:space="0" w:color="FFFFFF" w:themeColor="background1"/>
              <w:bottom w:val="single" w:sz="24" w:space="0" w:color="FFFFFF" w:themeColor="background1"/>
            </w:tcBorders>
            <w:shd w:val="clear" w:color="auto" w:fill="365F91" w:themeFill="accent1" w:themeFillShade="BF"/>
            <w:vAlign w:val="bottom"/>
          </w:tcPr>
          <w:p w:rsidR="00CD63AD" w:rsidRPr="00CD63AD" w:rsidRDefault="00CD63AD" w:rsidP="00BE652F">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1</w:t>
            </w:r>
            <w:r w:rsidR="00BE652F">
              <w:rPr>
                <w:rFonts w:ascii="Arial" w:eastAsia="Times New Roman" w:hAnsi="Arial"/>
                <w:bCs/>
                <w:snapToGrid w:val="0"/>
                <w:color w:val="FFFFFF" w:themeColor="background1"/>
                <w:sz w:val="14"/>
                <w:szCs w:val="14"/>
                <w:lang w:val="nl-NL"/>
              </w:rPr>
              <w:t>KW</w:t>
            </w:r>
            <w:r w:rsidRPr="00CD63AD">
              <w:rPr>
                <w:rFonts w:ascii="Arial" w:eastAsia="Times New Roman" w:hAnsi="Arial"/>
                <w:bCs/>
                <w:snapToGrid w:val="0"/>
                <w:color w:val="FFFFFF" w:themeColor="background1"/>
                <w:sz w:val="14"/>
                <w:szCs w:val="14"/>
                <w:lang w:val="nl-NL"/>
              </w:rPr>
              <w:br/>
              <w:t>2012</w:t>
            </w:r>
          </w:p>
        </w:tc>
        <w:tc>
          <w:tcPr>
            <w:tcW w:w="685" w:type="dxa"/>
            <w:tcBorders>
              <w:bottom w:val="single" w:sz="24" w:space="0" w:color="FFFFFF" w:themeColor="background1"/>
            </w:tcBorders>
            <w:shd w:val="clear" w:color="auto" w:fill="365F91" w:themeFill="accent1" w:themeFillShade="BF"/>
            <w:vAlign w:val="bottom"/>
          </w:tcPr>
          <w:p w:rsidR="00CD63AD" w:rsidRPr="00CD63AD" w:rsidRDefault="00BE652F" w:rsidP="00CD63AD">
            <w:pPr>
              <w:spacing w:after="0" w:line="240" w:lineRule="auto"/>
              <w:jc w:val="right"/>
              <w:rPr>
                <w:rFonts w:ascii="Arial" w:eastAsia="Times New Roman" w:hAnsi="Arial"/>
                <w:bCs/>
                <w:snapToGrid w:val="0"/>
                <w:color w:val="FFFFFF" w:themeColor="background1"/>
                <w:sz w:val="14"/>
                <w:szCs w:val="14"/>
                <w:lang w:val="nl-BE"/>
              </w:rPr>
            </w:pPr>
            <w:r>
              <w:rPr>
                <w:rFonts w:ascii="Arial" w:eastAsia="Times New Roman" w:hAnsi="Arial"/>
                <w:bCs/>
                <w:snapToGrid w:val="0"/>
                <w:color w:val="FFFFFF" w:themeColor="background1"/>
                <w:sz w:val="14"/>
                <w:szCs w:val="14"/>
                <w:lang w:val="nl-NL"/>
              </w:rPr>
              <w:t>2KW</w:t>
            </w:r>
            <w:r w:rsidR="00CD63AD" w:rsidRPr="00CD63AD">
              <w:rPr>
                <w:rFonts w:ascii="Arial" w:eastAsia="Times New Roman" w:hAnsi="Arial"/>
                <w:bCs/>
                <w:snapToGrid w:val="0"/>
                <w:color w:val="FFFFFF" w:themeColor="background1"/>
                <w:sz w:val="14"/>
                <w:szCs w:val="14"/>
                <w:lang w:val="nl-NL"/>
              </w:rPr>
              <w:br/>
            </w:r>
            <w:r w:rsidR="00CD63AD" w:rsidRPr="00CD63AD">
              <w:rPr>
                <w:rFonts w:ascii="Arial" w:eastAsia="Times New Roman" w:hAnsi="Arial"/>
                <w:bCs/>
                <w:snapToGrid w:val="0"/>
                <w:color w:val="FFFFFF" w:themeColor="background1"/>
                <w:sz w:val="14"/>
                <w:szCs w:val="14"/>
                <w:lang w:val="nl-BE"/>
              </w:rPr>
              <w:t>2012</w:t>
            </w:r>
          </w:p>
        </w:tc>
        <w:tc>
          <w:tcPr>
            <w:tcW w:w="754" w:type="dxa"/>
            <w:tcBorders>
              <w:bottom w:val="single" w:sz="24" w:space="0" w:color="FFFFFF" w:themeColor="background1"/>
            </w:tcBorders>
            <w:shd w:val="clear" w:color="auto" w:fill="365F91" w:themeFill="accent1" w:themeFillShade="BF"/>
            <w:vAlign w:val="bottom"/>
          </w:tcPr>
          <w:p w:rsidR="00CD63AD" w:rsidRPr="00CD63AD" w:rsidRDefault="00BE652F" w:rsidP="00CD63AD">
            <w:pPr>
              <w:spacing w:after="0" w:line="240" w:lineRule="auto"/>
              <w:jc w:val="right"/>
              <w:rPr>
                <w:rFonts w:ascii="Arial" w:eastAsia="Times New Roman" w:hAnsi="Arial"/>
                <w:bCs/>
                <w:snapToGrid w:val="0"/>
                <w:color w:val="FFFFFF" w:themeColor="background1"/>
                <w:sz w:val="14"/>
                <w:szCs w:val="14"/>
                <w:lang w:val="nl-BE"/>
              </w:rPr>
            </w:pPr>
            <w:r>
              <w:rPr>
                <w:rFonts w:ascii="Arial" w:eastAsia="Times New Roman" w:hAnsi="Arial"/>
                <w:bCs/>
                <w:snapToGrid w:val="0"/>
                <w:color w:val="FFFFFF" w:themeColor="background1"/>
                <w:sz w:val="14"/>
                <w:szCs w:val="14"/>
                <w:lang w:val="nl-NL"/>
              </w:rPr>
              <w:t>3KW</w:t>
            </w:r>
            <w:r w:rsidR="00CD63AD" w:rsidRPr="00CD63AD">
              <w:rPr>
                <w:rFonts w:ascii="Arial" w:eastAsia="Times New Roman" w:hAnsi="Arial"/>
                <w:bCs/>
                <w:snapToGrid w:val="0"/>
                <w:color w:val="FFFFFF" w:themeColor="background1"/>
                <w:sz w:val="14"/>
                <w:szCs w:val="14"/>
                <w:lang w:val="nl-NL"/>
              </w:rPr>
              <w:br/>
              <w:t>2012</w:t>
            </w:r>
          </w:p>
        </w:tc>
        <w:tc>
          <w:tcPr>
            <w:tcW w:w="694" w:type="dxa"/>
            <w:tcBorders>
              <w:bottom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4</w:t>
            </w:r>
            <w:r w:rsidR="00BE652F">
              <w:rPr>
                <w:rFonts w:ascii="Arial" w:eastAsia="Times New Roman" w:hAnsi="Arial"/>
                <w:bCs/>
                <w:snapToGrid w:val="0"/>
                <w:color w:val="FFFFFF" w:themeColor="background1"/>
                <w:sz w:val="14"/>
                <w:szCs w:val="14"/>
                <w:lang w:val="nl-NL"/>
              </w:rPr>
              <w:t>KW</w:t>
            </w:r>
          </w:p>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2012</w:t>
            </w:r>
          </w:p>
        </w:tc>
        <w:tc>
          <w:tcPr>
            <w:tcW w:w="754" w:type="dxa"/>
            <w:tcBorders>
              <w:bottom w:val="single" w:sz="24" w:space="0" w:color="FFFFFF" w:themeColor="background1"/>
            </w:tcBorders>
            <w:shd w:val="clear" w:color="auto" w:fill="365F91" w:themeFill="accent1" w:themeFillShade="BF"/>
            <w:vAlign w:val="bottom"/>
          </w:tcPr>
          <w:p w:rsidR="00CD63AD" w:rsidRPr="00CD63AD" w:rsidRDefault="00CD63AD" w:rsidP="00BE652F">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1</w:t>
            </w:r>
            <w:r w:rsidR="00BE652F">
              <w:rPr>
                <w:rFonts w:ascii="Arial" w:eastAsia="Times New Roman" w:hAnsi="Arial"/>
                <w:bCs/>
                <w:snapToGrid w:val="0"/>
                <w:color w:val="FFFFFF" w:themeColor="background1"/>
                <w:sz w:val="14"/>
                <w:szCs w:val="14"/>
                <w:lang w:val="nl-NL"/>
              </w:rPr>
              <w:t>KW</w:t>
            </w:r>
            <w:r w:rsidRPr="00CD63AD">
              <w:rPr>
                <w:rFonts w:ascii="Arial" w:eastAsia="Times New Roman" w:hAnsi="Arial"/>
                <w:bCs/>
                <w:snapToGrid w:val="0"/>
                <w:color w:val="FFFFFF" w:themeColor="background1"/>
                <w:sz w:val="14"/>
                <w:szCs w:val="14"/>
                <w:lang w:val="nl-NL"/>
              </w:rPr>
              <w:br/>
              <w:t>2013</w:t>
            </w:r>
          </w:p>
        </w:tc>
        <w:tc>
          <w:tcPr>
            <w:tcW w:w="754" w:type="dxa"/>
            <w:tcBorders>
              <w:bottom w:val="single" w:sz="24" w:space="0" w:color="FFFFFF" w:themeColor="background1"/>
            </w:tcBorders>
            <w:shd w:val="clear" w:color="auto" w:fill="365F91" w:themeFill="accent1" w:themeFillShade="BF"/>
            <w:vAlign w:val="bottom"/>
          </w:tcPr>
          <w:p w:rsidR="00CD63AD" w:rsidRPr="00CD63AD" w:rsidRDefault="00CD63AD" w:rsidP="00BE652F">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2</w:t>
            </w:r>
            <w:r w:rsidR="00BE652F">
              <w:rPr>
                <w:rFonts w:ascii="Arial" w:eastAsia="Times New Roman" w:hAnsi="Arial"/>
                <w:bCs/>
                <w:snapToGrid w:val="0"/>
                <w:color w:val="FFFFFF" w:themeColor="background1"/>
                <w:sz w:val="14"/>
                <w:szCs w:val="14"/>
                <w:lang w:val="nl-NL"/>
              </w:rPr>
              <w:t>KW</w:t>
            </w:r>
            <w:r w:rsidRPr="00CD63AD">
              <w:rPr>
                <w:rFonts w:ascii="Arial" w:eastAsia="Times New Roman" w:hAnsi="Arial"/>
                <w:bCs/>
                <w:snapToGrid w:val="0"/>
                <w:color w:val="FFFFFF" w:themeColor="background1"/>
                <w:sz w:val="14"/>
                <w:szCs w:val="14"/>
                <w:lang w:val="nl-NL"/>
              </w:rPr>
              <w:br/>
              <w:t>2013</w:t>
            </w:r>
          </w:p>
        </w:tc>
        <w:tc>
          <w:tcPr>
            <w:tcW w:w="754" w:type="dxa"/>
            <w:tcBorders>
              <w:bottom w:val="single" w:sz="24" w:space="0" w:color="FFFFFF" w:themeColor="background1"/>
            </w:tcBorders>
            <w:shd w:val="clear" w:color="auto" w:fill="365F91" w:themeFill="accent1" w:themeFillShade="BF"/>
            <w:vAlign w:val="bottom"/>
          </w:tcPr>
          <w:p w:rsidR="00CD63AD" w:rsidRPr="00CD63AD" w:rsidRDefault="00BE652F" w:rsidP="00CD63AD">
            <w:pPr>
              <w:spacing w:after="0" w:line="240" w:lineRule="auto"/>
              <w:jc w:val="right"/>
              <w:rPr>
                <w:rFonts w:ascii="Arial" w:eastAsia="Times New Roman" w:hAnsi="Arial"/>
                <w:bCs/>
                <w:snapToGrid w:val="0"/>
                <w:color w:val="FFFFFF" w:themeColor="background1"/>
                <w:sz w:val="14"/>
                <w:szCs w:val="14"/>
                <w:lang w:val="nl-BE"/>
              </w:rPr>
            </w:pPr>
            <w:r>
              <w:rPr>
                <w:rFonts w:ascii="Arial" w:eastAsia="Times New Roman" w:hAnsi="Arial"/>
                <w:bCs/>
                <w:snapToGrid w:val="0"/>
                <w:color w:val="FFFFFF" w:themeColor="background1"/>
                <w:sz w:val="14"/>
                <w:szCs w:val="14"/>
                <w:lang w:val="nl-NL"/>
              </w:rPr>
              <w:t>3KW</w:t>
            </w:r>
            <w:r w:rsidR="00CD63AD" w:rsidRPr="00CD63AD">
              <w:rPr>
                <w:rFonts w:ascii="Arial" w:eastAsia="Times New Roman" w:hAnsi="Arial"/>
                <w:bCs/>
                <w:snapToGrid w:val="0"/>
                <w:color w:val="FFFFFF" w:themeColor="background1"/>
                <w:sz w:val="14"/>
                <w:szCs w:val="14"/>
                <w:lang w:val="nl-NL"/>
              </w:rPr>
              <w:br/>
              <w:t>2013</w:t>
            </w:r>
          </w:p>
        </w:tc>
        <w:tc>
          <w:tcPr>
            <w:tcW w:w="572" w:type="dxa"/>
            <w:gridSpan w:val="3"/>
            <w:tcBorders>
              <w:bottom w:val="single" w:sz="24" w:space="0" w:color="FFFFFF" w:themeColor="background1"/>
              <w:right w:val="single" w:sz="8" w:space="0" w:color="FFFFFF" w:themeColor="background1"/>
            </w:tcBorders>
            <w:shd w:val="clear" w:color="auto" w:fill="365F91" w:themeFill="accent1" w:themeFillShade="BF"/>
            <w:vAlign w:val="bottom"/>
          </w:tcPr>
          <w:p w:rsidR="00CD63AD" w:rsidRPr="00CD63AD" w:rsidRDefault="00BE652F" w:rsidP="00CD63AD">
            <w:pPr>
              <w:spacing w:after="0" w:line="240" w:lineRule="auto"/>
              <w:jc w:val="right"/>
              <w:rPr>
                <w:rFonts w:ascii="Arial" w:eastAsia="Times New Roman" w:hAnsi="Arial"/>
                <w:bCs/>
                <w:snapToGrid w:val="0"/>
                <w:color w:val="FFFFFF" w:themeColor="background1"/>
                <w:sz w:val="14"/>
                <w:szCs w:val="14"/>
                <w:lang w:val="nl-BE"/>
              </w:rPr>
            </w:pPr>
            <w:r>
              <w:rPr>
                <w:rFonts w:ascii="Arial" w:eastAsia="Times New Roman" w:hAnsi="Arial"/>
                <w:bCs/>
                <w:snapToGrid w:val="0"/>
                <w:color w:val="FFFFFF" w:themeColor="background1"/>
                <w:sz w:val="14"/>
                <w:szCs w:val="14"/>
                <w:lang w:val="nl-NL"/>
              </w:rPr>
              <w:t>4KW</w:t>
            </w:r>
          </w:p>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2013</w:t>
            </w:r>
          </w:p>
        </w:tc>
        <w:tc>
          <w:tcPr>
            <w:tcW w:w="764" w:type="dxa"/>
            <w:tcBorders>
              <w:left w:val="single" w:sz="8" w:space="0" w:color="FFFFFF" w:themeColor="background1"/>
              <w:bottom w:val="single" w:sz="24" w:space="0" w:color="FFFFFF" w:themeColor="background1"/>
            </w:tcBorders>
            <w:shd w:val="clear" w:color="auto" w:fill="365F91" w:themeFill="accent1" w:themeFillShade="BF"/>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Boekjaar</w:t>
            </w:r>
            <w:r w:rsidRPr="00CD63AD">
              <w:rPr>
                <w:rFonts w:ascii="Arial" w:eastAsia="Times New Roman" w:hAnsi="Arial"/>
                <w:bCs/>
                <w:snapToGrid w:val="0"/>
                <w:color w:val="FFFFFF" w:themeColor="background1"/>
                <w:sz w:val="14"/>
                <w:szCs w:val="14"/>
                <w:lang w:val="nl-NL"/>
              </w:rPr>
              <w:br/>
              <w:t xml:space="preserve"> 2012</w:t>
            </w:r>
          </w:p>
        </w:tc>
        <w:tc>
          <w:tcPr>
            <w:tcW w:w="805" w:type="dxa"/>
            <w:tcBorders>
              <w:bottom w:val="single" w:sz="24" w:space="0" w:color="FFFFFF" w:themeColor="background1"/>
            </w:tcBorders>
            <w:shd w:val="clear" w:color="auto" w:fill="365F91" w:themeFill="accent1" w:themeFillShade="BF"/>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Boekjaar</w:t>
            </w:r>
          </w:p>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2013</w:t>
            </w:r>
          </w:p>
        </w:tc>
      </w:tr>
      <w:tr w:rsidR="00CD63AD" w:rsidRPr="00F76249" w:rsidTr="00CD63AD">
        <w:trPr>
          <w:trHeight w:val="278"/>
        </w:trPr>
        <w:tc>
          <w:tcPr>
            <w:tcW w:w="3161" w:type="dxa"/>
            <w:tcBorders>
              <w:top w:val="single" w:sz="24" w:space="0" w:color="FFFFFF" w:themeColor="background1"/>
              <w:right w:val="single" w:sz="8" w:space="0" w:color="FFFFFF" w:themeColor="background1"/>
            </w:tcBorders>
            <w:shd w:val="clear" w:color="auto" w:fill="365F91" w:themeFill="accent1" w:themeFillShade="BF"/>
            <w:vAlign w:val="center"/>
          </w:tcPr>
          <w:p w:rsidR="00CD63AD" w:rsidRPr="00CD63AD" w:rsidRDefault="00CD63AD" w:rsidP="00CD63AD">
            <w:pPr>
              <w:spacing w:after="0" w:line="240" w:lineRule="auto"/>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 xml:space="preserve">Aangepast nettoresultaat  (d.w.z. exclusief </w:t>
            </w:r>
            <w:proofErr w:type="spellStart"/>
            <w:r w:rsidRPr="00CD63AD">
              <w:rPr>
                <w:rFonts w:ascii="Arial" w:eastAsia="Times New Roman" w:hAnsi="Arial"/>
                <w:bCs/>
                <w:snapToGrid w:val="0"/>
                <w:color w:val="FFFFFF" w:themeColor="background1"/>
                <w:sz w:val="14"/>
                <w:szCs w:val="14"/>
                <w:lang w:val="nl-NL"/>
              </w:rPr>
              <w:t>legacy</w:t>
            </w:r>
            <w:proofErr w:type="spellEnd"/>
            <w:r w:rsidRPr="00CD63AD">
              <w:rPr>
                <w:rFonts w:ascii="Arial" w:eastAsia="Times New Roman" w:hAnsi="Arial"/>
                <w:bCs/>
                <w:snapToGrid w:val="0"/>
                <w:color w:val="FFFFFF" w:themeColor="background1"/>
                <w:sz w:val="14"/>
                <w:szCs w:val="14"/>
                <w:lang w:val="nl-NL"/>
              </w:rPr>
              <w:t>-activiteiten en eigen kredietrisico)</w:t>
            </w:r>
            <w:r w:rsidRPr="00CD63AD">
              <w:rPr>
                <w:rFonts w:ascii="Arial" w:eastAsia="Times New Roman" w:hAnsi="Arial"/>
                <w:bCs/>
                <w:snapToGrid w:val="0"/>
                <w:color w:val="FFFFFF" w:themeColor="background1"/>
                <w:sz w:val="14"/>
                <w:szCs w:val="14"/>
                <w:lang w:val="nl-NL"/>
              </w:rPr>
              <w:br/>
            </w:r>
          </w:p>
        </w:tc>
        <w:tc>
          <w:tcPr>
            <w:tcW w:w="754" w:type="dxa"/>
            <w:tcBorders>
              <w:top w:val="single" w:sz="24" w:space="0" w:color="FFFFFF" w:themeColor="background1"/>
              <w:lef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685"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754"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694"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754"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754"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754" w:type="dxa"/>
            <w:tcBorders>
              <w:top w:val="single" w:sz="24"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572" w:type="dxa"/>
            <w:gridSpan w:val="3"/>
            <w:tcBorders>
              <w:top w:val="single" w:sz="24" w:space="0" w:color="FFFFFF" w:themeColor="background1"/>
              <w:righ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764" w:type="dxa"/>
            <w:tcBorders>
              <w:top w:val="single" w:sz="24" w:space="0" w:color="FFFFFF" w:themeColor="background1"/>
              <w:left w:val="single" w:sz="8" w:space="0" w:color="FFFFFF" w:themeColor="background1"/>
            </w:tcBorders>
            <w:shd w:val="clear" w:color="auto" w:fill="365F91" w:themeFill="accent1" w:themeFillShade="BF"/>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c>
          <w:tcPr>
            <w:tcW w:w="805" w:type="dxa"/>
            <w:tcBorders>
              <w:top w:val="single" w:sz="24" w:space="0" w:color="FFFFFF" w:themeColor="background1"/>
            </w:tcBorders>
            <w:shd w:val="clear" w:color="auto" w:fill="365F91" w:themeFill="accent1" w:themeFillShade="BF"/>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nl-BE"/>
              </w:rPr>
            </w:pP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proofErr w:type="spellStart"/>
            <w:r w:rsidRPr="00CD63AD">
              <w:rPr>
                <w:rFonts w:ascii="Arial" w:eastAsia="Times New Roman" w:hAnsi="Arial"/>
                <w:bCs/>
                <w:snapToGrid w:val="0"/>
                <w:sz w:val="14"/>
                <w:szCs w:val="14"/>
                <w:lang w:val="nl-NL"/>
              </w:rPr>
              <w:t>Nettorente</w:t>
            </w:r>
            <w:proofErr w:type="spellEnd"/>
            <w:r w:rsidRPr="00CD63AD">
              <w:rPr>
                <w:rFonts w:ascii="Arial" w:eastAsia="Times New Roman" w:hAnsi="Arial"/>
                <w:bCs/>
                <w:snapToGrid w:val="0"/>
                <w:sz w:val="14"/>
                <w:szCs w:val="14"/>
                <w:lang w:val="nl-NL"/>
              </w:rPr>
              <w:t>-inkomsten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1 217</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1 153</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1 078</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1 084</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1 032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990</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1 013</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1 009</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4 532</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4 044</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cs="Arial"/>
                <w:sz w:val="14"/>
                <w:szCs w:val="14"/>
                <w:lang w:val="nl-BE"/>
              </w:rPr>
            </w:pPr>
            <w:r w:rsidRPr="00CD63AD">
              <w:rPr>
                <w:rFonts w:ascii="Arial" w:eastAsia="Times New Roman" w:hAnsi="Arial" w:cs="Arial"/>
                <w:sz w:val="14"/>
                <w:szCs w:val="14"/>
                <w:lang w:val="nl-BE"/>
              </w:rPr>
              <w:t>Verzekeringen Niet-leven (vóór herverzekering)</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204</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200</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157</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61</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149</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145</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127</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622</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536</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ind w:firstLineChars="400" w:firstLine="560"/>
              <w:rPr>
                <w:rFonts w:ascii="Arial" w:eastAsia="Times New Roman" w:hAnsi="Arial" w:cs="Arial"/>
                <w:i/>
                <w:iCs/>
                <w:color w:val="404040" w:themeColor="text1" w:themeTint="BF"/>
                <w:sz w:val="14"/>
                <w:szCs w:val="14"/>
                <w:lang w:val="en-GB"/>
              </w:rPr>
            </w:pPr>
            <w:proofErr w:type="spellStart"/>
            <w:r w:rsidRPr="00CD63AD">
              <w:rPr>
                <w:rFonts w:ascii="Arial" w:eastAsia="Times New Roman" w:hAnsi="Arial" w:cs="Arial"/>
                <w:i/>
                <w:iCs/>
                <w:sz w:val="14"/>
                <w:szCs w:val="14"/>
                <w:lang w:val="en-GB"/>
              </w:rPr>
              <w:t>Verdiende</w:t>
            </w:r>
            <w:proofErr w:type="spellEnd"/>
            <w:r w:rsidRPr="00CD63AD">
              <w:rPr>
                <w:rFonts w:ascii="Arial" w:eastAsia="Times New Roman" w:hAnsi="Arial" w:cs="Arial"/>
                <w:i/>
                <w:iCs/>
                <w:sz w:val="14"/>
                <w:szCs w:val="14"/>
                <w:lang w:val="en-GB"/>
              </w:rPr>
              <w:t xml:space="preserve"> </w:t>
            </w:r>
            <w:proofErr w:type="spellStart"/>
            <w:r w:rsidRPr="00CD63AD">
              <w:rPr>
                <w:rFonts w:ascii="Arial" w:eastAsia="Times New Roman" w:hAnsi="Arial" w:cs="Arial"/>
                <w:i/>
                <w:iCs/>
                <w:sz w:val="14"/>
                <w:szCs w:val="14"/>
                <w:lang w:val="en-GB"/>
              </w:rPr>
              <w:t>premies</w:t>
            </w:r>
            <w:proofErr w:type="spellEnd"/>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438</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442</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307</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321</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317</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1 500</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1 259</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ind w:firstLineChars="400" w:firstLine="560"/>
              <w:rPr>
                <w:rFonts w:ascii="Arial" w:eastAsia="Times New Roman" w:hAnsi="Arial" w:cs="Arial"/>
                <w:i/>
                <w:iCs/>
                <w:color w:val="404040" w:themeColor="text1" w:themeTint="BF"/>
                <w:sz w:val="14"/>
                <w:szCs w:val="14"/>
                <w:lang w:val="en-GB"/>
              </w:rPr>
            </w:pPr>
            <w:proofErr w:type="spellStart"/>
            <w:r w:rsidRPr="00CD63AD">
              <w:rPr>
                <w:rFonts w:ascii="Arial" w:eastAsia="Times New Roman" w:hAnsi="Arial" w:cs="Arial"/>
                <w:i/>
                <w:iCs/>
                <w:sz w:val="14"/>
                <w:szCs w:val="14"/>
                <w:lang w:val="en-GB"/>
              </w:rPr>
              <w:t>Technische</w:t>
            </w:r>
            <w:proofErr w:type="spellEnd"/>
            <w:r w:rsidRPr="00CD63AD">
              <w:rPr>
                <w:rFonts w:ascii="Arial" w:eastAsia="Times New Roman" w:hAnsi="Arial" w:cs="Arial"/>
                <w:i/>
                <w:iCs/>
                <w:sz w:val="14"/>
                <w:szCs w:val="14"/>
                <w:lang w:val="en-GB"/>
              </w:rPr>
              <w:t xml:space="preserve"> </w:t>
            </w:r>
            <w:proofErr w:type="spellStart"/>
            <w:r w:rsidRPr="00CD63AD">
              <w:rPr>
                <w:rFonts w:ascii="Arial" w:eastAsia="Times New Roman" w:hAnsi="Arial" w:cs="Arial"/>
                <w:i/>
                <w:iCs/>
                <w:sz w:val="14"/>
                <w:szCs w:val="14"/>
                <w:lang w:val="en-GB"/>
              </w:rPr>
              <w:t>lasten</w:t>
            </w:r>
            <w:proofErr w:type="spellEnd"/>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-234</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-243</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-150</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-252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-201</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-176</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-190</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-878</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-723</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cs="Arial"/>
                <w:sz w:val="14"/>
                <w:szCs w:val="14"/>
                <w:lang w:val="en-GB"/>
              </w:rPr>
            </w:pPr>
            <w:proofErr w:type="spellStart"/>
            <w:r w:rsidRPr="00CD63AD">
              <w:rPr>
                <w:rFonts w:ascii="Arial" w:eastAsia="Times New Roman" w:hAnsi="Arial" w:cs="Arial"/>
                <w:sz w:val="14"/>
                <w:szCs w:val="14"/>
                <w:lang w:val="en-GB"/>
              </w:rPr>
              <w:t>Levensverzekeringen</w:t>
            </w:r>
            <w:proofErr w:type="spellEnd"/>
            <w:r w:rsidRPr="00CD63AD">
              <w:rPr>
                <w:rFonts w:ascii="Arial" w:eastAsia="Times New Roman" w:hAnsi="Arial" w:cs="Arial"/>
                <w:sz w:val="14"/>
                <w:szCs w:val="14"/>
                <w:lang w:val="en-GB"/>
              </w:rPr>
              <w:t xml:space="preserve"> (</w:t>
            </w:r>
            <w:proofErr w:type="spellStart"/>
            <w:r w:rsidRPr="00CD63AD">
              <w:rPr>
                <w:rFonts w:ascii="Arial" w:eastAsia="Times New Roman" w:hAnsi="Arial" w:cs="Arial"/>
                <w:sz w:val="14"/>
                <w:szCs w:val="14"/>
                <w:lang w:val="en-GB"/>
              </w:rPr>
              <w:t>vóór</w:t>
            </w:r>
            <w:proofErr w:type="spellEnd"/>
            <w:r w:rsidRPr="00CD63AD">
              <w:rPr>
                <w:rFonts w:ascii="Arial" w:eastAsia="Times New Roman" w:hAnsi="Arial" w:cs="Arial"/>
                <w:sz w:val="14"/>
                <w:szCs w:val="14"/>
                <w:lang w:val="en-GB"/>
              </w:rPr>
              <w:t xml:space="preserve"> </w:t>
            </w:r>
            <w:proofErr w:type="spellStart"/>
            <w:r w:rsidRPr="00CD63AD">
              <w:rPr>
                <w:rFonts w:ascii="Arial" w:eastAsia="Times New Roman" w:hAnsi="Arial" w:cs="Arial"/>
                <w:sz w:val="14"/>
                <w:szCs w:val="14"/>
                <w:lang w:val="en-GB"/>
              </w:rPr>
              <w:t>herverzekering</w:t>
            </w:r>
            <w:proofErr w:type="spellEnd"/>
            <w:r w:rsidRPr="00CD63AD">
              <w:rPr>
                <w:rFonts w:ascii="Arial" w:eastAsia="Times New Roman" w:hAnsi="Arial" w:cs="Arial"/>
                <w:sz w:val="14"/>
                <w:szCs w:val="14"/>
                <w:lang w:val="en-GB"/>
              </w:rPr>
              <w:t>)</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-72</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-67</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-79</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-59</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-63</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-57</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-240</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-242</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ind w:firstLineChars="400" w:firstLine="560"/>
              <w:rPr>
                <w:rFonts w:ascii="Arial" w:eastAsia="Times New Roman" w:hAnsi="Arial" w:cs="Arial"/>
                <w:i/>
                <w:iCs/>
                <w:color w:val="404040" w:themeColor="text1" w:themeTint="BF"/>
                <w:sz w:val="14"/>
                <w:szCs w:val="14"/>
                <w:lang w:val="en-GB"/>
              </w:rPr>
            </w:pPr>
            <w:proofErr w:type="spellStart"/>
            <w:r w:rsidRPr="00CD63AD">
              <w:rPr>
                <w:rFonts w:ascii="Arial" w:eastAsia="Times New Roman" w:hAnsi="Arial" w:cs="Arial"/>
                <w:i/>
                <w:iCs/>
                <w:sz w:val="14"/>
                <w:szCs w:val="14"/>
                <w:lang w:val="en-GB"/>
              </w:rPr>
              <w:t>Verdiende</w:t>
            </w:r>
            <w:proofErr w:type="spellEnd"/>
            <w:r w:rsidRPr="00CD63AD">
              <w:rPr>
                <w:rFonts w:ascii="Arial" w:eastAsia="Times New Roman" w:hAnsi="Arial" w:cs="Arial"/>
                <w:i/>
                <w:iCs/>
                <w:sz w:val="14"/>
                <w:szCs w:val="14"/>
                <w:lang w:val="en-GB"/>
              </w:rPr>
              <w:t xml:space="preserve"> </w:t>
            </w:r>
            <w:proofErr w:type="spellStart"/>
            <w:r w:rsidRPr="00CD63AD">
              <w:rPr>
                <w:rFonts w:ascii="Arial" w:eastAsia="Times New Roman" w:hAnsi="Arial" w:cs="Arial"/>
                <w:i/>
                <w:iCs/>
                <w:sz w:val="14"/>
                <w:szCs w:val="14"/>
                <w:lang w:val="en-GB"/>
              </w:rPr>
              <w:t>premies</w:t>
            </w:r>
            <w:proofErr w:type="spellEnd"/>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446</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448</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271</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310</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271</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241</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238</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381</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1 475</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1 132</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ind w:firstLineChars="400" w:firstLine="560"/>
              <w:rPr>
                <w:rFonts w:ascii="Arial" w:eastAsia="Times New Roman" w:hAnsi="Arial" w:cs="Arial"/>
                <w:i/>
                <w:iCs/>
                <w:color w:val="404040" w:themeColor="text1" w:themeTint="BF"/>
                <w:sz w:val="14"/>
                <w:szCs w:val="14"/>
                <w:lang w:val="en-GB"/>
              </w:rPr>
            </w:pPr>
            <w:proofErr w:type="spellStart"/>
            <w:r w:rsidRPr="00CD63AD">
              <w:rPr>
                <w:rFonts w:ascii="Arial" w:eastAsia="Times New Roman" w:hAnsi="Arial" w:cs="Arial"/>
                <w:i/>
                <w:iCs/>
                <w:sz w:val="14"/>
                <w:szCs w:val="14"/>
                <w:lang w:val="en-GB"/>
              </w:rPr>
              <w:t>Technische</w:t>
            </w:r>
            <w:proofErr w:type="spellEnd"/>
            <w:r w:rsidRPr="00CD63AD">
              <w:rPr>
                <w:rFonts w:ascii="Arial" w:eastAsia="Times New Roman" w:hAnsi="Arial" w:cs="Arial"/>
                <w:i/>
                <w:iCs/>
                <w:sz w:val="14"/>
                <w:szCs w:val="14"/>
                <w:lang w:val="en-GB"/>
              </w:rPr>
              <w:t xml:space="preserve"> </w:t>
            </w:r>
            <w:proofErr w:type="spellStart"/>
            <w:r w:rsidRPr="00CD63AD">
              <w:rPr>
                <w:rFonts w:ascii="Arial" w:eastAsia="Times New Roman" w:hAnsi="Arial" w:cs="Arial"/>
                <w:i/>
                <w:iCs/>
                <w:sz w:val="14"/>
                <w:szCs w:val="14"/>
                <w:lang w:val="en-GB"/>
              </w:rPr>
              <w:t>lasten</w:t>
            </w:r>
            <w:proofErr w:type="spellEnd"/>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-518</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-514</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-350</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-332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-331</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-302</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-438</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-1 714</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-1 373</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Nettoresultaat uit afgestane herverzekering</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Dividendinkomsten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10</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19</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43</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41</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Nettoresultaat uit financiële instrumenten tegen reële waarde met verwerking van waardeveranderingen in de winst-en-verliesrekening</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353</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58</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223</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218</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256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146</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159</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789</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779</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Netto gerealiseerd resultaat uit voor verkoop beschikbare financiële activa</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55</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42</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29</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180</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213</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proofErr w:type="spellStart"/>
            <w:r w:rsidRPr="00CD63AD">
              <w:rPr>
                <w:rFonts w:ascii="Arial" w:eastAsia="Times New Roman" w:hAnsi="Arial"/>
                <w:bCs/>
                <w:snapToGrid w:val="0"/>
                <w:sz w:val="14"/>
                <w:szCs w:val="14"/>
                <w:lang w:val="nl-NL"/>
              </w:rPr>
              <w:t>Nettoprovisie</w:t>
            </w:r>
            <w:proofErr w:type="spellEnd"/>
            <w:r w:rsidRPr="00CD63AD">
              <w:rPr>
                <w:rFonts w:ascii="Arial" w:eastAsia="Times New Roman" w:hAnsi="Arial"/>
                <w:bCs/>
                <w:snapToGrid w:val="0"/>
                <w:sz w:val="14"/>
                <w:szCs w:val="14"/>
                <w:lang w:val="nl-NL"/>
              </w:rPr>
              <w:t>-inkomsten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312</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309</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345</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359</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388</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345</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369</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1 324</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1 487</w:t>
            </w:r>
          </w:p>
        </w:tc>
      </w:tr>
      <w:tr w:rsidR="00CD63AD" w:rsidRPr="00CD63AD" w:rsidTr="00CD63AD">
        <w:trPr>
          <w:trHeight w:val="278"/>
        </w:trPr>
        <w:tc>
          <w:tcPr>
            <w:tcW w:w="3161" w:type="dxa"/>
            <w:tcBorders>
              <w:bottom w:val="single" w:sz="4" w:space="0" w:color="1F497D" w:themeColor="text2"/>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Overige netto-inkomsten</w:t>
            </w:r>
          </w:p>
        </w:tc>
        <w:tc>
          <w:tcPr>
            <w:tcW w:w="754" w:type="dxa"/>
            <w:tcBorders>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w:t>
            </w:r>
          </w:p>
        </w:tc>
        <w:tc>
          <w:tcPr>
            <w:tcW w:w="685"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60</w:t>
            </w:r>
          </w:p>
        </w:tc>
        <w:tc>
          <w:tcPr>
            <w:tcW w:w="754"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80</w:t>
            </w:r>
          </w:p>
        </w:tc>
        <w:tc>
          <w:tcPr>
            <w:tcW w:w="69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89</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76</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69</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151</w:t>
            </w:r>
          </w:p>
        </w:tc>
        <w:tc>
          <w:tcPr>
            <w:tcW w:w="572"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47</w:t>
            </w:r>
          </w:p>
        </w:tc>
        <w:tc>
          <w:tcPr>
            <w:tcW w:w="764" w:type="dxa"/>
            <w:tcBorders>
              <w:left w:val="single" w:sz="4" w:space="0" w:color="1F497D" w:themeColor="text2"/>
              <w:bottom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252</w:t>
            </w:r>
          </w:p>
        </w:tc>
        <w:tc>
          <w:tcPr>
            <w:tcW w:w="805" w:type="dxa"/>
            <w:tcBorders>
              <w:bottom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343</w:t>
            </w:r>
          </w:p>
        </w:tc>
      </w:tr>
      <w:tr w:rsidR="00CD63AD" w:rsidRPr="00CD63AD" w:rsidTr="00CD63AD">
        <w:trPr>
          <w:trHeight w:val="278"/>
        </w:trPr>
        <w:tc>
          <w:tcPr>
            <w:tcW w:w="3161" w:type="dxa"/>
            <w:tcBorders>
              <w:top w:val="single" w:sz="4" w:space="0" w:color="1F497D" w:themeColor="text2"/>
              <w:bottom w:val="single" w:sz="4" w:space="0" w:color="1F497D" w:themeColor="text2"/>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Totale opbrengsten</w:t>
            </w:r>
          </w:p>
        </w:tc>
        <w:tc>
          <w:tcPr>
            <w:tcW w:w="754" w:type="dxa"/>
            <w:tcBorders>
              <w:top w:val="single" w:sz="4" w:space="0" w:color="1F497D" w:themeColor="text2"/>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2 057</w:t>
            </w:r>
          </w:p>
        </w:tc>
        <w:tc>
          <w:tcPr>
            <w:tcW w:w="685"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1 743</w:t>
            </w:r>
          </w:p>
        </w:tc>
        <w:tc>
          <w:tcPr>
            <w:tcW w:w="754"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1 857</w:t>
            </w:r>
          </w:p>
        </w:tc>
        <w:tc>
          <w:tcPr>
            <w:tcW w:w="69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1 831</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1 890</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1 832</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1 791</w:t>
            </w:r>
          </w:p>
        </w:tc>
        <w:tc>
          <w:tcPr>
            <w:tcW w:w="572"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1 684</w:t>
            </w:r>
          </w:p>
        </w:tc>
        <w:tc>
          <w:tcPr>
            <w:tcW w:w="764" w:type="dxa"/>
            <w:tcBorders>
              <w:top w:val="single" w:sz="4" w:space="0" w:color="1F497D" w:themeColor="text2"/>
              <w:left w:val="single" w:sz="4" w:space="0" w:color="1F497D" w:themeColor="text2"/>
              <w:bottom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7 488</w:t>
            </w:r>
          </w:p>
        </w:tc>
        <w:tc>
          <w:tcPr>
            <w:tcW w:w="805" w:type="dxa"/>
            <w:tcBorders>
              <w:top w:val="single" w:sz="4" w:space="0" w:color="1F497D" w:themeColor="text2"/>
              <w:bottom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7 197</w:t>
            </w:r>
          </w:p>
        </w:tc>
      </w:tr>
      <w:tr w:rsidR="00CD63AD" w:rsidRPr="00CD63AD" w:rsidTr="00CD63AD">
        <w:trPr>
          <w:trHeight w:val="278"/>
        </w:trPr>
        <w:tc>
          <w:tcPr>
            <w:tcW w:w="3161" w:type="dxa"/>
            <w:tcBorders>
              <w:top w:val="single" w:sz="4" w:space="0" w:color="1F497D" w:themeColor="text2"/>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Exploitatiekosten</w:t>
            </w:r>
          </w:p>
        </w:tc>
        <w:tc>
          <w:tcPr>
            <w:tcW w:w="754" w:type="dxa"/>
            <w:tcBorders>
              <w:top w:val="single" w:sz="4" w:space="0" w:color="1F497D" w:themeColor="text2"/>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-1 110</w:t>
            </w:r>
          </w:p>
        </w:tc>
        <w:tc>
          <w:tcPr>
            <w:tcW w:w="685"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-1 016</w:t>
            </w:r>
          </w:p>
        </w:tc>
        <w:tc>
          <w:tcPr>
            <w:tcW w:w="754"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-990</w:t>
            </w:r>
          </w:p>
        </w:tc>
        <w:tc>
          <w:tcPr>
            <w:tcW w:w="69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-1 068</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-1 029</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-921</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-913</w:t>
            </w:r>
          </w:p>
        </w:tc>
        <w:tc>
          <w:tcPr>
            <w:tcW w:w="572" w:type="dxa"/>
            <w:gridSpan w:val="3"/>
            <w:tcBorders>
              <w:top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-963</w:t>
            </w:r>
          </w:p>
        </w:tc>
        <w:tc>
          <w:tcPr>
            <w:tcW w:w="764" w:type="dxa"/>
            <w:tcBorders>
              <w:top w:val="single" w:sz="4" w:space="0" w:color="1F497D" w:themeColor="text2"/>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-4 184</w:t>
            </w:r>
          </w:p>
        </w:tc>
        <w:tc>
          <w:tcPr>
            <w:tcW w:w="805" w:type="dxa"/>
            <w:tcBorders>
              <w:top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-3 826</w:t>
            </w:r>
          </w:p>
        </w:tc>
      </w:tr>
      <w:tr w:rsidR="00CD63AD" w:rsidRPr="00CD63AD" w:rsidTr="00CD63AD">
        <w:trPr>
          <w:trHeight w:val="278"/>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Bijzondere waardeverminderingen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-271</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-241</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-305</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-378</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-335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-209</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-950</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-1 195</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-1 729</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 xml:space="preserve">     op leningen en vorderingen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-261</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-198</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-283</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-329</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-295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-217</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-186</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-940</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-1 072</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-1 638</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 xml:space="preserve">     op voor verkoop beschikbare financiële activa</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-24</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-37</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 xml:space="preserve">     op goodwill</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w:t>
            </w:r>
          </w:p>
        </w:tc>
      </w:tr>
      <w:tr w:rsidR="00CD63AD" w:rsidRPr="00CD63AD" w:rsidTr="00CD63AD">
        <w:trPr>
          <w:trHeight w:val="167"/>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 xml:space="preserve">     op overige</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-86</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-64</w:t>
            </w:r>
          </w:p>
        </w:tc>
      </w:tr>
      <w:tr w:rsidR="00CD63AD" w:rsidRPr="00CD63AD" w:rsidTr="00CD63AD">
        <w:trPr>
          <w:trHeight w:val="278"/>
        </w:trPr>
        <w:tc>
          <w:tcPr>
            <w:tcW w:w="3161" w:type="dxa"/>
            <w:tcBorders>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Aandeel in het resultaat van geassocieerde ondernemingen</w:t>
            </w:r>
          </w:p>
        </w:tc>
        <w:tc>
          <w:tcPr>
            <w:tcW w:w="754" w:type="dxa"/>
            <w:tcBorders>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685"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754"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w:t>
            </w:r>
          </w:p>
        </w:tc>
        <w:tc>
          <w:tcPr>
            <w:tcW w:w="69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572"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w:t>
            </w:r>
          </w:p>
        </w:tc>
        <w:tc>
          <w:tcPr>
            <w:tcW w:w="764" w:type="dxa"/>
            <w:tcBorders>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w:t>
            </w:r>
          </w:p>
        </w:tc>
        <w:tc>
          <w:tcPr>
            <w:tcW w:w="805" w:type="dxa"/>
            <w:tcBorders>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w:t>
            </w:r>
          </w:p>
        </w:tc>
      </w:tr>
      <w:tr w:rsidR="00CD63AD" w:rsidRPr="00CD63AD" w:rsidTr="00CD63AD">
        <w:trPr>
          <w:trHeight w:val="278"/>
        </w:trPr>
        <w:tc>
          <w:tcPr>
            <w:tcW w:w="3161"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Resultaat vóór belastingen</w:t>
            </w:r>
          </w:p>
        </w:tc>
        <w:tc>
          <w:tcPr>
            <w:tcW w:w="754" w:type="dxa"/>
            <w:tcBorders>
              <w:top w:val="single" w:sz="4" w:space="0" w:color="1F497D" w:themeColor="text2"/>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667</w:t>
            </w:r>
          </w:p>
        </w:tc>
        <w:tc>
          <w:tcPr>
            <w:tcW w:w="685"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477</w:t>
            </w:r>
          </w:p>
        </w:tc>
        <w:tc>
          <w:tcPr>
            <w:tcW w:w="754"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549</w:t>
            </w:r>
          </w:p>
        </w:tc>
        <w:tc>
          <w:tcPr>
            <w:tcW w:w="69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385</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526</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677</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669</w:t>
            </w:r>
          </w:p>
        </w:tc>
        <w:tc>
          <w:tcPr>
            <w:tcW w:w="572"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-228</w:t>
            </w:r>
          </w:p>
        </w:tc>
        <w:tc>
          <w:tcPr>
            <w:tcW w:w="764"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2 078</w:t>
            </w:r>
          </w:p>
        </w:tc>
        <w:tc>
          <w:tcPr>
            <w:tcW w:w="805"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1 643</w:t>
            </w:r>
          </w:p>
        </w:tc>
      </w:tr>
      <w:tr w:rsidR="00CD63AD" w:rsidRPr="00CD63AD" w:rsidTr="00CD63AD">
        <w:trPr>
          <w:trHeight w:val="278"/>
        </w:trPr>
        <w:tc>
          <w:tcPr>
            <w:tcW w:w="3161"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Belastingen</w:t>
            </w:r>
          </w:p>
        </w:tc>
        <w:tc>
          <w:tcPr>
            <w:tcW w:w="754" w:type="dxa"/>
            <w:tcBorders>
              <w:top w:val="single" w:sz="4" w:space="0" w:color="1F497D" w:themeColor="text2"/>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-159</w:t>
            </w:r>
          </w:p>
        </w:tc>
        <w:tc>
          <w:tcPr>
            <w:tcW w:w="685"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-129</w:t>
            </w:r>
          </w:p>
        </w:tc>
        <w:tc>
          <w:tcPr>
            <w:tcW w:w="754"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-167</w:t>
            </w:r>
          </w:p>
        </w:tc>
        <w:tc>
          <w:tcPr>
            <w:tcW w:w="69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-98</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-163</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-189</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-208</w:t>
            </w:r>
          </w:p>
        </w:tc>
        <w:tc>
          <w:tcPr>
            <w:tcW w:w="572"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-108</w:t>
            </w:r>
          </w:p>
        </w:tc>
        <w:tc>
          <w:tcPr>
            <w:tcW w:w="764"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-553</w:t>
            </w:r>
          </w:p>
        </w:tc>
        <w:tc>
          <w:tcPr>
            <w:tcW w:w="805"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-668</w:t>
            </w:r>
          </w:p>
        </w:tc>
      </w:tr>
      <w:tr w:rsidR="00CD63AD" w:rsidRPr="00CD63AD" w:rsidTr="00CD63AD">
        <w:trPr>
          <w:trHeight w:val="278"/>
        </w:trPr>
        <w:tc>
          <w:tcPr>
            <w:tcW w:w="3161"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Resultaat na belastingen</w:t>
            </w:r>
          </w:p>
        </w:tc>
        <w:tc>
          <w:tcPr>
            <w:tcW w:w="754" w:type="dxa"/>
            <w:tcBorders>
              <w:top w:val="single" w:sz="4" w:space="0" w:color="1F497D" w:themeColor="text2"/>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508</w:t>
            </w:r>
          </w:p>
        </w:tc>
        <w:tc>
          <w:tcPr>
            <w:tcW w:w="685"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348</w:t>
            </w:r>
          </w:p>
        </w:tc>
        <w:tc>
          <w:tcPr>
            <w:tcW w:w="754" w:type="dxa"/>
            <w:tcBorders>
              <w:top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382</w:t>
            </w:r>
          </w:p>
        </w:tc>
        <w:tc>
          <w:tcPr>
            <w:tcW w:w="69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287</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363</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487</w:t>
            </w:r>
          </w:p>
        </w:tc>
        <w:tc>
          <w:tcPr>
            <w:tcW w:w="754" w:type="dxa"/>
            <w:tcBorders>
              <w:top w:val="single" w:sz="4" w:space="0" w:color="1F497D" w:themeColor="text2"/>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460</w:t>
            </w:r>
          </w:p>
        </w:tc>
        <w:tc>
          <w:tcPr>
            <w:tcW w:w="572"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-336</w:t>
            </w:r>
          </w:p>
        </w:tc>
        <w:tc>
          <w:tcPr>
            <w:tcW w:w="764"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1 525</w:t>
            </w:r>
          </w:p>
        </w:tc>
        <w:tc>
          <w:tcPr>
            <w:tcW w:w="805"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974</w:t>
            </w:r>
          </w:p>
        </w:tc>
      </w:tr>
      <w:tr w:rsidR="00CD63AD" w:rsidRPr="00CD63AD" w:rsidTr="00CD63AD">
        <w:trPr>
          <w:trHeight w:val="278"/>
        </w:trPr>
        <w:tc>
          <w:tcPr>
            <w:tcW w:w="3161" w:type="dxa"/>
            <w:tcBorders>
              <w:top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 xml:space="preserve">     toerekenbaar aan belangen van derden</w:t>
            </w:r>
          </w:p>
        </w:tc>
        <w:tc>
          <w:tcPr>
            <w:tcW w:w="754" w:type="dxa"/>
            <w:tcBorders>
              <w:top w:val="single" w:sz="4" w:space="0" w:color="1F497D" w:themeColor="text2"/>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w:t>
            </w:r>
          </w:p>
        </w:tc>
        <w:tc>
          <w:tcPr>
            <w:tcW w:w="685"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w:t>
            </w:r>
          </w:p>
        </w:tc>
        <w:tc>
          <w:tcPr>
            <w:tcW w:w="754"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69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572" w:type="dxa"/>
            <w:gridSpan w:val="3"/>
            <w:tcBorders>
              <w:top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w:t>
            </w:r>
          </w:p>
        </w:tc>
        <w:tc>
          <w:tcPr>
            <w:tcW w:w="764" w:type="dxa"/>
            <w:tcBorders>
              <w:top w:val="single" w:sz="4" w:space="0" w:color="365F91" w:themeColor="accent1" w:themeShade="BF"/>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29</w:t>
            </w:r>
          </w:p>
        </w:tc>
        <w:tc>
          <w:tcPr>
            <w:tcW w:w="805" w:type="dxa"/>
            <w:tcBorders>
              <w:top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w:t>
            </w:r>
          </w:p>
        </w:tc>
      </w:tr>
      <w:tr w:rsidR="00CD63AD" w:rsidRPr="00CD63AD" w:rsidTr="00CD63AD">
        <w:trPr>
          <w:trHeight w:val="278"/>
        </w:trPr>
        <w:tc>
          <w:tcPr>
            <w:tcW w:w="3161" w:type="dxa"/>
            <w:tcBorders>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 xml:space="preserve">     toerekenbaar aan de aandeelhouders van</w:t>
            </w:r>
            <w:r w:rsidRPr="00CD63AD">
              <w:rPr>
                <w:rFonts w:ascii="Arial" w:eastAsia="Times New Roman" w:hAnsi="Arial"/>
                <w:b/>
                <w:bCs/>
                <w:snapToGrid w:val="0"/>
                <w:sz w:val="14"/>
                <w:szCs w:val="14"/>
                <w:lang w:val="nl-NL"/>
              </w:rPr>
              <w:br/>
              <w:t xml:space="preserve">    de moedermaatschappij</w:t>
            </w:r>
          </w:p>
        </w:tc>
        <w:tc>
          <w:tcPr>
            <w:tcW w:w="754" w:type="dxa"/>
            <w:tcBorders>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501</w:t>
            </w:r>
          </w:p>
        </w:tc>
        <w:tc>
          <w:tcPr>
            <w:tcW w:w="685"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343</w:t>
            </w:r>
          </w:p>
        </w:tc>
        <w:tc>
          <w:tcPr>
            <w:tcW w:w="754"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373</w:t>
            </w:r>
          </w:p>
        </w:tc>
        <w:tc>
          <w:tcPr>
            <w:tcW w:w="69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279</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359</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485</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457</w:t>
            </w:r>
          </w:p>
        </w:tc>
        <w:tc>
          <w:tcPr>
            <w:tcW w:w="572"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-340</w:t>
            </w:r>
          </w:p>
        </w:tc>
        <w:tc>
          <w:tcPr>
            <w:tcW w:w="764" w:type="dxa"/>
            <w:tcBorders>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1 496</w:t>
            </w:r>
          </w:p>
        </w:tc>
        <w:tc>
          <w:tcPr>
            <w:tcW w:w="805" w:type="dxa"/>
            <w:tcBorders>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960</w:t>
            </w:r>
          </w:p>
        </w:tc>
      </w:tr>
      <w:tr w:rsidR="00CD63AD" w:rsidRPr="00CD63AD" w:rsidTr="00CD63AD">
        <w:trPr>
          <w:trHeight w:val="222"/>
        </w:trPr>
        <w:tc>
          <w:tcPr>
            <w:tcW w:w="3161" w:type="dxa"/>
            <w:tcBorders>
              <w:top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 xml:space="preserve">          België</w:t>
            </w:r>
          </w:p>
        </w:tc>
        <w:tc>
          <w:tcPr>
            <w:tcW w:w="754" w:type="dxa"/>
            <w:tcBorders>
              <w:top w:val="single" w:sz="4" w:space="0" w:color="1F497D" w:themeColor="text2"/>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486</w:t>
            </w:r>
          </w:p>
        </w:tc>
        <w:tc>
          <w:tcPr>
            <w:tcW w:w="685"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244</w:t>
            </w:r>
          </w:p>
        </w:tc>
        <w:tc>
          <w:tcPr>
            <w:tcW w:w="754"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335</w:t>
            </w:r>
          </w:p>
        </w:tc>
        <w:tc>
          <w:tcPr>
            <w:tcW w:w="69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295</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385</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418</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391</w:t>
            </w:r>
          </w:p>
        </w:tc>
        <w:tc>
          <w:tcPr>
            <w:tcW w:w="572" w:type="dxa"/>
            <w:gridSpan w:val="3"/>
            <w:tcBorders>
              <w:top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376</w:t>
            </w:r>
          </w:p>
        </w:tc>
        <w:tc>
          <w:tcPr>
            <w:tcW w:w="764" w:type="dxa"/>
            <w:tcBorders>
              <w:top w:val="single" w:sz="4" w:space="0" w:color="365F91" w:themeColor="accent1" w:themeShade="BF"/>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1 360</w:t>
            </w:r>
          </w:p>
        </w:tc>
        <w:tc>
          <w:tcPr>
            <w:tcW w:w="805" w:type="dxa"/>
            <w:tcBorders>
              <w:top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1 570</w:t>
            </w:r>
          </w:p>
        </w:tc>
      </w:tr>
      <w:tr w:rsidR="00CD63AD" w:rsidRPr="00CD63AD" w:rsidTr="00CD63AD">
        <w:trPr>
          <w:trHeight w:val="222"/>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 xml:space="preserve">          Tsjechië</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158</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159</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149</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114</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132</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157</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119</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581</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554</w:t>
            </w:r>
          </w:p>
        </w:tc>
      </w:tr>
      <w:tr w:rsidR="00CD63AD" w:rsidRPr="00CD63AD" w:rsidTr="00CD63AD">
        <w:trPr>
          <w:trHeight w:val="222"/>
        </w:trPr>
        <w:tc>
          <w:tcPr>
            <w:tcW w:w="3161" w:type="dxa"/>
            <w:tcBorders>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 xml:space="preserve">          Internationale Markten</w:t>
            </w:r>
          </w:p>
        </w:tc>
        <w:tc>
          <w:tcPr>
            <w:tcW w:w="754" w:type="dxa"/>
            <w:tcBorders>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-163</w:t>
            </w:r>
          </w:p>
        </w:tc>
        <w:tc>
          <w:tcPr>
            <w:tcW w:w="685"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-41</w:t>
            </w:r>
          </w:p>
        </w:tc>
        <w:tc>
          <w:tcPr>
            <w:tcW w:w="754" w:type="dxa"/>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-38</w:t>
            </w:r>
          </w:p>
        </w:tc>
        <w:tc>
          <w:tcPr>
            <w:tcW w:w="69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-87</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w:t>
            </w:r>
          </w:p>
        </w:tc>
        <w:tc>
          <w:tcPr>
            <w:tcW w:w="572" w:type="dxa"/>
            <w:gridSpan w:val="3"/>
            <w:tcBorders>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-731</w:t>
            </w:r>
          </w:p>
        </w:tc>
        <w:tc>
          <w:tcPr>
            <w:tcW w:w="764" w:type="dxa"/>
            <w:tcBorders>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-260</w:t>
            </w:r>
          </w:p>
        </w:tc>
        <w:tc>
          <w:tcPr>
            <w:tcW w:w="805" w:type="dxa"/>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-853</w:t>
            </w:r>
          </w:p>
        </w:tc>
      </w:tr>
      <w:tr w:rsidR="00CD63AD" w:rsidRPr="00CD63AD" w:rsidTr="00CD63AD">
        <w:trPr>
          <w:trHeight w:val="222"/>
        </w:trPr>
        <w:tc>
          <w:tcPr>
            <w:tcW w:w="3161" w:type="dxa"/>
            <w:tcBorders>
              <w:bottom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 xml:space="preserve">          Groepscenter</w:t>
            </w:r>
          </w:p>
        </w:tc>
        <w:tc>
          <w:tcPr>
            <w:tcW w:w="754" w:type="dxa"/>
            <w:tcBorders>
              <w:left w:val="single" w:sz="4" w:space="0" w:color="1F497D" w:themeColor="text2"/>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19</w:t>
            </w:r>
          </w:p>
        </w:tc>
        <w:tc>
          <w:tcPr>
            <w:tcW w:w="685"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-19</w:t>
            </w:r>
          </w:p>
        </w:tc>
        <w:tc>
          <w:tcPr>
            <w:tcW w:w="754" w:type="dxa"/>
            <w:tcBorders>
              <w:bottom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-72</w:t>
            </w:r>
          </w:p>
        </w:tc>
        <w:tc>
          <w:tcPr>
            <w:tcW w:w="69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-113</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-71</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-56</w:t>
            </w:r>
          </w:p>
        </w:tc>
        <w:tc>
          <w:tcPr>
            <w:tcW w:w="754" w:type="dxa"/>
            <w:tcBorders>
              <w:bottom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-79</w:t>
            </w:r>
          </w:p>
        </w:tc>
        <w:tc>
          <w:tcPr>
            <w:tcW w:w="572"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-104</w:t>
            </w:r>
          </w:p>
        </w:tc>
        <w:tc>
          <w:tcPr>
            <w:tcW w:w="764" w:type="dxa"/>
            <w:tcBorders>
              <w:left w:val="single" w:sz="4" w:space="0" w:color="1F497D" w:themeColor="text2"/>
              <w:bottom w:val="single" w:sz="4" w:space="0" w:color="365F91" w:themeColor="accent1" w:themeShade="BF"/>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-185</w:t>
            </w:r>
          </w:p>
        </w:tc>
        <w:tc>
          <w:tcPr>
            <w:tcW w:w="805" w:type="dxa"/>
            <w:tcBorders>
              <w:bottom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-311</w:t>
            </w:r>
          </w:p>
        </w:tc>
      </w:tr>
      <w:tr w:rsidR="00CD63AD" w:rsidRPr="00CD63AD" w:rsidTr="00CD63AD">
        <w:trPr>
          <w:trHeight w:val="222"/>
        </w:trPr>
        <w:tc>
          <w:tcPr>
            <w:tcW w:w="3161" w:type="dxa"/>
            <w:tcBorders>
              <w:top w:val="single" w:sz="8" w:space="0" w:color="365F91" w:themeColor="accent1" w:themeShade="BF"/>
              <w:right w:val="single" w:sz="4"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vertAlign w:val="superscript"/>
                <w:lang w:val="nl-BE"/>
              </w:rPr>
            </w:pPr>
            <w:r w:rsidRPr="00CD63AD">
              <w:rPr>
                <w:rFonts w:ascii="Arial" w:eastAsia="Times New Roman" w:hAnsi="Arial"/>
                <w:bCs/>
                <w:snapToGrid w:val="0"/>
                <w:sz w:val="14"/>
                <w:szCs w:val="14"/>
                <w:lang w:val="nl-NL"/>
              </w:rPr>
              <w:t>Gewone winst per aandeel (in euro)</w:t>
            </w:r>
          </w:p>
        </w:tc>
        <w:tc>
          <w:tcPr>
            <w:tcW w:w="754" w:type="dxa"/>
            <w:tcBorders>
              <w:top w:val="single" w:sz="4" w:space="0" w:color="1F497D" w:themeColor="text2"/>
              <w:left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1.19</w:t>
            </w:r>
          </w:p>
        </w:tc>
        <w:tc>
          <w:tcPr>
            <w:tcW w:w="685"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0.49</w:t>
            </w:r>
          </w:p>
        </w:tc>
        <w:tc>
          <w:tcPr>
            <w:tcW w:w="754" w:type="dxa"/>
            <w:tcBorders>
              <w:top w:val="single" w:sz="4" w:space="0" w:color="1F497D" w:themeColor="text2"/>
            </w:tcBorders>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0.69</w:t>
            </w:r>
          </w:p>
        </w:tc>
        <w:tc>
          <w:tcPr>
            <w:tcW w:w="69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-0.92</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0.86</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1.16</w:t>
            </w:r>
          </w:p>
        </w:tc>
        <w:tc>
          <w:tcPr>
            <w:tcW w:w="754" w:type="dxa"/>
            <w:tcBorders>
              <w:top w:val="single" w:sz="4"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-0.30</w:t>
            </w:r>
          </w:p>
        </w:tc>
        <w:tc>
          <w:tcPr>
            <w:tcW w:w="572" w:type="dxa"/>
            <w:gridSpan w:val="3"/>
            <w:tcBorders>
              <w:top w:val="single" w:sz="4" w:space="0" w:color="1F497D" w:themeColor="text2"/>
              <w:right w:val="single" w:sz="4"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-0.82</w:t>
            </w:r>
          </w:p>
        </w:tc>
        <w:tc>
          <w:tcPr>
            <w:tcW w:w="764" w:type="dxa"/>
            <w:tcBorders>
              <w:top w:val="single" w:sz="4" w:space="0" w:color="365F91" w:themeColor="accent1" w:themeShade="BF"/>
              <w:left w:val="single" w:sz="4" w:space="0" w:color="1F497D" w:themeColor="text2"/>
            </w:tcBorders>
            <w:shd w:val="clear" w:color="auto" w:fill="FFFFFF" w:themeFill="background1"/>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1.44</w:t>
            </w:r>
          </w:p>
        </w:tc>
        <w:tc>
          <w:tcPr>
            <w:tcW w:w="805" w:type="dxa"/>
            <w:tcBorders>
              <w:top w:val="single" w:sz="4" w:space="0" w:color="365F91" w:themeColor="accent1" w:themeShade="BF"/>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0.90</w:t>
            </w:r>
          </w:p>
        </w:tc>
      </w:tr>
      <w:tr w:rsidR="00CD63AD" w:rsidRPr="00CD63AD" w:rsidTr="00CD63AD">
        <w:trPr>
          <w:trHeight w:val="222"/>
        </w:trPr>
        <w:tc>
          <w:tcPr>
            <w:tcW w:w="3161" w:type="dxa"/>
            <w:tcBorders>
              <w:right w:val="single" w:sz="4" w:space="0" w:color="1F497D" w:themeColor="text2"/>
            </w:tcBorders>
          </w:tcPr>
          <w:p w:rsidR="00CD63AD" w:rsidRPr="00CD63AD" w:rsidRDefault="00CD63AD" w:rsidP="00CD63AD">
            <w:pPr>
              <w:spacing w:after="0" w:line="240" w:lineRule="auto"/>
              <w:rPr>
                <w:rFonts w:ascii="Arial" w:eastAsia="Times New Roman" w:hAnsi="Arial"/>
                <w:bCs/>
                <w:snapToGrid w:val="0"/>
                <w:sz w:val="14"/>
                <w:szCs w:val="14"/>
                <w:vertAlign w:val="superscript"/>
                <w:lang w:val="nl-BE"/>
              </w:rPr>
            </w:pPr>
            <w:r w:rsidRPr="00CD63AD">
              <w:rPr>
                <w:rFonts w:ascii="Arial" w:eastAsia="Times New Roman" w:hAnsi="Arial"/>
                <w:bCs/>
                <w:snapToGrid w:val="0"/>
                <w:sz w:val="14"/>
                <w:szCs w:val="14"/>
                <w:lang w:val="nl-NL"/>
              </w:rPr>
              <w:t>Verwaterde winst per aandeel (in euro)</w:t>
            </w:r>
          </w:p>
        </w:tc>
        <w:tc>
          <w:tcPr>
            <w:tcW w:w="754" w:type="dxa"/>
            <w:tcBorders>
              <w:left w:val="single" w:sz="4" w:space="0" w:color="1F497D" w:themeColor="text2"/>
            </w:tcBorders>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1.19</w:t>
            </w:r>
          </w:p>
        </w:tc>
        <w:tc>
          <w:tcPr>
            <w:tcW w:w="685" w:type="dxa"/>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0.49</w:t>
            </w:r>
          </w:p>
        </w:tc>
        <w:tc>
          <w:tcPr>
            <w:tcW w:w="754" w:type="dxa"/>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0.69</w:t>
            </w:r>
          </w:p>
        </w:tc>
        <w:tc>
          <w:tcPr>
            <w:tcW w:w="694" w:type="dxa"/>
            <w:shd w:val="clear" w:color="auto" w:fill="auto"/>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-0.92</w:t>
            </w:r>
          </w:p>
        </w:tc>
        <w:tc>
          <w:tcPr>
            <w:tcW w:w="754" w:type="dxa"/>
            <w:shd w:val="clear" w:color="auto" w:fill="auto"/>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0.86</w:t>
            </w:r>
          </w:p>
        </w:tc>
        <w:tc>
          <w:tcPr>
            <w:tcW w:w="754" w:type="dxa"/>
            <w:shd w:val="clear" w:color="auto" w:fill="auto"/>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1.16</w:t>
            </w:r>
          </w:p>
        </w:tc>
        <w:tc>
          <w:tcPr>
            <w:tcW w:w="754" w:type="dxa"/>
            <w:shd w:val="clear" w:color="auto" w:fill="auto"/>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-0.30</w:t>
            </w:r>
          </w:p>
        </w:tc>
        <w:tc>
          <w:tcPr>
            <w:tcW w:w="572" w:type="dxa"/>
            <w:gridSpan w:val="3"/>
            <w:tcBorders>
              <w:right w:val="single" w:sz="4" w:space="0" w:color="1F497D" w:themeColor="text2"/>
            </w:tcBorders>
            <w:shd w:val="clear" w:color="auto" w:fill="DBE5F1" w:themeFill="accent1" w:themeFillTint="33"/>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-0.82</w:t>
            </w:r>
          </w:p>
        </w:tc>
        <w:tc>
          <w:tcPr>
            <w:tcW w:w="764" w:type="dxa"/>
            <w:tcBorders>
              <w:left w:val="single" w:sz="4" w:space="0" w:color="1F497D" w:themeColor="text2"/>
            </w:tcBorders>
            <w:shd w:val="clear" w:color="auto" w:fill="FFFFFF" w:themeFill="background1"/>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1.44</w:t>
            </w:r>
          </w:p>
        </w:tc>
        <w:tc>
          <w:tcPr>
            <w:tcW w:w="805" w:type="dxa"/>
            <w:shd w:val="clear" w:color="auto" w:fill="DBE5F1" w:themeFill="accent1" w:themeFillTint="33"/>
          </w:tcPr>
          <w:p w:rsidR="00CD63AD" w:rsidRPr="00CD63AD" w:rsidRDefault="00CD63AD" w:rsidP="00CD63AD">
            <w:pPr>
              <w:spacing w:after="0" w:line="240" w:lineRule="auto"/>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0.90</w:t>
            </w:r>
          </w:p>
        </w:tc>
      </w:tr>
      <w:tr w:rsidR="00CD63AD" w:rsidRPr="00F76249" w:rsidTr="00CD63AD">
        <w:trPr>
          <w:trHeight w:val="224"/>
        </w:trPr>
        <w:tc>
          <w:tcPr>
            <w:tcW w:w="3161" w:type="dxa"/>
            <w:tcBorders>
              <w:right w:val="single" w:sz="8" w:space="0" w:color="FFFFFF" w:themeColor="background1"/>
            </w:tcBorders>
            <w:shd w:val="clear" w:color="auto" w:fill="365F91" w:themeFill="accent1" w:themeFillShade="BF"/>
            <w:vAlign w:val="center"/>
          </w:tcPr>
          <w:p w:rsidR="00CD63AD" w:rsidRPr="00CD63AD" w:rsidRDefault="00CD63AD" w:rsidP="00CD63AD">
            <w:pPr>
              <w:spacing w:after="0" w:line="240" w:lineRule="auto"/>
              <w:rPr>
                <w:rFonts w:ascii="Arial" w:eastAsia="Times New Roman" w:hAnsi="Arial"/>
                <w:bCs/>
                <w:snapToGrid w:val="0"/>
                <w:color w:val="FFFFFF" w:themeColor="background1"/>
                <w:sz w:val="14"/>
                <w:szCs w:val="14"/>
                <w:lang w:val="nl-BE"/>
              </w:rPr>
            </w:pPr>
            <w:r w:rsidRPr="00CD63AD">
              <w:rPr>
                <w:rFonts w:ascii="Arial" w:eastAsia="Times New Roman" w:hAnsi="Arial"/>
                <w:bCs/>
                <w:snapToGrid w:val="0"/>
                <w:color w:val="FFFFFF" w:themeColor="background1"/>
                <w:sz w:val="14"/>
                <w:szCs w:val="14"/>
                <w:lang w:val="nl-NL"/>
              </w:rPr>
              <w:t xml:space="preserve">Invloed van </w:t>
            </w:r>
            <w:proofErr w:type="spellStart"/>
            <w:r w:rsidRPr="00CD63AD">
              <w:rPr>
                <w:rFonts w:ascii="Arial" w:eastAsia="Times New Roman" w:hAnsi="Arial"/>
                <w:bCs/>
                <w:snapToGrid w:val="0"/>
                <w:color w:val="FFFFFF" w:themeColor="background1"/>
                <w:sz w:val="14"/>
                <w:szCs w:val="14"/>
                <w:lang w:val="nl-NL"/>
              </w:rPr>
              <w:t>legacy</w:t>
            </w:r>
            <w:proofErr w:type="spellEnd"/>
            <w:r w:rsidRPr="00CD63AD">
              <w:rPr>
                <w:rFonts w:ascii="Arial" w:eastAsia="Times New Roman" w:hAnsi="Arial"/>
                <w:bCs/>
                <w:snapToGrid w:val="0"/>
                <w:color w:val="FFFFFF" w:themeColor="background1"/>
                <w:sz w:val="14"/>
                <w:szCs w:val="14"/>
                <w:lang w:val="nl-NL"/>
              </w:rPr>
              <w:t>-activiteiten en eigen kredietrisico (na belastingen)</w:t>
            </w:r>
          </w:p>
        </w:tc>
        <w:tc>
          <w:tcPr>
            <w:tcW w:w="754" w:type="dxa"/>
            <w:tcBorders>
              <w:lef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685" w:type="dxa"/>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754" w:type="dxa"/>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694" w:type="dxa"/>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754" w:type="dxa"/>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754" w:type="dxa"/>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767" w:type="dxa"/>
            <w:gridSpan w:val="2"/>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535" w:type="dxa"/>
            <w:tcBorders>
              <w:righ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787" w:type="dxa"/>
            <w:gridSpan w:val="2"/>
            <w:tcBorders>
              <w:lef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c>
          <w:tcPr>
            <w:tcW w:w="805" w:type="dxa"/>
            <w:shd w:val="clear" w:color="auto" w:fill="365F91" w:themeFill="accent1" w:themeFillShade="BF"/>
            <w:tcMar>
              <w:right w:w="142" w:type="dxa"/>
            </w:tcMar>
            <w:vAlign w:val="bottom"/>
          </w:tcPr>
          <w:p w:rsidR="00CD63AD" w:rsidRPr="00CD63AD" w:rsidRDefault="00CD63AD" w:rsidP="00CD63AD">
            <w:pPr>
              <w:spacing w:after="0" w:line="240" w:lineRule="auto"/>
              <w:ind w:hanging="234"/>
              <w:jc w:val="right"/>
              <w:rPr>
                <w:rFonts w:ascii="Arial" w:eastAsia="Times New Roman" w:hAnsi="Arial"/>
                <w:bCs/>
                <w:snapToGrid w:val="0"/>
                <w:color w:val="FFFFFF" w:themeColor="background1"/>
                <w:sz w:val="14"/>
                <w:szCs w:val="14"/>
                <w:lang w:val="nl-BE"/>
              </w:rPr>
            </w:pPr>
          </w:p>
        </w:tc>
      </w:tr>
      <w:tr w:rsidR="00CD63AD" w:rsidRPr="00CD63AD" w:rsidTr="00CD63AD">
        <w:trPr>
          <w:trHeight w:val="222"/>
        </w:trPr>
        <w:tc>
          <w:tcPr>
            <w:tcW w:w="3161" w:type="dxa"/>
            <w:tcBorders>
              <w:right w:val="single" w:sz="8"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proofErr w:type="spellStart"/>
            <w:r w:rsidRPr="00CD63AD">
              <w:rPr>
                <w:rFonts w:ascii="Arial" w:eastAsia="Times New Roman" w:hAnsi="Arial"/>
                <w:bCs/>
                <w:snapToGrid w:val="0"/>
                <w:sz w:val="14"/>
                <w:szCs w:val="14"/>
                <w:lang w:val="nl-NL"/>
              </w:rPr>
              <w:t>Legacy</w:t>
            </w:r>
            <w:proofErr w:type="spellEnd"/>
            <w:r w:rsidRPr="00CD63AD">
              <w:rPr>
                <w:rFonts w:ascii="Arial" w:eastAsia="Times New Roman" w:hAnsi="Arial"/>
                <w:bCs/>
                <w:snapToGrid w:val="0"/>
                <w:sz w:val="14"/>
                <w:szCs w:val="14"/>
                <w:lang w:val="nl-NL"/>
              </w:rPr>
              <w:t xml:space="preserve"> – winsten of verliezen gerelateerd aan </w:t>
            </w:r>
            <w:proofErr w:type="spellStart"/>
            <w:r w:rsidRPr="00CD63AD">
              <w:rPr>
                <w:rFonts w:ascii="Arial" w:eastAsia="Times New Roman" w:hAnsi="Arial"/>
                <w:bCs/>
                <w:snapToGrid w:val="0"/>
                <w:sz w:val="14"/>
                <w:szCs w:val="14"/>
                <w:lang w:val="nl-NL"/>
              </w:rPr>
              <w:t>CDO’s</w:t>
            </w:r>
            <w:proofErr w:type="spellEnd"/>
          </w:p>
        </w:tc>
        <w:tc>
          <w:tcPr>
            <w:tcW w:w="754" w:type="dxa"/>
            <w:tcBorders>
              <w:left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138</w:t>
            </w:r>
          </w:p>
        </w:tc>
        <w:tc>
          <w:tcPr>
            <w:tcW w:w="685"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-39</w:t>
            </w:r>
          </w:p>
        </w:tc>
        <w:tc>
          <w:tcPr>
            <w:tcW w:w="754"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280</w:t>
            </w:r>
          </w:p>
        </w:tc>
        <w:tc>
          <w:tcPr>
            <w:tcW w:w="69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46</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165</w:t>
            </w:r>
          </w:p>
        </w:tc>
        <w:tc>
          <w:tcPr>
            <w:tcW w:w="75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180</w:t>
            </w:r>
          </w:p>
        </w:tc>
        <w:tc>
          <w:tcPr>
            <w:tcW w:w="767" w:type="dxa"/>
            <w:gridSpan w:val="2"/>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w:t>
            </w:r>
          </w:p>
        </w:tc>
        <w:tc>
          <w:tcPr>
            <w:tcW w:w="535" w:type="dxa"/>
            <w:tcBorders>
              <w:right w:val="single" w:sz="8" w:space="0" w:color="1F497D" w:themeColor="text2"/>
            </w:tcBorders>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65</w:t>
            </w:r>
          </w:p>
        </w:tc>
        <w:tc>
          <w:tcPr>
            <w:tcW w:w="787" w:type="dxa"/>
            <w:gridSpan w:val="2"/>
            <w:tcBorders>
              <w:left w:val="single" w:sz="8" w:space="0" w:color="1F497D" w:themeColor="text2"/>
            </w:tcBorders>
            <w:shd w:val="clear" w:color="auto" w:fill="FFFFFF" w:themeFill="background1"/>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425</w:t>
            </w:r>
          </w:p>
        </w:tc>
        <w:tc>
          <w:tcPr>
            <w:tcW w:w="805" w:type="dxa"/>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446</w:t>
            </w:r>
          </w:p>
        </w:tc>
      </w:tr>
      <w:tr w:rsidR="00CD63AD" w:rsidRPr="00CD63AD" w:rsidTr="00CD63AD">
        <w:trPr>
          <w:trHeight w:val="222"/>
        </w:trPr>
        <w:tc>
          <w:tcPr>
            <w:tcW w:w="3161" w:type="dxa"/>
            <w:tcBorders>
              <w:right w:val="single" w:sz="8"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en-GB"/>
              </w:rPr>
            </w:pPr>
            <w:proofErr w:type="spellStart"/>
            <w:r w:rsidRPr="00CD63AD">
              <w:rPr>
                <w:rFonts w:ascii="Arial" w:eastAsia="Times New Roman" w:hAnsi="Arial"/>
                <w:bCs/>
                <w:snapToGrid w:val="0"/>
                <w:sz w:val="14"/>
                <w:szCs w:val="14"/>
                <w:lang w:val="nl-NL"/>
              </w:rPr>
              <w:t>Legacy</w:t>
            </w:r>
            <w:proofErr w:type="spellEnd"/>
            <w:r w:rsidRPr="00CD63AD">
              <w:rPr>
                <w:rFonts w:ascii="Arial" w:eastAsia="Times New Roman" w:hAnsi="Arial"/>
                <w:bCs/>
                <w:snapToGrid w:val="0"/>
                <w:sz w:val="14"/>
                <w:szCs w:val="14"/>
                <w:lang w:val="nl-NL"/>
              </w:rPr>
              <w:t xml:space="preserve"> – desinvesteringen</w:t>
            </w:r>
          </w:p>
        </w:tc>
        <w:tc>
          <w:tcPr>
            <w:tcW w:w="754" w:type="dxa"/>
            <w:tcBorders>
              <w:left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81</w:t>
            </w:r>
          </w:p>
        </w:tc>
        <w:tc>
          <w:tcPr>
            <w:tcW w:w="685"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-884</w:t>
            </w:r>
          </w:p>
        </w:tc>
        <w:tc>
          <w:tcPr>
            <w:tcW w:w="754"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w:t>
            </w:r>
          </w:p>
        </w:tc>
        <w:tc>
          <w:tcPr>
            <w:tcW w:w="69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22</w:t>
            </w:r>
          </w:p>
        </w:tc>
        <w:tc>
          <w:tcPr>
            <w:tcW w:w="75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-128</w:t>
            </w:r>
          </w:p>
        </w:tc>
        <w:tc>
          <w:tcPr>
            <w:tcW w:w="767" w:type="dxa"/>
            <w:gridSpan w:val="2"/>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-231</w:t>
            </w:r>
          </w:p>
        </w:tc>
        <w:tc>
          <w:tcPr>
            <w:tcW w:w="535" w:type="dxa"/>
            <w:tcBorders>
              <w:right w:val="single" w:sz="8" w:space="0" w:color="1F497D" w:themeColor="text2"/>
            </w:tcBorders>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-10</w:t>
            </w:r>
          </w:p>
        </w:tc>
        <w:tc>
          <w:tcPr>
            <w:tcW w:w="787" w:type="dxa"/>
            <w:gridSpan w:val="2"/>
            <w:tcBorders>
              <w:left w:val="single" w:sz="8" w:space="0" w:color="1F497D" w:themeColor="text2"/>
            </w:tcBorders>
            <w:shd w:val="clear" w:color="auto" w:fill="FFFFFF" w:themeFill="background1"/>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-778</w:t>
            </w:r>
          </w:p>
        </w:tc>
        <w:tc>
          <w:tcPr>
            <w:tcW w:w="805" w:type="dxa"/>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-348</w:t>
            </w:r>
          </w:p>
        </w:tc>
      </w:tr>
      <w:tr w:rsidR="00CD63AD" w:rsidRPr="00CD63AD" w:rsidTr="00CD63AD">
        <w:trPr>
          <w:trHeight w:val="222"/>
        </w:trPr>
        <w:tc>
          <w:tcPr>
            <w:tcW w:w="3161" w:type="dxa"/>
            <w:tcBorders>
              <w:right w:val="single" w:sz="8" w:space="0" w:color="1F497D" w:themeColor="text2"/>
            </w:tcBorders>
            <w:vAlign w:val="center"/>
          </w:tcPr>
          <w:p w:rsidR="00CD63AD" w:rsidRPr="00CD63AD" w:rsidRDefault="00CD63AD" w:rsidP="00CD63AD">
            <w:pPr>
              <w:spacing w:after="0" w:line="240" w:lineRule="auto"/>
              <w:rPr>
                <w:rFonts w:ascii="Arial" w:eastAsia="Times New Roman" w:hAnsi="Arial"/>
                <w:bCs/>
                <w:snapToGrid w:val="0"/>
                <w:sz w:val="14"/>
                <w:szCs w:val="14"/>
                <w:lang w:val="nl-BE"/>
              </w:rPr>
            </w:pPr>
            <w:r w:rsidRPr="00CD63AD">
              <w:rPr>
                <w:rFonts w:ascii="Arial" w:eastAsia="Times New Roman" w:hAnsi="Arial"/>
                <w:bCs/>
                <w:snapToGrid w:val="0"/>
                <w:sz w:val="14"/>
                <w:szCs w:val="14"/>
                <w:lang w:val="nl-NL"/>
              </w:rPr>
              <w:t>Reële waarde van het eigen kredietrisico</w:t>
            </w:r>
          </w:p>
        </w:tc>
        <w:tc>
          <w:tcPr>
            <w:tcW w:w="754" w:type="dxa"/>
            <w:tcBorders>
              <w:left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-340</w:t>
            </w:r>
          </w:p>
        </w:tc>
        <w:tc>
          <w:tcPr>
            <w:tcW w:w="685"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41</w:t>
            </w:r>
          </w:p>
        </w:tc>
        <w:tc>
          <w:tcPr>
            <w:tcW w:w="754" w:type="dxa"/>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-144</w:t>
            </w:r>
          </w:p>
        </w:tc>
        <w:tc>
          <w:tcPr>
            <w:tcW w:w="69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-87</w:t>
            </w:r>
          </w:p>
        </w:tc>
        <w:tc>
          <w:tcPr>
            <w:tcW w:w="754" w:type="dxa"/>
            <w:shd w:val="clear" w:color="auto" w:fill="auto"/>
            <w:vAlign w:val="center"/>
          </w:tcPr>
          <w:p w:rsidR="00CD63AD" w:rsidRPr="00CD63AD" w:rsidRDefault="00CD63AD" w:rsidP="00CD63AD">
            <w:pPr>
              <w:spacing w:after="0" w:line="240" w:lineRule="auto"/>
              <w:jc w:val="right"/>
              <w:rPr>
                <w:rFonts w:ascii="Arial" w:eastAsia="Times New Roman" w:hAnsi="Arial" w:cs="Arial"/>
                <w:sz w:val="14"/>
                <w:szCs w:val="14"/>
                <w:lang w:val="en-GB"/>
              </w:rPr>
            </w:pPr>
            <w:r w:rsidRPr="00CD63AD">
              <w:rPr>
                <w:rFonts w:ascii="Arial" w:eastAsia="Times New Roman" w:hAnsi="Arial" w:cs="Arial"/>
                <w:sz w:val="14"/>
                <w:szCs w:val="14"/>
                <w:lang w:val="en-GB"/>
              </w:rPr>
              <w:t>-26</w:t>
            </w:r>
          </w:p>
        </w:tc>
        <w:tc>
          <w:tcPr>
            <w:tcW w:w="754" w:type="dxa"/>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-20</w:t>
            </w:r>
          </w:p>
        </w:tc>
        <w:tc>
          <w:tcPr>
            <w:tcW w:w="767" w:type="dxa"/>
            <w:gridSpan w:val="2"/>
            <w:shd w:val="clear" w:color="auto" w:fill="auto"/>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12</w:t>
            </w:r>
          </w:p>
        </w:tc>
        <w:tc>
          <w:tcPr>
            <w:tcW w:w="535" w:type="dxa"/>
            <w:tcBorders>
              <w:right w:val="single" w:sz="8" w:space="0" w:color="1F497D" w:themeColor="text2"/>
            </w:tcBorders>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-9</w:t>
            </w:r>
          </w:p>
        </w:tc>
        <w:tc>
          <w:tcPr>
            <w:tcW w:w="787" w:type="dxa"/>
            <w:gridSpan w:val="2"/>
            <w:tcBorders>
              <w:left w:val="single" w:sz="8" w:space="0" w:color="1F497D" w:themeColor="text2"/>
            </w:tcBorders>
            <w:shd w:val="clear" w:color="auto" w:fill="FFFFFF" w:themeFill="background1"/>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-531</w:t>
            </w:r>
          </w:p>
        </w:tc>
        <w:tc>
          <w:tcPr>
            <w:tcW w:w="805" w:type="dxa"/>
            <w:shd w:val="clear" w:color="auto" w:fill="DBE5F1" w:themeFill="accent1" w:themeFillTint="33"/>
            <w:vAlign w:val="center"/>
          </w:tcPr>
          <w:p w:rsidR="00CD63AD" w:rsidRPr="00CD63AD" w:rsidRDefault="00CD63AD" w:rsidP="00CD63AD">
            <w:pPr>
              <w:spacing w:after="0" w:line="240" w:lineRule="auto"/>
              <w:ind w:hanging="234"/>
              <w:jc w:val="right"/>
              <w:rPr>
                <w:rFonts w:ascii="Arial" w:eastAsia="Times New Roman" w:hAnsi="Arial"/>
                <w:bCs/>
                <w:snapToGrid w:val="0"/>
                <w:sz w:val="14"/>
                <w:szCs w:val="14"/>
                <w:lang w:val="en-GB"/>
              </w:rPr>
            </w:pPr>
            <w:r w:rsidRPr="00CD63AD">
              <w:rPr>
                <w:rFonts w:ascii="Arial" w:eastAsia="Times New Roman" w:hAnsi="Arial"/>
                <w:bCs/>
                <w:snapToGrid w:val="0"/>
                <w:sz w:val="14"/>
                <w:szCs w:val="14"/>
                <w:lang w:val="nl-NL"/>
              </w:rPr>
              <w:t>-43</w:t>
            </w:r>
          </w:p>
        </w:tc>
      </w:tr>
      <w:tr w:rsidR="00CD63AD" w:rsidRPr="00CD63AD" w:rsidTr="00CD63AD">
        <w:trPr>
          <w:trHeight w:val="222"/>
        </w:trPr>
        <w:tc>
          <w:tcPr>
            <w:tcW w:w="3161" w:type="dxa"/>
            <w:tcBorders>
              <w:right w:val="single" w:sz="8" w:space="0" w:color="FFFFFF" w:themeColor="background1"/>
            </w:tcBorders>
            <w:shd w:val="clear" w:color="auto" w:fill="365F91" w:themeFill="accent1" w:themeFillShade="BF"/>
            <w:vAlign w:val="center"/>
          </w:tcPr>
          <w:p w:rsidR="00CD63AD" w:rsidRPr="00CD63AD" w:rsidRDefault="00CD63AD" w:rsidP="00CD63AD">
            <w:pPr>
              <w:spacing w:after="0" w:line="240" w:lineRule="auto"/>
              <w:rPr>
                <w:rFonts w:ascii="Arial" w:eastAsia="Times New Roman" w:hAnsi="Arial"/>
                <w:bCs/>
                <w:snapToGrid w:val="0"/>
                <w:color w:val="FFFFFF" w:themeColor="background1"/>
                <w:sz w:val="14"/>
                <w:szCs w:val="14"/>
                <w:lang w:val="en-GB"/>
              </w:rPr>
            </w:pPr>
            <w:r w:rsidRPr="00CD63AD">
              <w:rPr>
                <w:rFonts w:ascii="Arial" w:eastAsia="Times New Roman" w:hAnsi="Arial"/>
                <w:bCs/>
                <w:snapToGrid w:val="0"/>
                <w:color w:val="FFFFFF" w:themeColor="background1"/>
                <w:sz w:val="14"/>
                <w:szCs w:val="14"/>
                <w:lang w:val="nl-NL"/>
              </w:rPr>
              <w:t>Nettoresultaat volgens IFRS</w:t>
            </w:r>
          </w:p>
        </w:tc>
        <w:tc>
          <w:tcPr>
            <w:tcW w:w="754" w:type="dxa"/>
            <w:tcBorders>
              <w:lef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685"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754"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694"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754"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754"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767" w:type="dxa"/>
            <w:gridSpan w:val="2"/>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535" w:type="dxa"/>
            <w:tcBorders>
              <w:righ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787" w:type="dxa"/>
            <w:gridSpan w:val="2"/>
            <w:tcBorders>
              <w:left w:val="single" w:sz="8" w:space="0" w:color="FFFFFF" w:themeColor="background1"/>
            </w:tcBorders>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c>
          <w:tcPr>
            <w:tcW w:w="805" w:type="dxa"/>
            <w:shd w:val="clear" w:color="auto" w:fill="365F91" w:themeFill="accent1" w:themeFillShade="BF"/>
            <w:vAlign w:val="bottom"/>
          </w:tcPr>
          <w:p w:rsidR="00CD63AD" w:rsidRPr="00CD63AD" w:rsidRDefault="00CD63AD" w:rsidP="00CD63AD">
            <w:pPr>
              <w:spacing w:after="0" w:line="240" w:lineRule="auto"/>
              <w:jc w:val="right"/>
              <w:rPr>
                <w:rFonts w:ascii="Arial" w:eastAsia="Times New Roman" w:hAnsi="Arial"/>
                <w:bCs/>
                <w:snapToGrid w:val="0"/>
                <w:color w:val="FFFFFF" w:themeColor="background1"/>
                <w:sz w:val="14"/>
                <w:szCs w:val="14"/>
                <w:lang w:val="en-GB"/>
              </w:rPr>
            </w:pPr>
          </w:p>
        </w:tc>
      </w:tr>
      <w:tr w:rsidR="00CD63AD" w:rsidRPr="00CD63AD" w:rsidTr="00CD63AD">
        <w:trPr>
          <w:trHeight w:val="222"/>
        </w:trPr>
        <w:tc>
          <w:tcPr>
            <w:tcW w:w="3161" w:type="dxa"/>
            <w:tcBorders>
              <w:bottom w:val="single" w:sz="8" w:space="0" w:color="1F497D" w:themeColor="text2"/>
              <w:right w:val="single" w:sz="8" w:space="0" w:color="1F497D" w:themeColor="text2"/>
            </w:tcBorders>
            <w:vAlign w:val="center"/>
          </w:tcPr>
          <w:p w:rsidR="00CD63AD" w:rsidRPr="00CD63AD" w:rsidRDefault="00CD63AD" w:rsidP="00CD63AD">
            <w:pPr>
              <w:spacing w:after="0" w:line="240" w:lineRule="auto"/>
              <w:rPr>
                <w:rFonts w:ascii="Arial" w:eastAsia="Times New Roman" w:hAnsi="Arial"/>
                <w:b/>
                <w:bCs/>
                <w:snapToGrid w:val="0"/>
                <w:sz w:val="14"/>
                <w:szCs w:val="14"/>
                <w:lang w:val="nl-BE"/>
              </w:rPr>
            </w:pPr>
            <w:r w:rsidRPr="00CD63AD">
              <w:rPr>
                <w:rFonts w:ascii="Arial" w:eastAsia="Times New Roman" w:hAnsi="Arial"/>
                <w:b/>
                <w:bCs/>
                <w:snapToGrid w:val="0"/>
                <w:sz w:val="14"/>
                <w:szCs w:val="14"/>
                <w:lang w:val="nl-NL"/>
              </w:rPr>
              <w:t>Resultaat na belastingen, toerekenbaar aan de aandeelhouders van de moedermaatschappij, volgens IFRS</w:t>
            </w:r>
          </w:p>
        </w:tc>
        <w:tc>
          <w:tcPr>
            <w:tcW w:w="754" w:type="dxa"/>
            <w:tcBorders>
              <w:left w:val="single" w:sz="8" w:space="0" w:color="1F497D" w:themeColor="text2"/>
              <w:bottom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380</w:t>
            </w:r>
          </w:p>
        </w:tc>
        <w:tc>
          <w:tcPr>
            <w:tcW w:w="685" w:type="dxa"/>
            <w:tcBorders>
              <w:bottom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-539</w:t>
            </w:r>
          </w:p>
        </w:tc>
        <w:tc>
          <w:tcPr>
            <w:tcW w:w="754" w:type="dxa"/>
            <w:tcBorders>
              <w:bottom w:val="single" w:sz="8" w:space="0" w:color="1F497D" w:themeColor="text2"/>
            </w:tcBorders>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531</w:t>
            </w:r>
          </w:p>
        </w:tc>
        <w:tc>
          <w:tcPr>
            <w:tcW w:w="694" w:type="dxa"/>
            <w:tcBorders>
              <w:bottom w:val="single" w:sz="8"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240</w:t>
            </w:r>
          </w:p>
        </w:tc>
        <w:tc>
          <w:tcPr>
            <w:tcW w:w="754" w:type="dxa"/>
            <w:tcBorders>
              <w:bottom w:val="single" w:sz="8"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520</w:t>
            </w:r>
          </w:p>
        </w:tc>
        <w:tc>
          <w:tcPr>
            <w:tcW w:w="754" w:type="dxa"/>
            <w:tcBorders>
              <w:bottom w:val="single" w:sz="8"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517</w:t>
            </w:r>
          </w:p>
        </w:tc>
        <w:tc>
          <w:tcPr>
            <w:tcW w:w="767" w:type="dxa"/>
            <w:gridSpan w:val="2"/>
            <w:tcBorders>
              <w:bottom w:val="single" w:sz="8"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272</w:t>
            </w:r>
          </w:p>
        </w:tc>
        <w:tc>
          <w:tcPr>
            <w:tcW w:w="535" w:type="dxa"/>
            <w:tcBorders>
              <w:bottom w:val="single" w:sz="8" w:space="0" w:color="1F497D" w:themeColor="text2"/>
              <w:right w:val="single" w:sz="8"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-294</w:t>
            </w:r>
          </w:p>
        </w:tc>
        <w:tc>
          <w:tcPr>
            <w:tcW w:w="787" w:type="dxa"/>
            <w:gridSpan w:val="2"/>
            <w:tcBorders>
              <w:left w:val="single" w:sz="8" w:space="0" w:color="1F497D" w:themeColor="text2"/>
              <w:bottom w:val="single" w:sz="8" w:space="0" w:color="1F497D" w:themeColor="text2"/>
            </w:tcBorders>
            <w:shd w:val="clear" w:color="auto" w:fill="auto"/>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612</w:t>
            </w:r>
          </w:p>
        </w:tc>
        <w:tc>
          <w:tcPr>
            <w:tcW w:w="805" w:type="dxa"/>
            <w:tcBorders>
              <w:bottom w:val="single" w:sz="8" w:space="0" w:color="1F497D" w:themeColor="text2"/>
            </w:tcBorders>
            <w:shd w:val="clear" w:color="auto" w:fill="DBE5F1" w:themeFill="accent1" w:themeFillTint="33"/>
            <w:vAlign w:val="center"/>
          </w:tcPr>
          <w:p w:rsidR="00CD63AD" w:rsidRPr="00CD63AD" w:rsidRDefault="00CD63AD" w:rsidP="00CD63AD">
            <w:pPr>
              <w:spacing w:after="0" w:line="240" w:lineRule="auto"/>
              <w:jc w:val="right"/>
              <w:rPr>
                <w:rFonts w:ascii="Arial" w:eastAsia="Times New Roman" w:hAnsi="Arial"/>
                <w:b/>
                <w:bCs/>
                <w:snapToGrid w:val="0"/>
                <w:sz w:val="14"/>
                <w:szCs w:val="14"/>
                <w:lang w:val="en-GB"/>
              </w:rPr>
            </w:pPr>
            <w:r w:rsidRPr="00CD63AD">
              <w:rPr>
                <w:rFonts w:ascii="Arial" w:eastAsia="Times New Roman" w:hAnsi="Arial"/>
                <w:b/>
                <w:bCs/>
                <w:snapToGrid w:val="0"/>
                <w:sz w:val="14"/>
                <w:szCs w:val="14"/>
                <w:lang w:val="nl-NL"/>
              </w:rPr>
              <w:t>1 015</w:t>
            </w:r>
          </w:p>
        </w:tc>
      </w:tr>
    </w:tbl>
    <w:p w:rsidR="0091565F" w:rsidRDefault="0091565F">
      <w:pPr>
        <w:spacing w:after="0" w:line="240" w:lineRule="auto"/>
        <w:rPr>
          <w:rFonts w:ascii="Rockwell" w:hAnsi="Rockwell" w:cs="Arial"/>
          <w:b/>
          <w:bCs/>
          <w:color w:val="003366"/>
          <w:sz w:val="28"/>
          <w:szCs w:val="28"/>
          <w:lang w:val="fr-FR"/>
        </w:rPr>
      </w:pPr>
      <w:r>
        <w:rPr>
          <w:rFonts w:ascii="Rockwell" w:hAnsi="Rockwell" w:cs="Arial"/>
          <w:b/>
          <w:bCs/>
          <w:color w:val="003366"/>
          <w:sz w:val="28"/>
          <w:szCs w:val="28"/>
          <w:lang w:val="fr-FR"/>
        </w:rPr>
        <w:br w:type="page"/>
      </w:r>
    </w:p>
    <w:p w:rsidR="00210DB3" w:rsidRPr="0091565F" w:rsidRDefault="00DB3994" w:rsidP="00DB3994">
      <w:pPr>
        <w:autoSpaceDE w:val="0"/>
        <w:autoSpaceDN w:val="0"/>
        <w:adjustRightInd w:val="0"/>
        <w:spacing w:after="120" w:line="240" w:lineRule="auto"/>
        <w:ind w:left="992" w:right="6"/>
        <w:rPr>
          <w:rFonts w:ascii="Rockwell" w:hAnsi="Rockwell" w:cs="Arial"/>
          <w:b/>
          <w:bCs/>
          <w:color w:val="003366"/>
          <w:sz w:val="28"/>
          <w:szCs w:val="28"/>
          <w:lang w:val="nl-BE"/>
        </w:rPr>
      </w:pPr>
      <w:r w:rsidRPr="0091565F">
        <w:rPr>
          <w:rFonts w:ascii="Rockwell" w:hAnsi="Rockwell" w:cs="Arial"/>
          <w:b/>
          <w:bCs/>
          <w:color w:val="003366"/>
          <w:sz w:val="28"/>
          <w:szCs w:val="28"/>
          <w:lang w:val="nl-BE"/>
        </w:rPr>
        <w:lastRenderedPageBreak/>
        <w:t>Analyse van het vierde kwartaal van 2013</w:t>
      </w:r>
    </w:p>
    <w:p w:rsidR="00210DB3" w:rsidRPr="00762A35" w:rsidRDefault="00762A35" w:rsidP="00210DB3">
      <w:pPr>
        <w:autoSpaceDE w:val="0"/>
        <w:autoSpaceDN w:val="0"/>
        <w:adjustRightInd w:val="0"/>
        <w:spacing w:after="60" w:line="240" w:lineRule="auto"/>
        <w:ind w:left="992" w:right="6"/>
        <w:jc w:val="both"/>
        <w:rPr>
          <w:rFonts w:cs="Arial"/>
          <w:bCs/>
          <w:color w:val="003768"/>
          <w:sz w:val="16"/>
          <w:szCs w:val="16"/>
          <w:lang w:val="nl-BE"/>
        </w:rPr>
      </w:pPr>
      <w:r>
        <w:rPr>
          <w:rFonts w:cs="Arial"/>
          <w:bCs/>
          <w:color w:val="003768"/>
          <w:sz w:val="16"/>
          <w:szCs w:val="16"/>
          <w:lang w:val="nl-BE"/>
        </w:rPr>
        <w:t>A</w:t>
      </w:r>
      <w:r w:rsidRPr="00762A35">
        <w:rPr>
          <w:rFonts w:cs="Arial"/>
          <w:bCs/>
          <w:color w:val="003768"/>
          <w:sz w:val="16"/>
          <w:szCs w:val="16"/>
          <w:lang w:val="nl-BE"/>
        </w:rPr>
        <w:t>angepast nettoresultaat (in miljoenen euro)                                            Aangepast nettoresultaat per divisie, 4kw2013 (in miljoenen euro)</w:t>
      </w:r>
    </w:p>
    <w:p w:rsidR="00136A6C" w:rsidRDefault="00762A35" w:rsidP="00210DB3">
      <w:pPr>
        <w:autoSpaceDE w:val="0"/>
        <w:autoSpaceDN w:val="0"/>
        <w:adjustRightInd w:val="0"/>
        <w:spacing w:after="60" w:line="240" w:lineRule="auto"/>
        <w:ind w:left="992" w:right="6"/>
        <w:jc w:val="both"/>
        <w:rPr>
          <w:rFonts w:cs="Arial"/>
          <w:bCs/>
          <w:color w:val="003768"/>
          <w:sz w:val="20"/>
          <w:szCs w:val="20"/>
          <w:lang w:val="nl-BE"/>
        </w:rPr>
      </w:pPr>
      <w:r w:rsidRPr="00E903B5">
        <w:rPr>
          <w:noProof/>
          <w:lang w:val="nl-BE" w:eastAsia="nl-BE"/>
        </w:rPr>
        <w:drawing>
          <wp:inline distT="0" distB="0" distL="0" distR="0">
            <wp:extent cx="2905760" cy="2281555"/>
            <wp:effectExtent l="0" t="0" r="8890" b="444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760" cy="2281555"/>
                    </a:xfrm>
                    <a:prstGeom prst="rect">
                      <a:avLst/>
                    </a:prstGeom>
                    <a:noFill/>
                    <a:ln>
                      <a:noFill/>
                    </a:ln>
                  </pic:spPr>
                </pic:pic>
              </a:graphicData>
            </a:graphic>
          </wp:inline>
        </w:drawing>
      </w:r>
      <w:r w:rsidRPr="00E903B5">
        <w:rPr>
          <w:noProof/>
          <w:lang w:val="nl-BE" w:eastAsia="nl-BE"/>
        </w:rPr>
        <w:drawing>
          <wp:inline distT="0" distB="0" distL="0" distR="0">
            <wp:extent cx="3219450" cy="22256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0" cy="2225675"/>
                    </a:xfrm>
                    <a:prstGeom prst="rect">
                      <a:avLst/>
                    </a:prstGeom>
                    <a:noFill/>
                    <a:ln>
                      <a:noFill/>
                    </a:ln>
                  </pic:spPr>
                </pic:pic>
              </a:graphicData>
            </a:graphic>
          </wp:inline>
        </w:drawing>
      </w:r>
    </w:p>
    <w:p w:rsidR="00762A35" w:rsidRPr="00762A35" w:rsidRDefault="00762A35" w:rsidP="00762A35">
      <w:pPr>
        <w:autoSpaceDE w:val="0"/>
        <w:autoSpaceDN w:val="0"/>
        <w:adjustRightInd w:val="0"/>
        <w:spacing w:after="120" w:line="240" w:lineRule="auto"/>
        <w:ind w:left="992" w:right="6"/>
        <w:jc w:val="both"/>
        <w:rPr>
          <w:rFonts w:cs="Arial"/>
          <w:b/>
          <w:bCs/>
          <w:color w:val="003768"/>
          <w:sz w:val="20"/>
          <w:szCs w:val="20"/>
          <w:lang w:val="nl-BE"/>
        </w:rPr>
      </w:pPr>
      <w:r w:rsidRPr="00762A35">
        <w:rPr>
          <w:rFonts w:cs="Arial"/>
          <w:b/>
          <w:bCs/>
          <w:color w:val="003768"/>
          <w:sz w:val="20"/>
          <w:szCs w:val="20"/>
          <w:lang w:val="nl-BE"/>
        </w:rPr>
        <w:t xml:space="preserve">Het nettoresultaat voor het vierde kwartaal van 2013 bedroeg -294 miljoen euro. Zonder de </w:t>
      </w:r>
      <w:proofErr w:type="spellStart"/>
      <w:r w:rsidRPr="00762A35">
        <w:rPr>
          <w:rFonts w:cs="Arial"/>
          <w:b/>
          <w:bCs/>
          <w:color w:val="003768"/>
          <w:sz w:val="20"/>
          <w:szCs w:val="20"/>
          <w:lang w:val="nl-BE"/>
        </w:rPr>
        <w:t>legacy</w:t>
      </w:r>
      <w:proofErr w:type="spellEnd"/>
      <w:r w:rsidRPr="00762A35">
        <w:rPr>
          <w:rFonts w:cs="Arial"/>
          <w:b/>
          <w:bCs/>
          <w:color w:val="003768"/>
          <w:sz w:val="20"/>
          <w:szCs w:val="20"/>
          <w:lang w:val="nl-BE"/>
        </w:rPr>
        <w:t>-activiteiten en de invloed van het eigen kredietrisico, bedroeg het aangepast nettoresultaat -340 miljoen euro, tegenover 457 miljoen euro in het derde kwartaal van 2013 en 279 miljoen euro in het vierde kwartaal van 2012.</w:t>
      </w:r>
    </w:p>
    <w:p w:rsidR="00762A35" w:rsidRPr="00762A35" w:rsidRDefault="00762A35" w:rsidP="00762A35">
      <w:pPr>
        <w:autoSpaceDE w:val="0"/>
        <w:autoSpaceDN w:val="0"/>
        <w:adjustRightInd w:val="0"/>
        <w:spacing w:after="120" w:line="240" w:lineRule="auto"/>
        <w:ind w:left="992" w:right="6"/>
        <w:jc w:val="both"/>
        <w:rPr>
          <w:rFonts w:cs="Arial"/>
          <w:b/>
          <w:bCs/>
          <w:color w:val="003768"/>
          <w:sz w:val="20"/>
          <w:szCs w:val="20"/>
          <w:lang w:val="nl-BE"/>
        </w:rPr>
      </w:pPr>
      <w:r w:rsidRPr="00762A35">
        <w:rPr>
          <w:rFonts w:cs="Arial"/>
          <w:b/>
          <w:bCs/>
          <w:color w:val="003768"/>
          <w:sz w:val="20"/>
          <w:szCs w:val="20"/>
          <w:lang w:val="nl-BE"/>
        </w:rPr>
        <w:t>Totale opbrengsten (aangepast nettoresultaat)</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 xml:space="preserve">De performance jaar-op-jaar werd voor een deel beïnvloed door de deconsolidatie van </w:t>
      </w:r>
      <w:proofErr w:type="spellStart"/>
      <w:r w:rsidRPr="00762A35">
        <w:rPr>
          <w:rFonts w:cs="Arial"/>
          <w:bCs/>
          <w:color w:val="003768"/>
          <w:sz w:val="20"/>
          <w:szCs w:val="20"/>
          <w:lang w:val="nl-BE"/>
        </w:rPr>
        <w:t>Kredyt</w:t>
      </w:r>
      <w:proofErr w:type="spellEnd"/>
      <w:r w:rsidRPr="00762A35">
        <w:rPr>
          <w:rFonts w:cs="Arial"/>
          <w:bCs/>
          <w:color w:val="003768"/>
          <w:sz w:val="20"/>
          <w:szCs w:val="20"/>
          <w:lang w:val="nl-BE"/>
        </w:rPr>
        <w:t xml:space="preserve"> Bank, </w:t>
      </w:r>
      <w:proofErr w:type="spellStart"/>
      <w:r w:rsidRPr="00762A35">
        <w:rPr>
          <w:rFonts w:cs="Arial"/>
          <w:bCs/>
          <w:color w:val="003768"/>
          <w:sz w:val="20"/>
          <w:szCs w:val="20"/>
          <w:lang w:val="nl-BE"/>
        </w:rPr>
        <w:t>Warta</w:t>
      </w:r>
      <w:proofErr w:type="spellEnd"/>
      <w:r w:rsidRPr="00762A35">
        <w:rPr>
          <w:rFonts w:cs="Arial"/>
          <w:bCs/>
          <w:color w:val="003768"/>
          <w:sz w:val="20"/>
          <w:szCs w:val="20"/>
          <w:lang w:val="nl-BE"/>
        </w:rPr>
        <w:t xml:space="preserve">, </w:t>
      </w:r>
      <w:proofErr w:type="spellStart"/>
      <w:r w:rsidRPr="00762A35">
        <w:rPr>
          <w:rFonts w:cs="Arial"/>
          <w:bCs/>
          <w:color w:val="003768"/>
          <w:sz w:val="20"/>
          <w:szCs w:val="20"/>
          <w:lang w:val="nl-BE"/>
        </w:rPr>
        <w:t>Żagiel</w:t>
      </w:r>
      <w:proofErr w:type="spellEnd"/>
      <w:r w:rsidRPr="00762A35">
        <w:rPr>
          <w:rFonts w:cs="Arial"/>
          <w:bCs/>
          <w:color w:val="003768"/>
          <w:sz w:val="20"/>
          <w:szCs w:val="20"/>
          <w:lang w:val="nl-BE"/>
        </w:rPr>
        <w:t xml:space="preserve">, Nova </w:t>
      </w:r>
      <w:proofErr w:type="spellStart"/>
      <w:r w:rsidRPr="00762A35">
        <w:rPr>
          <w:rFonts w:cs="Arial"/>
          <w:bCs/>
          <w:color w:val="003768"/>
          <w:sz w:val="20"/>
          <w:szCs w:val="20"/>
          <w:lang w:val="nl-BE"/>
        </w:rPr>
        <w:t>Ljubljanska</w:t>
      </w:r>
      <w:proofErr w:type="spellEnd"/>
      <w:r w:rsidRPr="00762A35">
        <w:rPr>
          <w:rFonts w:cs="Arial"/>
          <w:bCs/>
          <w:color w:val="003768"/>
          <w:sz w:val="20"/>
          <w:szCs w:val="20"/>
          <w:lang w:val="nl-BE"/>
        </w:rPr>
        <w:t xml:space="preserve"> </w:t>
      </w:r>
      <w:proofErr w:type="spellStart"/>
      <w:r w:rsidRPr="00762A35">
        <w:rPr>
          <w:rFonts w:cs="Arial"/>
          <w:bCs/>
          <w:color w:val="003768"/>
          <w:sz w:val="20"/>
          <w:szCs w:val="20"/>
          <w:lang w:val="nl-BE"/>
        </w:rPr>
        <w:t>banka</w:t>
      </w:r>
      <w:proofErr w:type="spellEnd"/>
      <w:r w:rsidRPr="00762A35">
        <w:rPr>
          <w:rFonts w:cs="Arial"/>
          <w:bCs/>
          <w:color w:val="003768"/>
          <w:sz w:val="20"/>
          <w:szCs w:val="20"/>
          <w:lang w:val="nl-BE"/>
        </w:rPr>
        <w:t>, Absolut Bank en bepaalde andere verkopen. Met het oog op een zinvolle vergelijkingsbasis worden die items buiten beschouwing gelaten (zie ‘op vergelijkbare basis’)</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 xml:space="preserve">De </w:t>
      </w:r>
      <w:proofErr w:type="spellStart"/>
      <w:r w:rsidRPr="00762A35">
        <w:rPr>
          <w:rFonts w:cs="Arial"/>
          <w:bCs/>
          <w:color w:val="003768"/>
          <w:sz w:val="20"/>
          <w:szCs w:val="20"/>
          <w:lang w:val="nl-BE"/>
        </w:rPr>
        <w:t>nettorente</w:t>
      </w:r>
      <w:proofErr w:type="spellEnd"/>
      <w:r w:rsidRPr="00762A35">
        <w:rPr>
          <w:rFonts w:cs="Arial"/>
          <w:bCs/>
          <w:color w:val="003768"/>
          <w:sz w:val="20"/>
          <w:szCs w:val="20"/>
          <w:lang w:val="nl-BE"/>
        </w:rPr>
        <w:t xml:space="preserve">-inkomsten bedroegen 1 009 miljoen euro, hetzelfde niveau kwartaal-op-kwartaal maar een daling met 7% jaar-op-jaar (maar op vergelijkbare basis gelijk jaar-op-jaar). De </w:t>
      </w:r>
      <w:proofErr w:type="spellStart"/>
      <w:r w:rsidRPr="00762A35">
        <w:rPr>
          <w:rFonts w:cs="Arial"/>
          <w:bCs/>
          <w:color w:val="003768"/>
          <w:sz w:val="20"/>
          <w:szCs w:val="20"/>
          <w:lang w:val="nl-BE"/>
        </w:rPr>
        <w:t>nettorentemarge</w:t>
      </w:r>
      <w:proofErr w:type="spellEnd"/>
      <w:r w:rsidRPr="00762A35">
        <w:rPr>
          <w:rFonts w:cs="Arial"/>
          <w:bCs/>
          <w:color w:val="003768"/>
          <w:sz w:val="20"/>
          <w:szCs w:val="20"/>
          <w:lang w:val="nl-BE"/>
        </w:rPr>
        <w:t xml:space="preserve"> voor het betrokken kwartaal bedroeg 1,80%, 3 basispunten hoger dan het vorige kwartaal en 9 basispunten hoger dan het niveau van een jaar geleden. De depositovolumes zijn kwartaal-op-kwartaal 3% gekrompen (voornamelijk doordat er minder schuldpapier werd uitgegeven en door de depreciatie van de Tsjechische kroon) maar bleven gelijk jaar-op-jaar. De kredietvolumes zijn kwartaal-op-kwartaal 1% gedaald en de kredietportefeuille is jaar-op-jaar met 2% verminderd. De kredietportefeuille in Divisie België is kwartaal-op-kwartaal met 1% gekrompen en jaar-op-jaar met 2%. De vermindering was te situeren bij de bedrijfskredieten (door de geplande afbouw bij de buitenlandse kantoren en de terugbetaling van aandeelhoudersleningen), terwijl er bij de hypotheekleningen kwartaal-op-kwartaal een bescheiden groei was en jaar-op-jaar een groei van 1%. De deposito's in Divisie België zijn kwartaal-op-kwartaal met 3% gedaald (voornamelijk in de buitenlandse kantoren), maar jaar-op-jaar met 2% gestegen. De kredietportefeuille in Divisie Tsjechië steeg met 6% jaar-op-jaar en met 4% kwartaal-op-kwartaal. De deposito’s stegen er met 4% jaar-op-jaar en kwartaal-op-kwartaal. De kredietportefeuille in Divisie Internationale Markten kromp jaar op jaar met 7% en met 5% kwartaal-op-kwartaal. Dat is toe te schrijven aan de kredieten in Ierland en Hongarije. De depositobasis is jaar-op-jaar met 9% gegroeid (dankzij Ierland, Hongarije en Slowakije), maar kwartaal-op-kwartaal met 2% gedaald.</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 xml:space="preserve">Leven en Niet-Leven behaalden tijdens het betrokken kwartaal volgende resultaten. Na aftrek van de bruto technische lasten en het nettoresultaat uit afgestane herverzekering bedroegen de bruto verdiende premies in totaal 64 miljoen euro, een daling van 23% ten opzichte van het vorige kwartaal maar een stijging van 23% ten opzichte van vorig jaar. </w:t>
      </w:r>
    </w:p>
    <w:p w:rsidR="00762A35" w:rsidRPr="00762A35" w:rsidRDefault="00762A35" w:rsidP="00762A35">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762A35">
        <w:rPr>
          <w:rFonts w:cs="Arial"/>
          <w:bCs/>
          <w:color w:val="003768"/>
          <w:sz w:val="20"/>
          <w:szCs w:val="20"/>
          <w:lang w:val="nl-BE"/>
        </w:rPr>
        <w:t xml:space="preserve">In Niet-Leven zijn de verdiende premies ten opzichte van het vorige kwartaal met 1% gedaald maar ten opzichte van vorig jaar met 1% gestegen. In het vierde kwartaal waren er meer schadegevallen dan het kwartaal ervoor (door stormen in België), wat de technische lasten deed stijgen. De gecombineerde ratio kwam voor het volledige jaar uit op een goede 94% (101% voor het kwartaal zelf). </w:t>
      </w:r>
    </w:p>
    <w:p w:rsidR="00762A35" w:rsidRPr="00762A35" w:rsidRDefault="00762A35" w:rsidP="00762A35">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762A35">
        <w:rPr>
          <w:rFonts w:cs="Arial"/>
          <w:bCs/>
          <w:color w:val="003768"/>
          <w:sz w:val="20"/>
          <w:szCs w:val="20"/>
          <w:lang w:val="nl-BE"/>
        </w:rPr>
        <w:t>In Leven steeg de verkoop van levensverzekeringsproducten (met inbegrip van de tak 23-producten die niet vervat zijn in de premie-inkomsten) met 47% ten opzichte van het derde kwartaal van 2013 dankzij de spaarcampagne en seizoensinvloed. Jaar-op-jaar is die verkoop met maar liefst 60% gedaald door een combinatie van factoren, o.a. de nieuwe fiscale behandeling in België van tak 23-levensverzekeringen sinds begin 2013, de lage rente en een verschuiv</w:t>
      </w:r>
      <w:r w:rsidR="00306541">
        <w:rPr>
          <w:rFonts w:cs="Arial"/>
          <w:bCs/>
          <w:color w:val="003768"/>
          <w:sz w:val="20"/>
          <w:szCs w:val="20"/>
          <w:lang w:val="nl-BE"/>
        </w:rPr>
        <w:t>ing naar andere vermogensbeheer</w:t>
      </w:r>
      <w:r w:rsidRPr="00762A35">
        <w:rPr>
          <w:rFonts w:cs="Arial"/>
          <w:bCs/>
          <w:color w:val="003768"/>
          <w:sz w:val="20"/>
          <w:szCs w:val="20"/>
          <w:lang w:val="nl-BE"/>
        </w:rPr>
        <w:t>producten.</w:t>
      </w:r>
    </w:p>
    <w:p w:rsidR="00762A35" w:rsidRPr="00762A35" w:rsidRDefault="00762A35" w:rsidP="00762A35">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762A35">
        <w:rPr>
          <w:rFonts w:cs="Arial"/>
          <w:bCs/>
          <w:color w:val="003768"/>
          <w:sz w:val="20"/>
          <w:szCs w:val="20"/>
          <w:lang w:val="nl-BE"/>
        </w:rPr>
        <w:t xml:space="preserve">Het vierde kwartaal was behoorlijk voor beleggingsopbrengsten uit verzekeringsactiviteiten. Kwartaal-op-kwartaal werden de resultaten wel wat naar beneden gehaald door de lagere dividendinkomsten in de beleggingsportefeuille en door de opzettelijk beperkte opbrengsten uit de realisatie van beleggingen. Ten slotte ging ook het technisch-financiële resultaat er, ondanks </w:t>
      </w:r>
      <w:proofErr w:type="spellStart"/>
      <w:r w:rsidRPr="00762A35">
        <w:rPr>
          <w:rFonts w:cs="Arial"/>
          <w:bCs/>
          <w:color w:val="003768"/>
          <w:sz w:val="20"/>
          <w:szCs w:val="20"/>
          <w:lang w:val="nl-BE"/>
        </w:rPr>
        <w:t>eindejaarsinvloeden</w:t>
      </w:r>
      <w:proofErr w:type="spellEnd"/>
      <w:r w:rsidRPr="00762A35">
        <w:rPr>
          <w:rFonts w:cs="Arial"/>
          <w:bCs/>
          <w:color w:val="003768"/>
          <w:sz w:val="20"/>
          <w:szCs w:val="20"/>
          <w:lang w:val="nl-BE"/>
        </w:rPr>
        <w:t xml:space="preserve">, op vooruit dankzij de strikte controle van de algemene beheerskosten. </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lastRenderedPageBreak/>
        <w:t xml:space="preserve">Het nettoresultaat uit financiële instrumenten tegen reële waarde bedroeg in het betrokken kwartaal 159 miljoen euro. Dat is lager dan het gemiddelde van 194 miljoen euro van de vier voorgaande kwartalen. Dit cijfer wordt gewoonlijk bepaald door de </w:t>
      </w:r>
      <w:proofErr w:type="spellStart"/>
      <w:r w:rsidRPr="00762A35">
        <w:rPr>
          <w:rFonts w:cs="Arial"/>
          <w:bCs/>
          <w:color w:val="003768"/>
          <w:sz w:val="20"/>
          <w:szCs w:val="20"/>
          <w:lang w:val="nl-BE"/>
        </w:rPr>
        <w:t>dealingroominkomsten</w:t>
      </w:r>
      <w:proofErr w:type="spellEnd"/>
      <w:r w:rsidRPr="00762A35">
        <w:rPr>
          <w:rFonts w:cs="Arial"/>
          <w:bCs/>
          <w:color w:val="003768"/>
          <w:sz w:val="20"/>
          <w:szCs w:val="20"/>
          <w:lang w:val="nl-BE"/>
        </w:rPr>
        <w:t xml:space="preserve">. Die waren stabiel, maar het eerste en tweede kwartaal van 2013 werden vooral beïnvloed door het positieve effect van de </w:t>
      </w:r>
      <w:proofErr w:type="spellStart"/>
      <w:r w:rsidRPr="00762A35">
        <w:rPr>
          <w:rFonts w:cs="Arial"/>
          <w:bCs/>
          <w:color w:val="003768"/>
          <w:sz w:val="20"/>
          <w:szCs w:val="20"/>
          <w:lang w:val="nl-BE"/>
        </w:rPr>
        <w:t>marked</w:t>
      </w:r>
      <w:proofErr w:type="spellEnd"/>
      <w:r w:rsidRPr="00762A35">
        <w:rPr>
          <w:rFonts w:cs="Arial"/>
          <w:bCs/>
          <w:color w:val="003768"/>
          <w:sz w:val="20"/>
          <w:szCs w:val="20"/>
          <w:lang w:val="nl-BE"/>
        </w:rPr>
        <w:t>-</w:t>
      </w:r>
      <w:proofErr w:type="spellStart"/>
      <w:r w:rsidRPr="00762A35">
        <w:rPr>
          <w:rFonts w:cs="Arial"/>
          <w:bCs/>
          <w:color w:val="003768"/>
          <w:sz w:val="20"/>
          <w:szCs w:val="20"/>
          <w:lang w:val="nl-BE"/>
        </w:rPr>
        <w:t>to</w:t>
      </w:r>
      <w:proofErr w:type="spellEnd"/>
      <w:r w:rsidRPr="00762A35">
        <w:rPr>
          <w:rFonts w:cs="Arial"/>
          <w:bCs/>
          <w:color w:val="003768"/>
          <w:sz w:val="20"/>
          <w:szCs w:val="20"/>
          <w:lang w:val="nl-BE"/>
        </w:rPr>
        <w:t xml:space="preserve">-marketwaarderingen van afgeleide instrumenten gebruikt voor </w:t>
      </w:r>
      <w:proofErr w:type="spellStart"/>
      <w:r w:rsidRPr="00762A35">
        <w:rPr>
          <w:rFonts w:cs="Arial"/>
          <w:bCs/>
          <w:color w:val="003768"/>
          <w:sz w:val="20"/>
          <w:szCs w:val="20"/>
          <w:lang w:val="nl-BE"/>
        </w:rPr>
        <w:t>Asset-Liability</w:t>
      </w:r>
      <w:proofErr w:type="spellEnd"/>
      <w:r w:rsidRPr="00762A35">
        <w:rPr>
          <w:rFonts w:cs="Arial"/>
          <w:bCs/>
          <w:color w:val="003768"/>
          <w:sz w:val="20"/>
          <w:szCs w:val="20"/>
          <w:lang w:val="nl-BE"/>
        </w:rPr>
        <w:t xml:space="preserve"> Management.</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Het netto gerealiseerd resultaat uit voor verkoop beschikbare financiële activa bedroeg voor het betrokken kwartaal 29 miljoen euro, beneden het gemiddelde van 67 miljoen euro voor de vorige vier kwartalen. Die winsten zijn afkomstig uit de verkoop van zowel obligaties als aandelen.</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 xml:space="preserve">De </w:t>
      </w:r>
      <w:proofErr w:type="spellStart"/>
      <w:r w:rsidRPr="00762A35">
        <w:rPr>
          <w:rFonts w:cs="Arial"/>
          <w:bCs/>
          <w:color w:val="003768"/>
          <w:sz w:val="20"/>
          <w:szCs w:val="20"/>
          <w:lang w:val="nl-BE"/>
        </w:rPr>
        <w:t>nettoprovisie</w:t>
      </w:r>
      <w:proofErr w:type="spellEnd"/>
      <w:r w:rsidRPr="00762A35">
        <w:rPr>
          <w:rFonts w:cs="Arial"/>
          <w:bCs/>
          <w:color w:val="003768"/>
          <w:sz w:val="20"/>
          <w:szCs w:val="20"/>
          <w:lang w:val="nl-BE"/>
        </w:rPr>
        <w:t xml:space="preserve">-inkomsten bedroegen 369 miljoen euro, dat is een stijging van 7% kwartaal-op-kwartaal en 3% jaar-op-jaar Op vergelijkbare basis kwam dat neer op een stijging van 11% jaar-op-jaar. De belangrijkste factoren die het verschil kwartaal-op-kwartaal verklaren, zijn de gestegen </w:t>
      </w:r>
      <w:proofErr w:type="spellStart"/>
      <w:r w:rsidRPr="00762A35">
        <w:rPr>
          <w:rFonts w:cs="Arial"/>
          <w:bCs/>
          <w:color w:val="003768"/>
          <w:sz w:val="20"/>
          <w:szCs w:val="20"/>
          <w:lang w:val="nl-BE"/>
        </w:rPr>
        <w:t>transactiefees</w:t>
      </w:r>
      <w:proofErr w:type="spellEnd"/>
      <w:r w:rsidRPr="00762A35">
        <w:rPr>
          <w:rFonts w:cs="Arial"/>
          <w:bCs/>
          <w:color w:val="003768"/>
          <w:sz w:val="20"/>
          <w:szCs w:val="20"/>
          <w:lang w:val="nl-BE"/>
        </w:rPr>
        <w:t xml:space="preserve"> in Hongarije, de toetredingsvergoedingen voor beleggingsfondsen in België en de hogere beheersvergoedingen daarop. Het beheerd vermogen bedroeg 163 miljard euro, 2% meer dan het vorige kwartaal (uit de beleggingsperformance) en 5% ten opzichte van vorig jaar (+1% uit netto-instroom en +4% uit beleggingsperformance).</w:t>
      </w:r>
    </w:p>
    <w:p w:rsidR="00762A35" w:rsidRPr="00762A35" w:rsidRDefault="00762A35" w:rsidP="00762A35">
      <w:pPr>
        <w:pStyle w:val="ListParagraph"/>
        <w:numPr>
          <w:ilvl w:val="0"/>
          <w:numId w:val="3"/>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De overige netto-inkomsten bedroegen 47 miljoen euro, minder dan het gemiddelde van 96 miljoen euro voor de vorige vier kwartalen. In het derde kwartaal hadden enkele eenmalige items een belangrijk positief effect op dat cijfer.</w:t>
      </w:r>
    </w:p>
    <w:p w:rsidR="00762A35" w:rsidRPr="00762A35" w:rsidRDefault="00762A35" w:rsidP="00762A35">
      <w:pPr>
        <w:autoSpaceDE w:val="0"/>
        <w:autoSpaceDN w:val="0"/>
        <w:adjustRightInd w:val="0"/>
        <w:spacing w:after="120" w:line="240" w:lineRule="auto"/>
        <w:ind w:left="992" w:right="6"/>
        <w:jc w:val="both"/>
        <w:rPr>
          <w:rFonts w:cs="Arial"/>
          <w:b/>
          <w:bCs/>
          <w:color w:val="003768"/>
          <w:sz w:val="20"/>
          <w:szCs w:val="20"/>
          <w:lang w:val="nl-BE"/>
        </w:rPr>
      </w:pPr>
      <w:r w:rsidRPr="00762A35">
        <w:rPr>
          <w:rFonts w:cs="Arial"/>
          <w:b/>
          <w:bCs/>
          <w:color w:val="003768"/>
          <w:sz w:val="20"/>
          <w:szCs w:val="20"/>
          <w:lang w:val="nl-BE"/>
        </w:rPr>
        <w:t>Exploitatiekosten (aangepast nettoresultaat)</w:t>
      </w:r>
    </w:p>
    <w:p w:rsidR="00762A35" w:rsidRPr="00762A35" w:rsidRDefault="00762A35" w:rsidP="0091565F">
      <w:pPr>
        <w:pStyle w:val="ListParagraph"/>
        <w:numPr>
          <w:ilvl w:val="0"/>
          <w:numId w:val="4"/>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762A35">
        <w:rPr>
          <w:rFonts w:cs="Arial"/>
          <w:bCs/>
          <w:color w:val="003768"/>
          <w:sz w:val="20"/>
          <w:szCs w:val="20"/>
          <w:lang w:val="nl-BE"/>
        </w:rPr>
        <w:t xml:space="preserve">De exploitatiekosten bedroegen 963 miljoen euro in het vierde kwartaal van 2013. Dat is een stijging van 5% kwartaal-op-kwartaal, maar een daling van 10% jaar-op-jaar. De stijging ten opzichte van het vorige kwartaal was toe te schrijven aan </w:t>
      </w:r>
      <w:proofErr w:type="spellStart"/>
      <w:r w:rsidRPr="00762A35">
        <w:rPr>
          <w:rFonts w:cs="Arial"/>
          <w:bCs/>
          <w:color w:val="003768"/>
          <w:sz w:val="20"/>
          <w:szCs w:val="20"/>
          <w:lang w:val="nl-BE"/>
        </w:rPr>
        <w:t>eindejaarseffecten</w:t>
      </w:r>
      <w:proofErr w:type="spellEnd"/>
      <w:r w:rsidRPr="00762A35">
        <w:rPr>
          <w:rFonts w:cs="Arial"/>
          <w:bCs/>
          <w:color w:val="003768"/>
          <w:sz w:val="20"/>
          <w:szCs w:val="20"/>
          <w:lang w:val="nl-BE"/>
        </w:rPr>
        <w:t xml:space="preserve">, zoals marketingkosten en ICT-uitgaven. Op vergelijkbare basis zijn de kosten jaar-op-jaar met 1% gedaald, voornamelijk door verminderde personeelskosten en de zwakkere Tsjechische kroon. Gedeeltelijk werd dat effect tenietgedaan door de gestegen bankbelastingen in Hongarije. De kosten-inkomstenratio bedroeg voor het volledige jaar 52%. Dat geeft duidelijk aan dat de kosten goed onder controle blijven. Die ratio werd wel positief beïnvloed door de hogere </w:t>
      </w:r>
      <w:proofErr w:type="spellStart"/>
      <w:r w:rsidRPr="00762A35">
        <w:rPr>
          <w:rFonts w:cs="Arial"/>
          <w:bCs/>
          <w:color w:val="003768"/>
          <w:sz w:val="20"/>
          <w:szCs w:val="20"/>
          <w:lang w:val="nl-BE"/>
        </w:rPr>
        <w:t>marked</w:t>
      </w:r>
      <w:proofErr w:type="spellEnd"/>
      <w:r w:rsidRPr="00762A35">
        <w:rPr>
          <w:rFonts w:cs="Arial"/>
          <w:bCs/>
          <w:color w:val="003768"/>
          <w:sz w:val="20"/>
          <w:szCs w:val="20"/>
          <w:lang w:val="nl-BE"/>
        </w:rPr>
        <w:t>-</w:t>
      </w:r>
      <w:proofErr w:type="spellStart"/>
      <w:r w:rsidRPr="00762A35">
        <w:rPr>
          <w:rFonts w:cs="Arial"/>
          <w:bCs/>
          <w:color w:val="003768"/>
          <w:sz w:val="20"/>
          <w:szCs w:val="20"/>
          <w:lang w:val="nl-BE"/>
        </w:rPr>
        <w:t>to</w:t>
      </w:r>
      <w:proofErr w:type="spellEnd"/>
      <w:r w:rsidRPr="00762A35">
        <w:rPr>
          <w:rFonts w:cs="Arial"/>
          <w:bCs/>
          <w:color w:val="003768"/>
          <w:sz w:val="20"/>
          <w:szCs w:val="20"/>
          <w:lang w:val="nl-BE"/>
        </w:rPr>
        <w:t xml:space="preserve">-marketwaarderingen van de afgeleide instrumenten gebruikt voor </w:t>
      </w:r>
      <w:proofErr w:type="spellStart"/>
      <w:r w:rsidRPr="00762A35">
        <w:rPr>
          <w:rFonts w:cs="Arial"/>
          <w:bCs/>
          <w:color w:val="003768"/>
          <w:sz w:val="20"/>
          <w:szCs w:val="20"/>
          <w:lang w:val="nl-BE"/>
        </w:rPr>
        <w:t>Asset-Liability</w:t>
      </w:r>
      <w:proofErr w:type="spellEnd"/>
      <w:r w:rsidRPr="00762A35">
        <w:rPr>
          <w:rFonts w:cs="Arial"/>
          <w:bCs/>
          <w:color w:val="003768"/>
          <w:sz w:val="20"/>
          <w:szCs w:val="20"/>
          <w:lang w:val="nl-BE"/>
        </w:rPr>
        <w:t xml:space="preserve"> Management en de aanzienlijk hogere overige niet-</w:t>
      </w:r>
      <w:proofErr w:type="spellStart"/>
      <w:r w:rsidRPr="00762A35">
        <w:rPr>
          <w:rFonts w:cs="Arial"/>
          <w:bCs/>
          <w:color w:val="003768"/>
          <w:sz w:val="20"/>
          <w:szCs w:val="20"/>
          <w:lang w:val="nl-BE"/>
        </w:rPr>
        <w:t>recurrente</w:t>
      </w:r>
      <w:proofErr w:type="spellEnd"/>
      <w:r w:rsidRPr="00762A35">
        <w:rPr>
          <w:rFonts w:cs="Arial"/>
          <w:bCs/>
          <w:color w:val="003768"/>
          <w:sz w:val="20"/>
          <w:szCs w:val="20"/>
          <w:lang w:val="nl-BE"/>
        </w:rPr>
        <w:t xml:space="preserve"> inkomsten. Als we die specifieke items buiten beschouwing laten, bedroeg de kosten-inkomstenratio 54%.</w:t>
      </w:r>
    </w:p>
    <w:p w:rsidR="00762A35" w:rsidRPr="0091565F" w:rsidRDefault="0091565F" w:rsidP="0091565F">
      <w:pPr>
        <w:autoSpaceDE w:val="0"/>
        <w:autoSpaceDN w:val="0"/>
        <w:adjustRightInd w:val="0"/>
        <w:spacing w:after="120" w:line="240" w:lineRule="auto"/>
        <w:ind w:left="992" w:right="6"/>
        <w:jc w:val="both"/>
        <w:rPr>
          <w:rFonts w:cs="Arial"/>
          <w:b/>
          <w:bCs/>
          <w:color w:val="003768"/>
          <w:sz w:val="20"/>
          <w:szCs w:val="20"/>
          <w:lang w:val="nl-BE"/>
        </w:rPr>
      </w:pPr>
      <w:r w:rsidRPr="0091565F">
        <w:rPr>
          <w:rFonts w:cs="Arial"/>
          <w:b/>
          <w:bCs/>
          <w:color w:val="003768"/>
          <w:sz w:val="20"/>
          <w:szCs w:val="20"/>
          <w:lang w:val="nl-BE"/>
        </w:rPr>
        <w:t>Waardeverminderingen (aangepast nettoresultaat)</w:t>
      </w:r>
    </w:p>
    <w:p w:rsidR="0091565F" w:rsidRPr="0091565F" w:rsidRDefault="0091565F" w:rsidP="0091565F">
      <w:pPr>
        <w:pStyle w:val="ListParagraph"/>
        <w:numPr>
          <w:ilvl w:val="0"/>
          <w:numId w:val="4"/>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In het vierde kwartaal van 2013 bedroegen de waardeverminderingen op kredieten 940 miljoen euro. Dat is een stuk meer dan de 186 miljoen euro van het vorige kwartaal en dan de 329 miljoen euro van een jaar geleden. Het cijfer voor het vierde kwartaal van 2013 omvat waardeverminderingen op kredieten van 773 miljoen euro voor KBC Bank Ierland (het vorige kwartaal was dat 98 miljoen euro en in het vierde kwartaal van 2012 was het 87 miljoen euro), een waardevermindering van 65 miljoen euro voor Divisie België (in het derde kwartaal van 2013 43 miljoen euro en in het vierde kwartaal van 2012 139 miljoen euro) en 43 miljoen euro in Hongarije (in het derde kwartaal van 2013 12 miljoen euro en in het vierde kwartaal van 2012 8 miljoen euro – gedeeltelijk toe te schrijven aan een eenmalige bijkomende waardevermindering ten gevolge van een herbeoordeling van de kredietportefeuille). De kredietkostenratio op jaarbasis bedroeg 1,19%. Dat cijfer is samengesteld uit 0,37% voor Divisie België (gestegen ten opzichte van 0,28% voor boekjaar 2012, voornamelijk ten gevolge van de toegenomen waardeverminderingen op </w:t>
      </w:r>
      <w:proofErr w:type="spellStart"/>
      <w:r w:rsidRPr="0091565F">
        <w:rPr>
          <w:rFonts w:cs="Arial"/>
          <w:bCs/>
          <w:color w:val="003768"/>
          <w:sz w:val="20"/>
          <w:szCs w:val="20"/>
          <w:lang w:val="nl-BE"/>
        </w:rPr>
        <w:t>kmo</w:t>
      </w:r>
      <w:proofErr w:type="spellEnd"/>
      <w:r w:rsidRPr="0091565F">
        <w:rPr>
          <w:rFonts w:cs="Arial"/>
          <w:bCs/>
          <w:color w:val="003768"/>
          <w:sz w:val="20"/>
          <w:szCs w:val="20"/>
          <w:lang w:val="nl-BE"/>
        </w:rPr>
        <w:t xml:space="preserve">- en bedrijfskredieten), 0,25% in Divisie Tsjechië (een verbetering ten opzichte van de 0,31% voor boekjaar 2012, wat gedeeltelijk toe te schrijven is aan een veranderde methodologie) en 4,48% voor Divisie Internationale Markten (gestegen ten opzichte van de 2,26% voor boekjaar 2012). </w:t>
      </w:r>
    </w:p>
    <w:p w:rsidR="00762A35" w:rsidRPr="0091565F" w:rsidRDefault="0091565F" w:rsidP="0091565F">
      <w:pPr>
        <w:pStyle w:val="ListParagraph"/>
        <w:numPr>
          <w:ilvl w:val="0"/>
          <w:numId w:val="4"/>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De bijzondere waardeverminderingen op voor verkoop beschikbare financiële activa bedroegen 3 miljoen euro en de overige waardeverminderingen bedroegen 7 miljoen euro in het betrokken kwartaal.</w:t>
      </w:r>
    </w:p>
    <w:p w:rsidR="007A2951" w:rsidRDefault="007A2951">
      <w:pPr>
        <w:spacing w:after="0" w:line="240" w:lineRule="auto"/>
        <w:rPr>
          <w:rFonts w:cs="Arial"/>
          <w:b/>
          <w:bCs/>
          <w:color w:val="003768"/>
          <w:sz w:val="20"/>
          <w:szCs w:val="20"/>
          <w:lang w:val="nl-BE"/>
        </w:rPr>
      </w:pPr>
      <w:r>
        <w:rPr>
          <w:rFonts w:cs="Arial"/>
          <w:b/>
          <w:bCs/>
          <w:color w:val="003768"/>
          <w:sz w:val="20"/>
          <w:szCs w:val="20"/>
          <w:lang w:val="nl-BE"/>
        </w:rPr>
        <w:br w:type="page"/>
      </w:r>
    </w:p>
    <w:p w:rsidR="0091565F" w:rsidRPr="0091565F" w:rsidRDefault="0091565F" w:rsidP="0091565F">
      <w:pPr>
        <w:autoSpaceDE w:val="0"/>
        <w:autoSpaceDN w:val="0"/>
        <w:adjustRightInd w:val="0"/>
        <w:spacing w:after="120" w:line="240" w:lineRule="auto"/>
        <w:ind w:left="992" w:right="6"/>
        <w:jc w:val="both"/>
        <w:rPr>
          <w:rFonts w:cs="Arial"/>
          <w:b/>
          <w:bCs/>
          <w:color w:val="003768"/>
          <w:sz w:val="20"/>
          <w:szCs w:val="20"/>
          <w:lang w:val="nl-BE"/>
        </w:rPr>
      </w:pPr>
      <w:r w:rsidRPr="0091565F">
        <w:rPr>
          <w:rFonts w:cs="Arial"/>
          <w:b/>
          <w:bCs/>
          <w:color w:val="003768"/>
          <w:sz w:val="20"/>
          <w:szCs w:val="20"/>
          <w:lang w:val="nl-BE"/>
        </w:rPr>
        <w:lastRenderedPageBreak/>
        <w:t xml:space="preserve">Invloed van de </w:t>
      </w:r>
      <w:proofErr w:type="spellStart"/>
      <w:r w:rsidRPr="0091565F">
        <w:rPr>
          <w:rFonts w:cs="Arial"/>
          <w:b/>
          <w:bCs/>
          <w:color w:val="003768"/>
          <w:sz w:val="20"/>
          <w:szCs w:val="20"/>
          <w:lang w:val="nl-BE"/>
        </w:rPr>
        <w:t>legacy</w:t>
      </w:r>
      <w:proofErr w:type="spellEnd"/>
      <w:r w:rsidRPr="0091565F">
        <w:rPr>
          <w:rFonts w:cs="Arial"/>
          <w:b/>
          <w:bCs/>
          <w:color w:val="003768"/>
          <w:sz w:val="20"/>
          <w:szCs w:val="20"/>
          <w:lang w:val="nl-BE"/>
        </w:rPr>
        <w:t>-activiteiten en de waardering van het eigen kredietrisico op het resultaat:</w:t>
      </w:r>
    </w:p>
    <w:p w:rsidR="0091565F" w:rsidRPr="0091565F" w:rsidRDefault="0091565F" w:rsidP="0091565F">
      <w:pPr>
        <w:pStyle w:val="ListParagraph"/>
        <w:numPr>
          <w:ilvl w:val="0"/>
          <w:numId w:val="5"/>
        </w:numPr>
        <w:autoSpaceDE w:val="0"/>
        <w:autoSpaceDN w:val="0"/>
        <w:adjustRightInd w:val="0"/>
        <w:spacing w:after="60" w:line="240" w:lineRule="auto"/>
        <w:ind w:left="1706" w:right="6" w:hanging="357"/>
        <w:contextualSpacing w:val="0"/>
        <w:jc w:val="both"/>
        <w:rPr>
          <w:rFonts w:cs="Arial"/>
          <w:bCs/>
          <w:color w:val="003768"/>
          <w:sz w:val="20"/>
          <w:szCs w:val="20"/>
          <w:lang w:val="nl-BE"/>
        </w:rPr>
      </w:pPr>
      <w:proofErr w:type="spellStart"/>
      <w:r w:rsidRPr="0091565F">
        <w:rPr>
          <w:rFonts w:cs="Arial"/>
          <w:bCs/>
          <w:color w:val="003768"/>
          <w:sz w:val="20"/>
          <w:szCs w:val="20"/>
          <w:lang w:val="nl-BE"/>
        </w:rPr>
        <w:t>CDO’s</w:t>
      </w:r>
      <w:proofErr w:type="spellEnd"/>
      <w:r w:rsidRPr="0091565F">
        <w:rPr>
          <w:rFonts w:cs="Arial"/>
          <w:bCs/>
          <w:color w:val="003768"/>
          <w:sz w:val="20"/>
          <w:szCs w:val="20"/>
          <w:lang w:val="nl-BE"/>
        </w:rPr>
        <w:t xml:space="preserve">: Tijdens het vierde kwartaal vernauwden de creditspreads op bedrijfsobligaties en </w:t>
      </w:r>
      <w:proofErr w:type="spellStart"/>
      <w:r w:rsidRPr="0091565F">
        <w:rPr>
          <w:rFonts w:cs="Arial"/>
          <w:bCs/>
          <w:color w:val="003768"/>
          <w:sz w:val="20"/>
          <w:szCs w:val="20"/>
          <w:lang w:val="nl-BE"/>
        </w:rPr>
        <w:t>ABS'en</w:t>
      </w:r>
      <w:proofErr w:type="spellEnd"/>
      <w:r w:rsidRPr="0091565F">
        <w:rPr>
          <w:rFonts w:cs="Arial"/>
          <w:bCs/>
          <w:color w:val="003768"/>
          <w:sz w:val="20"/>
          <w:szCs w:val="20"/>
          <w:lang w:val="nl-BE"/>
        </w:rPr>
        <w:t xml:space="preserve"> verder, net zoals in de voorgaande kwartalen. Rekening houdend met het effect van de vergoeding voor de CDO-garantieregeling van de Belgische federale overheid en de kosten van de beëindiging van </w:t>
      </w:r>
      <w:proofErr w:type="spellStart"/>
      <w:r w:rsidRPr="0091565F">
        <w:rPr>
          <w:rFonts w:cs="Arial"/>
          <w:bCs/>
          <w:color w:val="003768"/>
          <w:sz w:val="20"/>
          <w:szCs w:val="20"/>
          <w:lang w:val="nl-BE"/>
        </w:rPr>
        <w:t>CDO’s</w:t>
      </w:r>
      <w:proofErr w:type="spellEnd"/>
      <w:r w:rsidRPr="0091565F">
        <w:rPr>
          <w:rFonts w:cs="Arial"/>
          <w:bCs/>
          <w:color w:val="003768"/>
          <w:sz w:val="20"/>
          <w:szCs w:val="20"/>
          <w:lang w:val="nl-BE"/>
        </w:rPr>
        <w:t>, was er een positief effect na belastingen van 65 miljoen euro.</w:t>
      </w:r>
    </w:p>
    <w:p w:rsidR="0091565F" w:rsidRPr="0091565F" w:rsidRDefault="0091565F" w:rsidP="0091565F">
      <w:pPr>
        <w:pStyle w:val="ListParagraph"/>
        <w:numPr>
          <w:ilvl w:val="0"/>
          <w:numId w:val="5"/>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Resterende desinvesteringen: voor dit kwartaal werd er een totale negatieve impact na belastingen geboekt van 10 miljoen euro. Die was voornamelijk toe te schrijven aan de afronding van de verkoop van KBC </w:t>
      </w:r>
      <w:proofErr w:type="spellStart"/>
      <w:r w:rsidRPr="0091565F">
        <w:rPr>
          <w:rFonts w:cs="Arial"/>
          <w:bCs/>
          <w:color w:val="003768"/>
          <w:sz w:val="20"/>
          <w:szCs w:val="20"/>
          <w:lang w:val="nl-BE"/>
        </w:rPr>
        <w:t>Banka</w:t>
      </w:r>
      <w:proofErr w:type="spellEnd"/>
      <w:r w:rsidRPr="0091565F">
        <w:rPr>
          <w:rFonts w:cs="Arial"/>
          <w:bCs/>
          <w:color w:val="003768"/>
          <w:sz w:val="20"/>
          <w:szCs w:val="20"/>
          <w:lang w:val="nl-BE"/>
        </w:rPr>
        <w:t xml:space="preserve"> en de kosten verbonden met de afbouw van aandeelhoudersleningen.</w:t>
      </w:r>
    </w:p>
    <w:p w:rsidR="0091565F" w:rsidRPr="0091565F" w:rsidRDefault="0091565F" w:rsidP="0091565F">
      <w:pPr>
        <w:pStyle w:val="ListParagraph"/>
        <w:numPr>
          <w:ilvl w:val="0"/>
          <w:numId w:val="5"/>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Invloed van de waardering van het eigen kredietrisico: De lichte vernauwing van de creditspread van KBC tussen eind september 2013 en het einde van het jaar leidde tot een negatieve </w:t>
      </w:r>
      <w:proofErr w:type="spellStart"/>
      <w:r w:rsidRPr="0091565F">
        <w:rPr>
          <w:rFonts w:cs="Arial"/>
          <w:bCs/>
          <w:color w:val="003768"/>
          <w:sz w:val="20"/>
          <w:szCs w:val="20"/>
          <w:lang w:val="nl-BE"/>
        </w:rPr>
        <w:t>marked</w:t>
      </w:r>
      <w:proofErr w:type="spellEnd"/>
      <w:r w:rsidRPr="0091565F">
        <w:rPr>
          <w:rFonts w:cs="Arial"/>
          <w:bCs/>
          <w:color w:val="003768"/>
          <w:sz w:val="20"/>
          <w:szCs w:val="20"/>
          <w:lang w:val="nl-BE"/>
        </w:rPr>
        <w:t>-</w:t>
      </w:r>
      <w:proofErr w:type="spellStart"/>
      <w:r w:rsidRPr="0091565F">
        <w:rPr>
          <w:rFonts w:cs="Arial"/>
          <w:bCs/>
          <w:color w:val="003768"/>
          <w:sz w:val="20"/>
          <w:szCs w:val="20"/>
          <w:lang w:val="nl-BE"/>
        </w:rPr>
        <w:t>to</w:t>
      </w:r>
      <w:proofErr w:type="spellEnd"/>
      <w:r w:rsidRPr="0091565F">
        <w:rPr>
          <w:rFonts w:cs="Arial"/>
          <w:bCs/>
          <w:color w:val="003768"/>
          <w:sz w:val="20"/>
          <w:szCs w:val="20"/>
          <w:lang w:val="nl-BE"/>
        </w:rPr>
        <w:t>-marketaanpassing van 9 miljoen euro (na belastingen), maar had geen invloed op het reglementair eigen vermogen.</w:t>
      </w:r>
    </w:p>
    <w:p w:rsidR="0091565F" w:rsidRPr="0091565F" w:rsidRDefault="0091565F" w:rsidP="0091565F">
      <w:pPr>
        <w:autoSpaceDE w:val="0"/>
        <w:autoSpaceDN w:val="0"/>
        <w:adjustRightInd w:val="0"/>
        <w:spacing w:after="120" w:line="240" w:lineRule="auto"/>
        <w:ind w:left="992" w:right="6"/>
        <w:jc w:val="both"/>
        <w:rPr>
          <w:rFonts w:cs="Arial"/>
          <w:b/>
          <w:bCs/>
          <w:color w:val="003768"/>
          <w:sz w:val="20"/>
          <w:szCs w:val="20"/>
          <w:lang w:val="nl-BE"/>
        </w:rPr>
      </w:pPr>
      <w:r w:rsidRPr="0091565F">
        <w:rPr>
          <w:rFonts w:cs="Arial"/>
          <w:b/>
          <w:bCs/>
          <w:color w:val="003768"/>
          <w:sz w:val="20"/>
          <w:szCs w:val="20"/>
          <w:lang w:val="nl-BE"/>
        </w:rPr>
        <w:t>Indeling per divisie</w:t>
      </w:r>
    </w:p>
    <w:p w:rsidR="0091565F" w:rsidRPr="0091565F" w:rsidRDefault="0091565F" w:rsidP="0091565F">
      <w:pPr>
        <w:pStyle w:val="ListParagraph"/>
        <w:numPr>
          <w:ilvl w:val="0"/>
          <w:numId w:val="6"/>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In het vierde kwartaal van 2013 behaalde Divisie België een nettoresultaat van 376 miljoen euro, behoorlijk meer dan de 295 miljoen euro van het vierde kwartaal van 2012. In vergelijking met het derde kwartaal werd het vierde kwartaal gekenmerkt door hogere </w:t>
      </w:r>
      <w:proofErr w:type="spellStart"/>
      <w:r w:rsidRPr="0091565F">
        <w:rPr>
          <w:rFonts w:cs="Arial"/>
          <w:bCs/>
          <w:color w:val="003768"/>
          <w:sz w:val="20"/>
          <w:szCs w:val="20"/>
          <w:lang w:val="nl-BE"/>
        </w:rPr>
        <w:t>nettorente</w:t>
      </w:r>
      <w:proofErr w:type="spellEnd"/>
      <w:r w:rsidRPr="0091565F">
        <w:rPr>
          <w:rFonts w:cs="Arial"/>
          <w:bCs/>
          <w:color w:val="003768"/>
          <w:sz w:val="20"/>
          <w:szCs w:val="20"/>
          <w:lang w:val="nl-BE"/>
        </w:rPr>
        <w:t xml:space="preserve">-inkomsten, stabiele </w:t>
      </w:r>
      <w:proofErr w:type="spellStart"/>
      <w:r w:rsidRPr="0091565F">
        <w:rPr>
          <w:rFonts w:cs="Arial"/>
          <w:bCs/>
          <w:color w:val="003768"/>
          <w:sz w:val="20"/>
          <w:szCs w:val="20"/>
          <w:lang w:val="nl-BE"/>
        </w:rPr>
        <w:t>nettoprovisie</w:t>
      </w:r>
      <w:proofErr w:type="spellEnd"/>
      <w:r w:rsidRPr="0091565F">
        <w:rPr>
          <w:rFonts w:cs="Arial"/>
          <w:bCs/>
          <w:color w:val="003768"/>
          <w:sz w:val="20"/>
          <w:szCs w:val="20"/>
          <w:lang w:val="nl-BE"/>
        </w:rPr>
        <w:t>-inkomsten en een goede verkoop van levensverzekeringen met rentegarantie, maar ook door een zwakkere gecombineerde ratio voor Niet-Leven (door hogere schadeclaims), lagere exploitatiekosten en hogere waardeverminderingen op kredieten. De bankactiviteiten waren in het vierde kwartaal van 2013 goed voor 85% van het nettoresultaat, de verzekeringsactiviteiten voor 15%.</w:t>
      </w:r>
    </w:p>
    <w:p w:rsidR="0091565F" w:rsidRPr="0091565F" w:rsidRDefault="0091565F" w:rsidP="0091565F">
      <w:pPr>
        <w:pStyle w:val="ListParagraph"/>
        <w:numPr>
          <w:ilvl w:val="0"/>
          <w:numId w:val="6"/>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Divisie Tsjechië zette een nettoresultaat van 119 miljoen euro neer, iets meer dan het cijfer voor het laatste kwartaal van 2012. Dat was in sterke mate toe te schrijven aan de depreciatie van de Tsjechische kroon. In vergelijking met het derde kwartaal was er in het vierde kwartaal een lichte daling van de </w:t>
      </w:r>
      <w:proofErr w:type="spellStart"/>
      <w:r w:rsidRPr="0091565F">
        <w:rPr>
          <w:rFonts w:cs="Arial"/>
          <w:bCs/>
          <w:color w:val="003768"/>
          <w:sz w:val="20"/>
          <w:szCs w:val="20"/>
          <w:lang w:val="nl-BE"/>
        </w:rPr>
        <w:t>nettorente</w:t>
      </w:r>
      <w:proofErr w:type="spellEnd"/>
      <w:r w:rsidRPr="0091565F">
        <w:rPr>
          <w:rFonts w:cs="Arial"/>
          <w:bCs/>
          <w:color w:val="003768"/>
          <w:sz w:val="20"/>
          <w:szCs w:val="20"/>
          <w:lang w:val="nl-BE"/>
        </w:rPr>
        <w:t xml:space="preserve">-inkomsten, een verbeterde gecombineerde ratio voor Niet-Leven, een gestegen verkoop van tak 23-levensverzekeringen, hogere </w:t>
      </w:r>
      <w:proofErr w:type="spellStart"/>
      <w:r w:rsidRPr="0091565F">
        <w:rPr>
          <w:rFonts w:cs="Arial"/>
          <w:bCs/>
          <w:color w:val="003768"/>
          <w:sz w:val="20"/>
          <w:szCs w:val="20"/>
          <w:lang w:val="nl-BE"/>
        </w:rPr>
        <w:t>nettoprovisie</w:t>
      </w:r>
      <w:proofErr w:type="spellEnd"/>
      <w:r w:rsidRPr="0091565F">
        <w:rPr>
          <w:rFonts w:cs="Arial"/>
          <w:bCs/>
          <w:color w:val="003768"/>
          <w:sz w:val="20"/>
          <w:szCs w:val="20"/>
          <w:lang w:val="nl-BE"/>
        </w:rPr>
        <w:t>-inkomsten, een uitstekende kosten-inkomstenratio en hogere waardeverminderingen op kredieten. De bankactiviteiten waren in het vierde kwartaal van 2013 goed voor 92% van het nettoresultaat, de verzekeringsactiviteiten voor 8%.</w:t>
      </w:r>
    </w:p>
    <w:p w:rsidR="0091565F" w:rsidRPr="0091565F" w:rsidRDefault="0091565F" w:rsidP="0091565F">
      <w:pPr>
        <w:pStyle w:val="ListParagraph"/>
        <w:numPr>
          <w:ilvl w:val="0"/>
          <w:numId w:val="6"/>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Divisie Internationale Markten boekte een eenmalig laag nettoresultaat van -731 miljoen euro. In vergelijking met het vorige kwartaal had het vierde kwartaal voornamelijk te lijden onder de eenmalige waardeverminderingen van 773 miljoen euro voor de Ierse kredietportefeuille. Daarnaast waren de </w:t>
      </w:r>
      <w:proofErr w:type="spellStart"/>
      <w:r w:rsidRPr="0091565F">
        <w:rPr>
          <w:rFonts w:cs="Arial"/>
          <w:bCs/>
          <w:color w:val="003768"/>
          <w:sz w:val="20"/>
          <w:szCs w:val="20"/>
          <w:lang w:val="nl-BE"/>
        </w:rPr>
        <w:t>nettorente</w:t>
      </w:r>
      <w:proofErr w:type="spellEnd"/>
      <w:r w:rsidRPr="0091565F">
        <w:rPr>
          <w:rFonts w:cs="Arial"/>
          <w:bCs/>
          <w:color w:val="003768"/>
          <w:sz w:val="20"/>
          <w:szCs w:val="20"/>
          <w:lang w:val="nl-BE"/>
        </w:rPr>
        <w:t xml:space="preserve">-inkomsten lager (door Ierland), maar de </w:t>
      </w:r>
      <w:proofErr w:type="spellStart"/>
      <w:r w:rsidRPr="0091565F">
        <w:rPr>
          <w:rFonts w:cs="Arial"/>
          <w:bCs/>
          <w:color w:val="003768"/>
          <w:sz w:val="20"/>
          <w:szCs w:val="20"/>
          <w:lang w:val="nl-BE"/>
        </w:rPr>
        <w:t>nettoprovisie</w:t>
      </w:r>
      <w:proofErr w:type="spellEnd"/>
      <w:r w:rsidRPr="0091565F">
        <w:rPr>
          <w:rFonts w:cs="Arial"/>
          <w:bCs/>
          <w:color w:val="003768"/>
          <w:sz w:val="20"/>
          <w:szCs w:val="20"/>
          <w:lang w:val="nl-BE"/>
        </w:rPr>
        <w:t xml:space="preserve">-inkomsten waren duidelijk gestegen (dankzij Hongarije). Door </w:t>
      </w:r>
      <w:proofErr w:type="spellStart"/>
      <w:r w:rsidRPr="0091565F">
        <w:rPr>
          <w:rFonts w:cs="Arial"/>
          <w:bCs/>
          <w:color w:val="003768"/>
          <w:sz w:val="20"/>
          <w:szCs w:val="20"/>
          <w:lang w:val="nl-BE"/>
        </w:rPr>
        <w:t>seizoenseffecten</w:t>
      </w:r>
      <w:proofErr w:type="spellEnd"/>
      <w:r w:rsidRPr="0091565F">
        <w:rPr>
          <w:rFonts w:cs="Arial"/>
          <w:bCs/>
          <w:color w:val="003768"/>
          <w:sz w:val="20"/>
          <w:szCs w:val="20"/>
          <w:lang w:val="nl-BE"/>
        </w:rPr>
        <w:t xml:space="preserve"> en gestegen uitgaven zijn de kosten ook gestegen. Globaal tekenden de bankactiviteiten voor een negatief nettoresultaat van -735 miljoen euro (de positieve resultaten van Slowakije, Hongarije en Bulgarije werden tenietgedaan door het negatieve resultaat in Ierland), terwijl de verzekeringsactiviteiten een positief nettoresultaat van 4 miljoen euro genereerden.</w:t>
      </w:r>
    </w:p>
    <w:p w:rsidR="0091565F" w:rsidRPr="0091565F" w:rsidRDefault="0091565F" w:rsidP="0091565F">
      <w:pPr>
        <w:pStyle w:val="ListParagraph"/>
        <w:numPr>
          <w:ilvl w:val="0"/>
          <w:numId w:val="6"/>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Het nettoresultaat van Groepscenter bedroeg in het vierde kwartaal van 2013 -58 miljoen euro. Zoals gezegd, omvat dat cijfer niet alleen een aantal groepsitems en de resultaten van te desinvesteren ondernemingen, maar ook de volledige invloed van de </w:t>
      </w:r>
      <w:proofErr w:type="spellStart"/>
      <w:r w:rsidRPr="0091565F">
        <w:rPr>
          <w:rFonts w:cs="Arial"/>
          <w:bCs/>
          <w:color w:val="003768"/>
          <w:sz w:val="20"/>
          <w:szCs w:val="20"/>
          <w:lang w:val="nl-BE"/>
        </w:rPr>
        <w:t>legacy</w:t>
      </w:r>
      <w:proofErr w:type="spellEnd"/>
      <w:r w:rsidRPr="0091565F">
        <w:rPr>
          <w:rFonts w:cs="Arial"/>
          <w:bCs/>
          <w:color w:val="003768"/>
          <w:sz w:val="20"/>
          <w:szCs w:val="20"/>
          <w:lang w:val="nl-BE"/>
        </w:rPr>
        <w:t>-activiteiten (</w:t>
      </w:r>
      <w:proofErr w:type="spellStart"/>
      <w:r w:rsidRPr="0091565F">
        <w:rPr>
          <w:rFonts w:cs="Arial"/>
          <w:bCs/>
          <w:color w:val="003768"/>
          <w:sz w:val="20"/>
          <w:szCs w:val="20"/>
          <w:lang w:val="nl-BE"/>
        </w:rPr>
        <w:t>CDO’s</w:t>
      </w:r>
      <w:proofErr w:type="spellEnd"/>
      <w:r w:rsidRPr="0091565F">
        <w:rPr>
          <w:rFonts w:cs="Arial"/>
          <w:bCs/>
          <w:color w:val="003768"/>
          <w:sz w:val="20"/>
          <w:szCs w:val="20"/>
          <w:lang w:val="nl-BE"/>
        </w:rPr>
        <w:t xml:space="preserve">, desinvesteringen) en de waardering van het eigen kredietrisico (zie hoger). Laten we de </w:t>
      </w:r>
      <w:proofErr w:type="spellStart"/>
      <w:r w:rsidRPr="0091565F">
        <w:rPr>
          <w:rFonts w:cs="Arial"/>
          <w:bCs/>
          <w:color w:val="003768"/>
          <w:sz w:val="20"/>
          <w:szCs w:val="20"/>
          <w:lang w:val="nl-BE"/>
        </w:rPr>
        <w:t>de</w:t>
      </w:r>
      <w:proofErr w:type="spellEnd"/>
      <w:r w:rsidRPr="0091565F">
        <w:rPr>
          <w:rFonts w:cs="Arial"/>
          <w:bCs/>
          <w:color w:val="003768"/>
          <w:sz w:val="20"/>
          <w:szCs w:val="20"/>
          <w:lang w:val="nl-BE"/>
        </w:rPr>
        <w:t xml:space="preserve"> </w:t>
      </w:r>
      <w:proofErr w:type="spellStart"/>
      <w:r w:rsidRPr="0091565F">
        <w:rPr>
          <w:rFonts w:cs="Arial"/>
          <w:bCs/>
          <w:color w:val="003768"/>
          <w:sz w:val="20"/>
          <w:szCs w:val="20"/>
          <w:lang w:val="nl-BE"/>
        </w:rPr>
        <w:t>legacy</w:t>
      </w:r>
      <w:proofErr w:type="spellEnd"/>
      <w:r w:rsidRPr="0091565F">
        <w:rPr>
          <w:rFonts w:cs="Arial"/>
          <w:bCs/>
          <w:color w:val="003768"/>
          <w:sz w:val="20"/>
          <w:szCs w:val="20"/>
          <w:lang w:val="nl-BE"/>
        </w:rPr>
        <w:t>-activiteiten en de waardering van eigen kredietrisico buiten beschouwing, dan bedraagt het aangepaste nettoresultaat van Groepscenter -104 miljoen euro.</w:t>
      </w:r>
    </w:p>
    <w:p w:rsidR="0091565F" w:rsidRDefault="0091565F">
      <w:pPr>
        <w:spacing w:after="0" w:line="240" w:lineRule="auto"/>
        <w:rPr>
          <w:rFonts w:cs="Arial"/>
          <w:bCs/>
          <w:color w:val="003768"/>
          <w:sz w:val="20"/>
          <w:szCs w:val="20"/>
          <w:lang w:val="nl-BE"/>
        </w:rPr>
      </w:pPr>
      <w:r>
        <w:rPr>
          <w:rFonts w:cs="Arial"/>
          <w:bCs/>
          <w:color w:val="003768"/>
          <w:sz w:val="20"/>
          <w:szCs w:val="20"/>
          <w:lang w:val="nl-BE"/>
        </w:rPr>
        <w:br w:type="page"/>
      </w:r>
    </w:p>
    <w:p w:rsidR="0091565F" w:rsidRPr="0091565F" w:rsidRDefault="0091565F" w:rsidP="0091565F">
      <w:pPr>
        <w:autoSpaceDE w:val="0"/>
        <w:autoSpaceDN w:val="0"/>
        <w:adjustRightInd w:val="0"/>
        <w:spacing w:after="120" w:line="240" w:lineRule="auto"/>
        <w:ind w:left="992" w:right="6"/>
        <w:rPr>
          <w:rFonts w:ascii="Rockwell" w:hAnsi="Rockwell" w:cs="Arial"/>
          <w:b/>
          <w:bCs/>
          <w:color w:val="003366"/>
          <w:sz w:val="28"/>
          <w:szCs w:val="28"/>
          <w:lang w:val="nl-BE"/>
        </w:rPr>
      </w:pPr>
      <w:r w:rsidRPr="0091565F">
        <w:rPr>
          <w:rFonts w:ascii="Rockwell" w:hAnsi="Rockwell" w:cs="Arial"/>
          <w:b/>
          <w:bCs/>
          <w:color w:val="003366"/>
          <w:sz w:val="28"/>
          <w:szCs w:val="28"/>
          <w:lang w:val="nl-BE"/>
        </w:rPr>
        <w:lastRenderedPageBreak/>
        <w:t>Analyse van het boekjaar 2013</w:t>
      </w:r>
    </w:p>
    <w:p w:rsidR="0091565F" w:rsidRPr="0091565F" w:rsidRDefault="0091565F" w:rsidP="0091565F">
      <w:pPr>
        <w:autoSpaceDE w:val="0"/>
        <w:autoSpaceDN w:val="0"/>
        <w:adjustRightInd w:val="0"/>
        <w:spacing w:after="120" w:line="240" w:lineRule="auto"/>
        <w:ind w:left="992" w:right="6"/>
        <w:jc w:val="both"/>
        <w:rPr>
          <w:rFonts w:cs="Arial"/>
          <w:b/>
          <w:bCs/>
          <w:color w:val="003768"/>
          <w:sz w:val="20"/>
          <w:szCs w:val="20"/>
          <w:lang w:val="nl-BE"/>
        </w:rPr>
      </w:pPr>
      <w:r w:rsidRPr="0091565F">
        <w:rPr>
          <w:rFonts w:cs="Arial"/>
          <w:b/>
          <w:bCs/>
          <w:color w:val="003768"/>
          <w:sz w:val="20"/>
          <w:szCs w:val="20"/>
          <w:lang w:val="nl-BE"/>
        </w:rPr>
        <w:t xml:space="preserve">Het nettoresultaat voor 2013 bedroeg 1 015 miljoen euro, tegenover 612 miljoen euro voor het vorige boekjaar.  Zonder de </w:t>
      </w:r>
      <w:proofErr w:type="spellStart"/>
      <w:r w:rsidRPr="0091565F">
        <w:rPr>
          <w:rFonts w:cs="Arial"/>
          <w:b/>
          <w:bCs/>
          <w:color w:val="003768"/>
          <w:sz w:val="20"/>
          <w:szCs w:val="20"/>
          <w:lang w:val="nl-BE"/>
        </w:rPr>
        <w:t>legacy</w:t>
      </w:r>
      <w:proofErr w:type="spellEnd"/>
      <w:r w:rsidRPr="0091565F">
        <w:rPr>
          <w:rFonts w:cs="Arial"/>
          <w:b/>
          <w:bCs/>
          <w:color w:val="003768"/>
          <w:sz w:val="20"/>
          <w:szCs w:val="20"/>
          <w:lang w:val="nl-BE"/>
        </w:rPr>
        <w:t>-activiteiten en de invloed van het eigen kredietrisico bedroeg het aangepast nettoresultaat 960 miljoen euro, tegenover 1 496 miljoen euro in 2012.</w:t>
      </w:r>
    </w:p>
    <w:p w:rsidR="0091565F" w:rsidRPr="0091565F" w:rsidRDefault="0091565F" w:rsidP="0091565F">
      <w:pPr>
        <w:autoSpaceDE w:val="0"/>
        <w:autoSpaceDN w:val="0"/>
        <w:adjustRightInd w:val="0"/>
        <w:spacing w:after="120" w:line="240" w:lineRule="auto"/>
        <w:ind w:left="992" w:right="6"/>
        <w:jc w:val="both"/>
        <w:rPr>
          <w:rFonts w:cs="Arial"/>
          <w:b/>
          <w:bCs/>
          <w:color w:val="003768"/>
          <w:sz w:val="20"/>
          <w:szCs w:val="20"/>
          <w:lang w:val="nl-BE"/>
        </w:rPr>
      </w:pPr>
      <w:r w:rsidRPr="0091565F">
        <w:rPr>
          <w:rFonts w:cs="Arial"/>
          <w:b/>
          <w:bCs/>
          <w:color w:val="003768"/>
          <w:sz w:val="20"/>
          <w:szCs w:val="20"/>
          <w:lang w:val="nl-BE"/>
        </w:rPr>
        <w:t>Totale opbrengsten (aangepast nettoresultaat)</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De performance jaar-op-jaar werd voor een deel beïnvloed door de deconsolidatie van </w:t>
      </w:r>
      <w:proofErr w:type="spellStart"/>
      <w:r w:rsidRPr="0091565F">
        <w:rPr>
          <w:rFonts w:cs="Arial"/>
          <w:bCs/>
          <w:color w:val="003768"/>
          <w:sz w:val="20"/>
          <w:szCs w:val="20"/>
          <w:lang w:val="nl-BE"/>
        </w:rPr>
        <w:t>Kredyt</w:t>
      </w:r>
      <w:proofErr w:type="spellEnd"/>
      <w:r w:rsidRPr="0091565F">
        <w:rPr>
          <w:rFonts w:cs="Arial"/>
          <w:bCs/>
          <w:color w:val="003768"/>
          <w:sz w:val="20"/>
          <w:szCs w:val="20"/>
          <w:lang w:val="nl-BE"/>
        </w:rPr>
        <w:t xml:space="preserve"> Bank, </w:t>
      </w:r>
      <w:proofErr w:type="spellStart"/>
      <w:r w:rsidRPr="0091565F">
        <w:rPr>
          <w:rFonts w:cs="Arial"/>
          <w:bCs/>
          <w:color w:val="003768"/>
          <w:sz w:val="20"/>
          <w:szCs w:val="20"/>
          <w:lang w:val="nl-BE"/>
        </w:rPr>
        <w:t>Warta</w:t>
      </w:r>
      <w:proofErr w:type="spellEnd"/>
      <w:r w:rsidRPr="0091565F">
        <w:rPr>
          <w:rFonts w:cs="Arial"/>
          <w:bCs/>
          <w:color w:val="003768"/>
          <w:sz w:val="20"/>
          <w:szCs w:val="20"/>
          <w:lang w:val="nl-BE"/>
        </w:rPr>
        <w:t xml:space="preserve">, </w:t>
      </w:r>
      <w:proofErr w:type="spellStart"/>
      <w:r w:rsidRPr="0091565F">
        <w:rPr>
          <w:rFonts w:cs="Arial"/>
          <w:bCs/>
          <w:color w:val="003768"/>
          <w:sz w:val="20"/>
          <w:szCs w:val="20"/>
          <w:lang w:val="nl-BE"/>
        </w:rPr>
        <w:t>Żagiel</w:t>
      </w:r>
      <w:proofErr w:type="spellEnd"/>
      <w:r w:rsidRPr="0091565F">
        <w:rPr>
          <w:rFonts w:cs="Arial"/>
          <w:bCs/>
          <w:color w:val="003768"/>
          <w:sz w:val="20"/>
          <w:szCs w:val="20"/>
          <w:lang w:val="nl-BE"/>
        </w:rPr>
        <w:t xml:space="preserve">, Nova </w:t>
      </w:r>
      <w:proofErr w:type="spellStart"/>
      <w:r w:rsidRPr="0091565F">
        <w:rPr>
          <w:rFonts w:cs="Arial"/>
          <w:bCs/>
          <w:color w:val="003768"/>
          <w:sz w:val="20"/>
          <w:szCs w:val="20"/>
          <w:lang w:val="nl-BE"/>
        </w:rPr>
        <w:t>Ljubljanska</w:t>
      </w:r>
      <w:proofErr w:type="spellEnd"/>
      <w:r w:rsidRPr="0091565F">
        <w:rPr>
          <w:rFonts w:cs="Arial"/>
          <w:bCs/>
          <w:color w:val="003768"/>
          <w:sz w:val="20"/>
          <w:szCs w:val="20"/>
          <w:lang w:val="nl-BE"/>
        </w:rPr>
        <w:t xml:space="preserve"> </w:t>
      </w:r>
      <w:proofErr w:type="spellStart"/>
      <w:r w:rsidRPr="0091565F">
        <w:rPr>
          <w:rFonts w:cs="Arial"/>
          <w:bCs/>
          <w:color w:val="003768"/>
          <w:sz w:val="20"/>
          <w:szCs w:val="20"/>
          <w:lang w:val="nl-BE"/>
        </w:rPr>
        <w:t>banka</w:t>
      </w:r>
      <w:proofErr w:type="spellEnd"/>
      <w:r w:rsidRPr="0091565F">
        <w:rPr>
          <w:rFonts w:cs="Arial"/>
          <w:bCs/>
          <w:color w:val="003768"/>
          <w:sz w:val="20"/>
          <w:szCs w:val="20"/>
          <w:lang w:val="nl-BE"/>
        </w:rPr>
        <w:t>, Absolut Bank en bepaalde andere verkopen. Met het oog op een zinvolle vergelijkingsbasis worden die items buiten beschouwing gelaten (zie ‘op vergelijkbare basis’)</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De </w:t>
      </w:r>
      <w:proofErr w:type="spellStart"/>
      <w:r w:rsidRPr="0091565F">
        <w:rPr>
          <w:rFonts w:cs="Arial"/>
          <w:bCs/>
          <w:color w:val="003768"/>
          <w:sz w:val="20"/>
          <w:szCs w:val="20"/>
          <w:lang w:val="nl-BE"/>
        </w:rPr>
        <w:t>nettorente</w:t>
      </w:r>
      <w:proofErr w:type="spellEnd"/>
      <w:r w:rsidRPr="0091565F">
        <w:rPr>
          <w:rFonts w:cs="Arial"/>
          <w:bCs/>
          <w:color w:val="003768"/>
          <w:sz w:val="20"/>
          <w:szCs w:val="20"/>
          <w:lang w:val="nl-BE"/>
        </w:rPr>
        <w:t xml:space="preserve">-inkomsten bedroegen 4 044 miljoen euro, een daling met 11% jaar-op-jaar. Op vergelijkbare basis is dat cijfer jaar-op-jaar met 4% gedaald, voornamelijk door de lagere rente-inkomsten gegenereerd door KBC Verzekeringen (lagere herbeleggingsrentes), terwijl de commerciële marges bij de bank gezond bleven. De </w:t>
      </w:r>
      <w:proofErr w:type="spellStart"/>
      <w:r w:rsidRPr="0091565F">
        <w:rPr>
          <w:rFonts w:cs="Arial"/>
          <w:bCs/>
          <w:color w:val="003768"/>
          <w:sz w:val="20"/>
          <w:szCs w:val="20"/>
          <w:lang w:val="nl-BE"/>
        </w:rPr>
        <w:t>nettorentemarge</w:t>
      </w:r>
      <w:proofErr w:type="spellEnd"/>
      <w:r w:rsidRPr="0091565F">
        <w:rPr>
          <w:rFonts w:cs="Arial"/>
          <w:bCs/>
          <w:color w:val="003768"/>
          <w:sz w:val="20"/>
          <w:szCs w:val="20"/>
          <w:lang w:val="nl-BE"/>
        </w:rPr>
        <w:t xml:space="preserve"> bedroeg 1,75% voor het volledige jaar, te vergelijken met het cijfer van vorig jaar. In Divisie België zijn de depositovolumes jaar-op-jaar met 2% gestegen terwijl de kredietvolumes jaar-op-jaar met 2% gedaald zijn door de bewuste afbouw van de kredietportefeuille in de buitenlandse kantoren en de terugbetaling van aandeelhoudersleningen. De kredietportefeuille in Tsjechië groeide met 6% jaar-op-jaar, terwijl de deposito’s jaar-op-jaar stegen met 4%. De kredietportefeuille in de divisie Internationale Markten daalde met 7% jaar-op-jaar (door Ierland en Hongarije), terwijl de depositobasis groeide met 9% jaar-op-jaar (dankzij Ierland, Hongarije en Slowakije).</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Leven en Niet-Leven behaalden tijdens het boekjaar 2013 volgende resultaten. Na aftrek van de bruto technische lasten en het nettoresultaat uit afgestane herverzekering bedroegen de bruto verdiende premies 289 miljoen euro, een daling van 22% jaar-op-jaar. Maar op vergelijkbare basis (zonder rekening te houden met de deconsolidatie van </w:t>
      </w:r>
      <w:proofErr w:type="spellStart"/>
      <w:r w:rsidRPr="0091565F">
        <w:rPr>
          <w:rFonts w:cs="Arial"/>
          <w:bCs/>
          <w:color w:val="003768"/>
          <w:sz w:val="20"/>
          <w:szCs w:val="20"/>
          <w:lang w:val="nl-BE"/>
        </w:rPr>
        <w:t>Warta</w:t>
      </w:r>
      <w:proofErr w:type="spellEnd"/>
      <w:r w:rsidRPr="0091565F">
        <w:rPr>
          <w:rFonts w:cs="Arial"/>
          <w:bCs/>
          <w:color w:val="003768"/>
          <w:sz w:val="20"/>
          <w:szCs w:val="20"/>
          <w:lang w:val="nl-BE"/>
        </w:rPr>
        <w:t>) ligt dat resultaat 26% hoger dan een jaar geleden.</w:t>
      </w:r>
    </w:p>
    <w:p w:rsidR="0091565F" w:rsidRPr="0091565F" w:rsidRDefault="0091565F" w:rsidP="0091565F">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91565F">
        <w:rPr>
          <w:rFonts w:cs="Arial"/>
          <w:bCs/>
          <w:color w:val="003768"/>
          <w:sz w:val="20"/>
          <w:szCs w:val="20"/>
          <w:lang w:val="nl-BE"/>
        </w:rPr>
        <w:t xml:space="preserve">In Niet-leven zijn de verdiende premies jaar-op-jaar met 3% gestegen (op een vergelijkbare basis). De schadegevallen, voor een deel te wijten aan de overstromingen in Tsjechië en stormen in België, brachten de technische lasten 2% hoger dan in 2012. Toch bedroeg de gecombineerde ratio voor het volledige jaar nog een goede 94%. </w:t>
      </w:r>
    </w:p>
    <w:p w:rsidR="0091565F" w:rsidRPr="0091565F" w:rsidRDefault="0091565F" w:rsidP="0091565F">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91565F">
        <w:rPr>
          <w:rFonts w:cs="Arial"/>
          <w:bCs/>
          <w:color w:val="003768"/>
          <w:sz w:val="20"/>
          <w:szCs w:val="20"/>
          <w:lang w:val="nl-BE"/>
        </w:rPr>
        <w:t xml:space="preserve">In het </w:t>
      </w:r>
      <w:proofErr w:type="spellStart"/>
      <w:r w:rsidRPr="0091565F">
        <w:rPr>
          <w:rFonts w:cs="Arial"/>
          <w:bCs/>
          <w:color w:val="003768"/>
          <w:sz w:val="20"/>
          <w:szCs w:val="20"/>
          <w:lang w:val="nl-BE"/>
        </w:rPr>
        <w:t>levenbedrijf</w:t>
      </w:r>
      <w:proofErr w:type="spellEnd"/>
      <w:r w:rsidRPr="0091565F">
        <w:rPr>
          <w:rFonts w:cs="Arial"/>
          <w:bCs/>
          <w:color w:val="003768"/>
          <w:sz w:val="20"/>
          <w:szCs w:val="20"/>
          <w:lang w:val="nl-BE"/>
        </w:rPr>
        <w:t xml:space="preserve"> daalde de verkoop van levensverzekeringsproducten (inclusief tak 23-producten die niet worden meegerekend in de premie-inkomsten) met 58% ten opzichte van 2012. Dat is onder andere een gevolg van de gewijzigde fiscale behandeling van tak 23-levensverzekeringscontracten in België sinds begin 2013, de lage rente en een verschuiving naar beleggingsfondsen.</w:t>
      </w:r>
    </w:p>
    <w:p w:rsidR="0091565F" w:rsidRPr="0091565F" w:rsidRDefault="0091565F" w:rsidP="0091565F">
      <w:pPr>
        <w:pStyle w:val="ListParagraph"/>
        <w:autoSpaceDE w:val="0"/>
        <w:autoSpaceDN w:val="0"/>
        <w:adjustRightInd w:val="0"/>
        <w:spacing w:after="60" w:line="240" w:lineRule="auto"/>
        <w:ind w:left="1706" w:right="6"/>
        <w:contextualSpacing w:val="0"/>
        <w:jc w:val="both"/>
        <w:rPr>
          <w:rFonts w:cs="Arial"/>
          <w:bCs/>
          <w:color w:val="003768"/>
          <w:sz w:val="20"/>
          <w:szCs w:val="20"/>
          <w:lang w:val="nl-BE"/>
        </w:rPr>
      </w:pPr>
      <w:r w:rsidRPr="0091565F">
        <w:rPr>
          <w:rFonts w:cs="Arial"/>
          <w:bCs/>
          <w:color w:val="003768"/>
          <w:sz w:val="20"/>
          <w:szCs w:val="20"/>
          <w:lang w:val="nl-BE"/>
        </w:rPr>
        <w:t xml:space="preserve">We wijzen erop dat de verzekeringsresultaten ook te lijden hadden onder de lagere beleggingsopbrengsten, in het bijzonder de </w:t>
      </w:r>
      <w:proofErr w:type="spellStart"/>
      <w:r w:rsidRPr="0091565F">
        <w:rPr>
          <w:rFonts w:cs="Arial"/>
          <w:bCs/>
          <w:color w:val="003768"/>
          <w:sz w:val="20"/>
          <w:szCs w:val="20"/>
          <w:lang w:val="nl-BE"/>
        </w:rPr>
        <w:t>nettorente</w:t>
      </w:r>
      <w:proofErr w:type="spellEnd"/>
      <w:r w:rsidRPr="0091565F">
        <w:rPr>
          <w:rFonts w:cs="Arial"/>
          <w:bCs/>
          <w:color w:val="003768"/>
          <w:sz w:val="20"/>
          <w:szCs w:val="20"/>
          <w:lang w:val="nl-BE"/>
        </w:rPr>
        <w:t xml:space="preserve">-inkomsten, maar positief beïnvloed werden door een strikte controle van de algemene beheerskosten. </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Het </w:t>
      </w:r>
      <w:proofErr w:type="spellStart"/>
      <w:r w:rsidRPr="0091565F">
        <w:rPr>
          <w:rFonts w:cs="Arial"/>
          <w:bCs/>
          <w:color w:val="003768"/>
          <w:sz w:val="20"/>
          <w:szCs w:val="20"/>
          <w:lang w:val="nl-BE"/>
        </w:rPr>
        <w:t>netto-resultaat</w:t>
      </w:r>
      <w:proofErr w:type="spellEnd"/>
      <w:r w:rsidRPr="0091565F">
        <w:rPr>
          <w:rFonts w:cs="Arial"/>
          <w:bCs/>
          <w:color w:val="003768"/>
          <w:sz w:val="20"/>
          <w:szCs w:val="20"/>
          <w:lang w:val="nl-BE"/>
        </w:rPr>
        <w:t xml:space="preserve"> uit financiële instrumenten tegen reële waarde bedroeg 779 miljoen euro voor 2013. Voor 2012 was dat 789 miljoen euro, of 706 miljoen euro op vergelijkbare basis. Dat cijfer wordt gewoonlijk bepaald door de </w:t>
      </w:r>
      <w:proofErr w:type="spellStart"/>
      <w:r w:rsidRPr="0091565F">
        <w:rPr>
          <w:rFonts w:cs="Arial"/>
          <w:bCs/>
          <w:color w:val="003768"/>
          <w:sz w:val="20"/>
          <w:szCs w:val="20"/>
          <w:lang w:val="nl-BE"/>
        </w:rPr>
        <w:t>dealingroominkomsten</w:t>
      </w:r>
      <w:proofErr w:type="spellEnd"/>
      <w:r w:rsidRPr="0091565F">
        <w:rPr>
          <w:rFonts w:cs="Arial"/>
          <w:bCs/>
          <w:color w:val="003768"/>
          <w:sz w:val="20"/>
          <w:szCs w:val="20"/>
          <w:lang w:val="nl-BE"/>
        </w:rPr>
        <w:t xml:space="preserve">, maar werd in 2013 vooral beïnvloed door het positieve resultaat van 280 miljoen euro op de </w:t>
      </w:r>
      <w:proofErr w:type="spellStart"/>
      <w:r w:rsidRPr="0091565F">
        <w:rPr>
          <w:rFonts w:cs="Arial"/>
          <w:bCs/>
          <w:color w:val="003768"/>
          <w:sz w:val="20"/>
          <w:szCs w:val="20"/>
          <w:lang w:val="nl-BE"/>
        </w:rPr>
        <w:t>marked</w:t>
      </w:r>
      <w:proofErr w:type="spellEnd"/>
      <w:r w:rsidRPr="0091565F">
        <w:rPr>
          <w:rFonts w:cs="Arial"/>
          <w:bCs/>
          <w:color w:val="003768"/>
          <w:sz w:val="20"/>
          <w:szCs w:val="20"/>
          <w:lang w:val="nl-BE"/>
        </w:rPr>
        <w:t>-</w:t>
      </w:r>
      <w:proofErr w:type="spellStart"/>
      <w:r w:rsidRPr="0091565F">
        <w:rPr>
          <w:rFonts w:cs="Arial"/>
          <w:bCs/>
          <w:color w:val="003768"/>
          <w:sz w:val="20"/>
          <w:szCs w:val="20"/>
          <w:lang w:val="nl-BE"/>
        </w:rPr>
        <w:t>to</w:t>
      </w:r>
      <w:proofErr w:type="spellEnd"/>
      <w:r w:rsidRPr="0091565F">
        <w:rPr>
          <w:rFonts w:cs="Arial"/>
          <w:bCs/>
          <w:color w:val="003768"/>
          <w:sz w:val="20"/>
          <w:szCs w:val="20"/>
          <w:lang w:val="nl-BE"/>
        </w:rPr>
        <w:t xml:space="preserve">-marketwaarderingen van bepaalde afgeleide instrumenten gebruikt voor </w:t>
      </w:r>
      <w:proofErr w:type="spellStart"/>
      <w:r w:rsidRPr="0091565F">
        <w:rPr>
          <w:rFonts w:cs="Arial"/>
          <w:bCs/>
          <w:color w:val="003768"/>
          <w:sz w:val="20"/>
          <w:szCs w:val="20"/>
          <w:lang w:val="nl-BE"/>
        </w:rPr>
        <w:t>Asset-Liability</w:t>
      </w:r>
      <w:proofErr w:type="spellEnd"/>
      <w:r w:rsidRPr="0091565F">
        <w:rPr>
          <w:rFonts w:cs="Arial"/>
          <w:bCs/>
          <w:color w:val="003768"/>
          <w:sz w:val="20"/>
          <w:szCs w:val="20"/>
          <w:lang w:val="nl-BE"/>
        </w:rPr>
        <w:t xml:space="preserve"> Management die de daling van de </w:t>
      </w:r>
      <w:proofErr w:type="spellStart"/>
      <w:r w:rsidRPr="0091565F">
        <w:rPr>
          <w:rFonts w:cs="Arial"/>
          <w:bCs/>
          <w:color w:val="003768"/>
          <w:sz w:val="20"/>
          <w:szCs w:val="20"/>
          <w:lang w:val="nl-BE"/>
        </w:rPr>
        <w:t>dealingroominkomsten</w:t>
      </w:r>
      <w:proofErr w:type="spellEnd"/>
      <w:r w:rsidRPr="0091565F">
        <w:rPr>
          <w:rFonts w:cs="Arial"/>
          <w:bCs/>
          <w:color w:val="003768"/>
          <w:sz w:val="20"/>
          <w:szCs w:val="20"/>
          <w:lang w:val="nl-BE"/>
        </w:rPr>
        <w:t xml:space="preserve"> en de lagere </w:t>
      </w:r>
      <w:proofErr w:type="spellStart"/>
      <w:r w:rsidRPr="0091565F">
        <w:rPr>
          <w:rFonts w:cs="Arial"/>
          <w:bCs/>
          <w:color w:val="003768"/>
          <w:sz w:val="20"/>
          <w:szCs w:val="20"/>
          <w:lang w:val="nl-BE"/>
        </w:rPr>
        <w:t>kredietwaardeaanpassingen</w:t>
      </w:r>
      <w:proofErr w:type="spellEnd"/>
      <w:r w:rsidRPr="0091565F">
        <w:rPr>
          <w:rFonts w:cs="Arial"/>
          <w:bCs/>
          <w:color w:val="003768"/>
          <w:sz w:val="20"/>
          <w:szCs w:val="20"/>
          <w:lang w:val="nl-BE"/>
        </w:rPr>
        <w:t xml:space="preserve"> (</w:t>
      </w:r>
      <w:proofErr w:type="spellStart"/>
      <w:r w:rsidRPr="0091565F">
        <w:rPr>
          <w:rFonts w:cs="Arial"/>
          <w:bCs/>
          <w:color w:val="003768"/>
          <w:sz w:val="20"/>
          <w:szCs w:val="20"/>
          <w:lang w:val="nl-BE"/>
        </w:rPr>
        <w:t>CVA’s</w:t>
      </w:r>
      <w:proofErr w:type="spellEnd"/>
      <w:r w:rsidRPr="0091565F">
        <w:rPr>
          <w:rFonts w:cs="Arial"/>
          <w:bCs/>
          <w:color w:val="003768"/>
          <w:sz w:val="20"/>
          <w:szCs w:val="20"/>
          <w:lang w:val="nl-BE"/>
        </w:rPr>
        <w:t>) meer dan goedmaakten.</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Voor 2013 bedroeg het netto gerealiseerd resultaat uit voor verkoop beschikbare financiële activa 213 miljoen euro, in vergelijking met 180 miljoen euro voor 2012, of 158 miljoen euro op vergelijkbare basis. De winst werd gerealiseerd met de verkoop van zowel obligaties als aandelen. In het eerste kwartaal was die voor een groot deel te danken aan de verkoop van Belgische overheidsobligaties.</w:t>
      </w:r>
    </w:p>
    <w:p w:rsidR="0091565F" w:rsidRPr="0091565F" w:rsidRDefault="0091565F" w:rsidP="0091565F">
      <w:pPr>
        <w:pStyle w:val="ListParagraph"/>
        <w:numPr>
          <w:ilvl w:val="0"/>
          <w:numId w:val="7"/>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De </w:t>
      </w:r>
      <w:proofErr w:type="spellStart"/>
      <w:r w:rsidRPr="0091565F">
        <w:rPr>
          <w:rFonts w:cs="Arial"/>
          <w:bCs/>
          <w:color w:val="003768"/>
          <w:sz w:val="20"/>
          <w:szCs w:val="20"/>
          <w:lang w:val="nl-BE"/>
        </w:rPr>
        <w:t>nettoprovisie</w:t>
      </w:r>
      <w:proofErr w:type="spellEnd"/>
      <w:r w:rsidRPr="0091565F">
        <w:rPr>
          <w:rFonts w:cs="Arial"/>
          <w:bCs/>
          <w:color w:val="003768"/>
          <w:sz w:val="20"/>
          <w:szCs w:val="20"/>
          <w:lang w:val="nl-BE"/>
        </w:rPr>
        <w:t>-inkomsten bedroegen 1 487 miljoen euro, 12% meer dan vorig jaar. Op vergelijkbare basis lagen de provisie-inkomsten 15% hoger dan vorig jaar. De belangrijkste factoren voor die stijging jaar-op-jaar waren de toetredings- en beheersvergoedingen voor beleggingsfondsen en verbeterde provisie-inkomsten in Hongarije. Het beheerde vermogen bedroeg 163 miljard euro, een stijging met 5% ten opzichte van eind 2012 (1% door volume- en 4% door prijseffecten).</w:t>
      </w:r>
    </w:p>
    <w:p w:rsidR="0091565F" w:rsidRPr="0091565F" w:rsidRDefault="0091565F" w:rsidP="0091565F">
      <w:pPr>
        <w:pStyle w:val="ListParagraph"/>
        <w:numPr>
          <w:ilvl w:val="0"/>
          <w:numId w:val="7"/>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Dankzij een aantal uitzonderlijke factoren kwamen de overige netto-inkomsten uit op 343 miljoen euro, in vergelijking met 252 miljoen euro in 2012 (of 193 miljoen euro op vergelijkbare basis).</w:t>
      </w:r>
    </w:p>
    <w:p w:rsidR="007A2951" w:rsidRDefault="007A2951">
      <w:pPr>
        <w:spacing w:after="0" w:line="240" w:lineRule="auto"/>
        <w:rPr>
          <w:rFonts w:cs="Arial"/>
          <w:b/>
          <w:bCs/>
          <w:color w:val="003768"/>
          <w:sz w:val="20"/>
          <w:szCs w:val="20"/>
          <w:lang w:val="nl-BE"/>
        </w:rPr>
      </w:pPr>
      <w:r>
        <w:rPr>
          <w:rFonts w:cs="Arial"/>
          <w:b/>
          <w:bCs/>
          <w:color w:val="003768"/>
          <w:sz w:val="20"/>
          <w:szCs w:val="20"/>
          <w:lang w:val="nl-BE"/>
        </w:rPr>
        <w:br w:type="page"/>
      </w:r>
    </w:p>
    <w:p w:rsidR="0091565F" w:rsidRPr="0091565F" w:rsidRDefault="0091565F" w:rsidP="00210DB3">
      <w:pPr>
        <w:autoSpaceDE w:val="0"/>
        <w:autoSpaceDN w:val="0"/>
        <w:adjustRightInd w:val="0"/>
        <w:spacing w:after="60" w:line="240" w:lineRule="auto"/>
        <w:ind w:left="992" w:right="6"/>
        <w:jc w:val="both"/>
        <w:rPr>
          <w:rFonts w:cs="Arial"/>
          <w:b/>
          <w:bCs/>
          <w:color w:val="003768"/>
          <w:sz w:val="20"/>
          <w:szCs w:val="20"/>
          <w:lang w:val="nl-BE"/>
        </w:rPr>
      </w:pPr>
      <w:r w:rsidRPr="0091565F">
        <w:rPr>
          <w:rFonts w:cs="Arial"/>
          <w:b/>
          <w:bCs/>
          <w:color w:val="003768"/>
          <w:sz w:val="20"/>
          <w:szCs w:val="20"/>
          <w:lang w:val="nl-BE"/>
        </w:rPr>
        <w:lastRenderedPageBreak/>
        <w:t>Exploitatiekosten (aangepast nettoresultaat)</w:t>
      </w:r>
    </w:p>
    <w:p w:rsidR="0091565F" w:rsidRPr="0091565F" w:rsidRDefault="0091565F" w:rsidP="0091565F">
      <w:pPr>
        <w:pStyle w:val="ListParagraph"/>
        <w:numPr>
          <w:ilvl w:val="0"/>
          <w:numId w:val="8"/>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91565F">
        <w:rPr>
          <w:rFonts w:cs="Arial"/>
          <w:bCs/>
          <w:color w:val="003768"/>
          <w:sz w:val="20"/>
          <w:szCs w:val="20"/>
          <w:lang w:val="nl-BE"/>
        </w:rPr>
        <w:t xml:space="preserve">Voor 2013 bedroegen de exploitatiekosten 3 826 miljoen euro, een daling met 9% ten opzichte van een jaar eerder. Op vergelijkbare basis stegen de kosten met 2%, gedeeltelijk door de invoering van een heffing op financiële transacties in Hongarije, kosten in verband met regelingen voor vervroegd pensioen, hogere pensioenuitgaven, gestegen ICT-kosten en hogere kosten bij KBC Ireland. De kosten-inkomstenratio sinds het begin van het jaar bedroeg 52%. Dat geeft duidelijk aan dat de kosten goed onder controle blijven. De ratio werd wel positief beïnvloed door de hoge </w:t>
      </w:r>
      <w:proofErr w:type="spellStart"/>
      <w:r w:rsidRPr="0091565F">
        <w:rPr>
          <w:rFonts w:cs="Arial"/>
          <w:bCs/>
          <w:color w:val="003768"/>
          <w:sz w:val="20"/>
          <w:szCs w:val="20"/>
          <w:lang w:val="nl-BE"/>
        </w:rPr>
        <w:t>marked</w:t>
      </w:r>
      <w:proofErr w:type="spellEnd"/>
      <w:r w:rsidRPr="0091565F">
        <w:rPr>
          <w:rFonts w:cs="Arial"/>
          <w:bCs/>
          <w:color w:val="003768"/>
          <w:sz w:val="20"/>
          <w:szCs w:val="20"/>
          <w:lang w:val="nl-BE"/>
        </w:rPr>
        <w:t>-</w:t>
      </w:r>
      <w:proofErr w:type="spellStart"/>
      <w:r w:rsidRPr="0091565F">
        <w:rPr>
          <w:rFonts w:cs="Arial"/>
          <w:bCs/>
          <w:color w:val="003768"/>
          <w:sz w:val="20"/>
          <w:szCs w:val="20"/>
          <w:lang w:val="nl-BE"/>
        </w:rPr>
        <w:t>to</w:t>
      </w:r>
      <w:proofErr w:type="spellEnd"/>
      <w:r w:rsidRPr="0091565F">
        <w:rPr>
          <w:rFonts w:cs="Arial"/>
          <w:bCs/>
          <w:color w:val="003768"/>
          <w:sz w:val="20"/>
          <w:szCs w:val="20"/>
          <w:lang w:val="nl-BE"/>
        </w:rPr>
        <w:t xml:space="preserve">-marketwaarderingen van derivaten die worden gebruikt voor balansbeheer, de netto gerealiseerde </w:t>
      </w:r>
      <w:proofErr w:type="spellStart"/>
      <w:r w:rsidRPr="0091565F">
        <w:rPr>
          <w:rFonts w:cs="Arial"/>
          <w:bCs/>
          <w:color w:val="003768"/>
          <w:sz w:val="20"/>
          <w:szCs w:val="20"/>
          <w:lang w:val="nl-BE"/>
        </w:rPr>
        <w:t>meerwaarden</w:t>
      </w:r>
      <w:proofErr w:type="spellEnd"/>
      <w:r w:rsidRPr="0091565F">
        <w:rPr>
          <w:rFonts w:cs="Arial"/>
          <w:bCs/>
          <w:color w:val="003768"/>
          <w:sz w:val="20"/>
          <w:szCs w:val="20"/>
          <w:lang w:val="nl-BE"/>
        </w:rPr>
        <w:t xml:space="preserve"> uit voor verkoop beschikbare activa en hoge overige opbrengsten. Laten we die specifieke inkomstenposten buiten beschouwing, dan bedraagt de kosten-inkomstenratio 54%.</w:t>
      </w:r>
    </w:p>
    <w:p w:rsidR="0091565F" w:rsidRPr="0091565F" w:rsidRDefault="0091565F" w:rsidP="00210DB3">
      <w:pPr>
        <w:autoSpaceDE w:val="0"/>
        <w:autoSpaceDN w:val="0"/>
        <w:adjustRightInd w:val="0"/>
        <w:spacing w:after="60" w:line="240" w:lineRule="auto"/>
        <w:ind w:left="992" w:right="6"/>
        <w:jc w:val="both"/>
        <w:rPr>
          <w:rFonts w:cs="Arial"/>
          <w:b/>
          <w:bCs/>
          <w:color w:val="003768"/>
          <w:sz w:val="20"/>
          <w:szCs w:val="20"/>
          <w:lang w:val="nl-BE"/>
        </w:rPr>
      </w:pPr>
      <w:r w:rsidRPr="0091565F">
        <w:rPr>
          <w:rFonts w:cs="Arial"/>
          <w:b/>
          <w:bCs/>
          <w:color w:val="003768"/>
          <w:sz w:val="20"/>
          <w:szCs w:val="20"/>
          <w:lang w:val="nl-BE"/>
        </w:rPr>
        <w:t>Waardeverminderingen (aangepast nettoresultaat)</w:t>
      </w:r>
    </w:p>
    <w:p w:rsidR="00766427" w:rsidRPr="00766427" w:rsidRDefault="00766427" w:rsidP="00D44ECB">
      <w:pPr>
        <w:pStyle w:val="ListParagraph"/>
        <w:numPr>
          <w:ilvl w:val="0"/>
          <w:numId w:val="8"/>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766427">
        <w:rPr>
          <w:rFonts w:cs="Arial"/>
          <w:bCs/>
          <w:color w:val="003768"/>
          <w:sz w:val="20"/>
          <w:szCs w:val="20"/>
          <w:lang w:val="nl-BE"/>
        </w:rPr>
        <w:t xml:space="preserve">Voor 2013 bedroegen de waardeverminderingen op kredieten 1 638 miljoen euro, een stijging ten opzichte van de 1 072 miljoen euro van een jaar eerder. Het cijfer voor 2013 omvat een waardevermindering van 1 059 miljoen euro bij KBC Bank Ireland (tegenover 547 miljoen euro voor 2012) en een relatief hoge waardevermindering van 328 miljoen euro in de divisie België (tegenover 246 miljoen euro in 2012). De kredietkostenratio op jaarbasis bedroeg 1,19%. Dat cijfer is samengesteld uit 0,37% voor de divisie België (gestegen ten opzichte van 0,28% voor boekjaar 2012), 0,25% voor de divisie Tsjechië (tegenover 0,31% voor boekjaar 2012) en 4,48% voor de divisie Internationale Markten (gestegen ten opzichte van de 2,26% voor boekjaar 2012). </w:t>
      </w:r>
    </w:p>
    <w:p w:rsidR="0091565F" w:rsidRPr="00766427" w:rsidRDefault="00766427" w:rsidP="00766427">
      <w:pPr>
        <w:pStyle w:val="ListParagraph"/>
        <w:numPr>
          <w:ilvl w:val="0"/>
          <w:numId w:val="8"/>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766427">
        <w:rPr>
          <w:rFonts w:cs="Arial"/>
          <w:bCs/>
          <w:color w:val="003768"/>
          <w:sz w:val="20"/>
          <w:szCs w:val="20"/>
          <w:lang w:val="nl-BE"/>
        </w:rPr>
        <w:t>Voor 2013 bedragen de waardeverminderingen 20 miljoen euro voor activa beschikbaar voor verkoop, 7 miljoen euro voor goodwill en 64 miljoen euro voor andere items.</w:t>
      </w:r>
    </w:p>
    <w:p w:rsidR="0091565F" w:rsidRPr="00D44ECB" w:rsidRDefault="00D44ECB" w:rsidP="00D44ECB">
      <w:pPr>
        <w:autoSpaceDE w:val="0"/>
        <w:autoSpaceDN w:val="0"/>
        <w:adjustRightInd w:val="0"/>
        <w:spacing w:after="120" w:line="240" w:lineRule="auto"/>
        <w:ind w:left="992" w:right="6"/>
        <w:contextualSpacing/>
        <w:jc w:val="both"/>
        <w:rPr>
          <w:rFonts w:cs="Arial"/>
          <w:b/>
          <w:bCs/>
          <w:color w:val="003768"/>
          <w:sz w:val="20"/>
          <w:szCs w:val="20"/>
          <w:lang w:val="nl-BE"/>
        </w:rPr>
      </w:pPr>
      <w:r w:rsidRPr="00D44ECB">
        <w:rPr>
          <w:rFonts w:cs="Arial"/>
          <w:b/>
          <w:bCs/>
          <w:color w:val="003768"/>
          <w:sz w:val="20"/>
          <w:szCs w:val="20"/>
          <w:lang w:val="nl-BE"/>
        </w:rPr>
        <w:t>Belastingen</w:t>
      </w:r>
    </w:p>
    <w:p w:rsidR="0091565F" w:rsidRPr="00D44ECB" w:rsidRDefault="00D44ECB" w:rsidP="00D44ECB">
      <w:pPr>
        <w:pStyle w:val="ListParagraph"/>
        <w:numPr>
          <w:ilvl w:val="0"/>
          <w:numId w:val="9"/>
        </w:numPr>
        <w:autoSpaceDE w:val="0"/>
        <w:autoSpaceDN w:val="0"/>
        <w:adjustRightInd w:val="0"/>
        <w:spacing w:after="120" w:line="240" w:lineRule="auto"/>
        <w:ind w:right="6"/>
        <w:jc w:val="both"/>
        <w:rPr>
          <w:rFonts w:cs="Arial"/>
          <w:bCs/>
          <w:color w:val="003768"/>
          <w:sz w:val="20"/>
          <w:szCs w:val="20"/>
          <w:lang w:val="nl-BE"/>
        </w:rPr>
      </w:pPr>
      <w:r w:rsidRPr="00D44ECB">
        <w:rPr>
          <w:rFonts w:cs="Arial"/>
          <w:bCs/>
          <w:color w:val="003768"/>
          <w:sz w:val="20"/>
          <w:szCs w:val="20"/>
          <w:lang w:val="nl-BE"/>
        </w:rPr>
        <w:t>De winstbelasting voor 2013 bedroeg 668 miljoen 2013. Voor 2012 was het 553 miljoen euro.</w:t>
      </w:r>
    </w:p>
    <w:p w:rsidR="0091565F" w:rsidRPr="00D44ECB" w:rsidRDefault="00D44ECB" w:rsidP="00D44ECB">
      <w:pPr>
        <w:autoSpaceDE w:val="0"/>
        <w:autoSpaceDN w:val="0"/>
        <w:adjustRightInd w:val="0"/>
        <w:spacing w:after="120" w:line="240" w:lineRule="auto"/>
        <w:ind w:left="992" w:right="6"/>
        <w:jc w:val="both"/>
        <w:rPr>
          <w:rFonts w:cs="Arial"/>
          <w:b/>
          <w:bCs/>
          <w:color w:val="003768"/>
          <w:sz w:val="20"/>
          <w:szCs w:val="20"/>
          <w:lang w:val="nl-BE"/>
        </w:rPr>
      </w:pPr>
      <w:r w:rsidRPr="00D44ECB">
        <w:rPr>
          <w:rFonts w:cs="Arial"/>
          <w:b/>
          <w:bCs/>
          <w:color w:val="003768"/>
          <w:sz w:val="20"/>
          <w:szCs w:val="20"/>
          <w:lang w:val="nl-BE"/>
        </w:rPr>
        <w:t xml:space="preserve">Invloed van de </w:t>
      </w:r>
      <w:proofErr w:type="spellStart"/>
      <w:r w:rsidRPr="00D44ECB">
        <w:rPr>
          <w:rFonts w:cs="Arial"/>
          <w:b/>
          <w:bCs/>
          <w:color w:val="003768"/>
          <w:sz w:val="20"/>
          <w:szCs w:val="20"/>
          <w:lang w:val="nl-BE"/>
        </w:rPr>
        <w:t>legacy</w:t>
      </w:r>
      <w:proofErr w:type="spellEnd"/>
      <w:r w:rsidRPr="00D44ECB">
        <w:rPr>
          <w:rFonts w:cs="Arial"/>
          <w:b/>
          <w:bCs/>
          <w:color w:val="003768"/>
          <w:sz w:val="20"/>
          <w:szCs w:val="20"/>
          <w:lang w:val="nl-BE"/>
        </w:rPr>
        <w:t>-activiteiten en de waardering van het eigen kredietrisico op het resultaat:</w:t>
      </w:r>
    </w:p>
    <w:p w:rsidR="00D44ECB" w:rsidRPr="00D44ECB" w:rsidRDefault="00D44ECB" w:rsidP="00D44ECB">
      <w:pPr>
        <w:autoSpaceDE w:val="0"/>
        <w:autoSpaceDN w:val="0"/>
        <w:adjustRightInd w:val="0"/>
        <w:spacing w:after="60" w:line="240" w:lineRule="auto"/>
        <w:ind w:left="992" w:right="6"/>
        <w:jc w:val="both"/>
        <w:rPr>
          <w:rFonts w:cs="Arial"/>
          <w:bCs/>
          <w:color w:val="003768"/>
          <w:sz w:val="20"/>
          <w:szCs w:val="20"/>
          <w:lang w:val="nl-BE"/>
        </w:rPr>
      </w:pPr>
      <w:r w:rsidRPr="00D44ECB">
        <w:rPr>
          <w:rFonts w:cs="Arial"/>
          <w:bCs/>
          <w:color w:val="003768"/>
          <w:sz w:val="20"/>
          <w:szCs w:val="20"/>
          <w:lang w:val="nl-BE"/>
        </w:rPr>
        <w:t xml:space="preserve">Om een duidelijk inzicht te verschaffen in de bedrijfsresultaten geeft KBC ook aangepaste cijfers die geen rekening houden met a) de invloed van de </w:t>
      </w:r>
      <w:proofErr w:type="spellStart"/>
      <w:r w:rsidRPr="00D44ECB">
        <w:rPr>
          <w:rFonts w:cs="Arial"/>
          <w:bCs/>
          <w:color w:val="003768"/>
          <w:sz w:val="20"/>
          <w:szCs w:val="20"/>
          <w:lang w:val="nl-BE"/>
        </w:rPr>
        <w:t>legacy</w:t>
      </w:r>
      <w:proofErr w:type="spellEnd"/>
      <w:r w:rsidRPr="00D44ECB">
        <w:rPr>
          <w:rFonts w:cs="Arial"/>
          <w:bCs/>
          <w:color w:val="003768"/>
          <w:sz w:val="20"/>
          <w:szCs w:val="20"/>
          <w:lang w:val="nl-BE"/>
        </w:rPr>
        <w:t xml:space="preserve">-activiteiten, nl. de waardering van de resterende </w:t>
      </w:r>
      <w:proofErr w:type="spellStart"/>
      <w:r w:rsidRPr="00D44ECB">
        <w:rPr>
          <w:rFonts w:cs="Arial"/>
          <w:bCs/>
          <w:color w:val="003768"/>
          <w:sz w:val="20"/>
          <w:szCs w:val="20"/>
          <w:lang w:val="nl-BE"/>
        </w:rPr>
        <w:t>CDO’s</w:t>
      </w:r>
      <w:proofErr w:type="spellEnd"/>
      <w:r w:rsidRPr="00D44ECB">
        <w:rPr>
          <w:rFonts w:cs="Arial"/>
          <w:bCs/>
          <w:color w:val="003768"/>
          <w:sz w:val="20"/>
          <w:szCs w:val="20"/>
          <w:lang w:val="nl-BE"/>
        </w:rPr>
        <w:t xml:space="preserve"> in portefeuille (inclusief de vergoeding voor de garantieregeling met de Belgische overheid) en de invloed van de desinvesteringen en b) de invloed van de waardering van het eigen kredietrisico. Voor het betrokken kwartaal hadden die posten de volgende invloed:</w:t>
      </w:r>
    </w:p>
    <w:p w:rsidR="00D44ECB" w:rsidRPr="00D44ECB" w:rsidRDefault="00D44ECB" w:rsidP="00D44ECB">
      <w:pPr>
        <w:pStyle w:val="ListParagraph"/>
        <w:numPr>
          <w:ilvl w:val="0"/>
          <w:numId w:val="9"/>
        </w:numPr>
        <w:autoSpaceDE w:val="0"/>
        <w:autoSpaceDN w:val="0"/>
        <w:adjustRightInd w:val="0"/>
        <w:spacing w:after="60" w:line="240" w:lineRule="auto"/>
        <w:ind w:right="6"/>
        <w:contextualSpacing w:val="0"/>
        <w:jc w:val="both"/>
        <w:rPr>
          <w:rFonts w:cs="Arial"/>
          <w:bCs/>
          <w:color w:val="003768"/>
          <w:sz w:val="20"/>
          <w:szCs w:val="20"/>
          <w:lang w:val="nl-BE"/>
        </w:rPr>
      </w:pPr>
      <w:proofErr w:type="spellStart"/>
      <w:r w:rsidRPr="00D44ECB">
        <w:rPr>
          <w:rFonts w:cs="Arial"/>
          <w:bCs/>
          <w:color w:val="003768"/>
          <w:sz w:val="20"/>
          <w:szCs w:val="20"/>
          <w:lang w:val="nl-BE"/>
        </w:rPr>
        <w:t>CDO’s</w:t>
      </w:r>
      <w:proofErr w:type="spellEnd"/>
      <w:r w:rsidRPr="00D44ECB">
        <w:rPr>
          <w:rFonts w:cs="Arial"/>
          <w:bCs/>
          <w:color w:val="003768"/>
          <w:sz w:val="20"/>
          <w:szCs w:val="20"/>
          <w:lang w:val="nl-BE"/>
        </w:rPr>
        <w:t xml:space="preserve">: In 2013 vernauwden de credit spreads op bedrijfsobligaties en </w:t>
      </w:r>
      <w:proofErr w:type="spellStart"/>
      <w:r w:rsidRPr="00D44ECB">
        <w:rPr>
          <w:rFonts w:cs="Arial"/>
          <w:bCs/>
          <w:color w:val="003768"/>
          <w:sz w:val="20"/>
          <w:szCs w:val="20"/>
          <w:lang w:val="nl-BE"/>
        </w:rPr>
        <w:t>ABS'en</w:t>
      </w:r>
      <w:proofErr w:type="spellEnd"/>
      <w:r w:rsidRPr="00D44ECB">
        <w:rPr>
          <w:rFonts w:cs="Arial"/>
          <w:bCs/>
          <w:color w:val="003768"/>
          <w:sz w:val="20"/>
          <w:szCs w:val="20"/>
          <w:lang w:val="nl-BE"/>
        </w:rPr>
        <w:t xml:space="preserve"> verder. Rekening houdend met het effect van de vergoeding voor de CDO-garantieregeling van de Belgische federale overheid en de kosten van de vervroegde beëindiging of '</w:t>
      </w:r>
      <w:proofErr w:type="spellStart"/>
      <w:r w:rsidRPr="00D44ECB">
        <w:rPr>
          <w:rFonts w:cs="Arial"/>
          <w:bCs/>
          <w:color w:val="003768"/>
          <w:sz w:val="20"/>
          <w:szCs w:val="20"/>
          <w:lang w:val="nl-BE"/>
        </w:rPr>
        <w:t>collapse</w:t>
      </w:r>
      <w:proofErr w:type="spellEnd"/>
      <w:r w:rsidRPr="00D44ECB">
        <w:rPr>
          <w:rFonts w:cs="Arial"/>
          <w:bCs/>
          <w:color w:val="003768"/>
          <w:sz w:val="20"/>
          <w:szCs w:val="20"/>
          <w:lang w:val="nl-BE"/>
        </w:rPr>
        <w:t xml:space="preserve">' van </w:t>
      </w:r>
      <w:proofErr w:type="spellStart"/>
      <w:r w:rsidRPr="00D44ECB">
        <w:rPr>
          <w:rFonts w:cs="Arial"/>
          <w:bCs/>
          <w:color w:val="003768"/>
          <w:sz w:val="20"/>
          <w:szCs w:val="20"/>
          <w:lang w:val="nl-BE"/>
        </w:rPr>
        <w:t>CDO’s</w:t>
      </w:r>
      <w:proofErr w:type="spellEnd"/>
      <w:r w:rsidRPr="00D44ECB">
        <w:rPr>
          <w:rFonts w:cs="Arial"/>
          <w:bCs/>
          <w:color w:val="003768"/>
          <w:sz w:val="20"/>
          <w:szCs w:val="20"/>
          <w:lang w:val="nl-BE"/>
        </w:rPr>
        <w:t>, was er een positief effect na belastingen van 446 miljoen euro.</w:t>
      </w:r>
    </w:p>
    <w:p w:rsidR="00D44ECB" w:rsidRPr="00D44ECB" w:rsidRDefault="00D44ECB" w:rsidP="00D44ECB">
      <w:pPr>
        <w:pStyle w:val="ListParagraph"/>
        <w:numPr>
          <w:ilvl w:val="0"/>
          <w:numId w:val="9"/>
        </w:numPr>
        <w:autoSpaceDE w:val="0"/>
        <w:autoSpaceDN w:val="0"/>
        <w:adjustRightInd w:val="0"/>
        <w:spacing w:after="60" w:line="240" w:lineRule="auto"/>
        <w:ind w:right="6"/>
        <w:contextualSpacing w:val="0"/>
        <w:jc w:val="both"/>
        <w:rPr>
          <w:rFonts w:cs="Arial"/>
          <w:bCs/>
          <w:color w:val="003768"/>
          <w:sz w:val="20"/>
          <w:szCs w:val="20"/>
          <w:lang w:val="nl-BE"/>
        </w:rPr>
      </w:pPr>
      <w:r w:rsidRPr="00D44ECB">
        <w:rPr>
          <w:rFonts w:cs="Arial"/>
          <w:bCs/>
          <w:color w:val="003768"/>
          <w:sz w:val="20"/>
          <w:szCs w:val="20"/>
          <w:lang w:val="nl-BE"/>
        </w:rPr>
        <w:t xml:space="preserve">Resterende desinvesteringen: voor 2013 werd er een totale negatieve impact na belastingen geboekt van 348 miljoen euro. Die was voornamelijk toe te schrijven aan de desinvesteringen van KBC </w:t>
      </w:r>
      <w:proofErr w:type="spellStart"/>
      <w:r w:rsidRPr="00D44ECB">
        <w:rPr>
          <w:rFonts w:cs="Arial"/>
          <w:bCs/>
          <w:color w:val="003768"/>
          <w:sz w:val="20"/>
          <w:szCs w:val="20"/>
          <w:lang w:val="nl-BE"/>
        </w:rPr>
        <w:t>Banka</w:t>
      </w:r>
      <w:proofErr w:type="spellEnd"/>
      <w:r w:rsidRPr="00D44ECB">
        <w:rPr>
          <w:rFonts w:cs="Arial"/>
          <w:bCs/>
          <w:color w:val="003768"/>
          <w:sz w:val="20"/>
          <w:szCs w:val="20"/>
          <w:lang w:val="nl-BE"/>
        </w:rPr>
        <w:t xml:space="preserve">, Absolut Bank, Antwerpse Diamantbank, Nova </w:t>
      </w:r>
      <w:proofErr w:type="spellStart"/>
      <w:r w:rsidRPr="00D44ECB">
        <w:rPr>
          <w:rFonts w:cs="Arial"/>
          <w:bCs/>
          <w:color w:val="003768"/>
          <w:sz w:val="20"/>
          <w:szCs w:val="20"/>
          <w:lang w:val="nl-BE"/>
        </w:rPr>
        <w:t>Ljubljanska</w:t>
      </w:r>
      <w:proofErr w:type="spellEnd"/>
      <w:r w:rsidRPr="00D44ECB">
        <w:rPr>
          <w:rFonts w:cs="Arial"/>
          <w:bCs/>
          <w:color w:val="003768"/>
          <w:sz w:val="20"/>
          <w:szCs w:val="20"/>
          <w:lang w:val="nl-BE"/>
        </w:rPr>
        <w:t xml:space="preserve"> </w:t>
      </w:r>
      <w:proofErr w:type="spellStart"/>
      <w:r w:rsidRPr="00D44ECB">
        <w:rPr>
          <w:rFonts w:cs="Arial"/>
          <w:bCs/>
          <w:color w:val="003768"/>
          <w:sz w:val="20"/>
          <w:szCs w:val="20"/>
          <w:lang w:val="nl-BE"/>
        </w:rPr>
        <w:t>banka</w:t>
      </w:r>
      <w:proofErr w:type="spellEnd"/>
      <w:r w:rsidRPr="00D44ECB">
        <w:rPr>
          <w:rFonts w:cs="Arial"/>
          <w:bCs/>
          <w:color w:val="003768"/>
          <w:sz w:val="20"/>
          <w:szCs w:val="20"/>
          <w:lang w:val="nl-BE"/>
        </w:rPr>
        <w:t xml:space="preserve"> en Bank </w:t>
      </w:r>
      <w:proofErr w:type="spellStart"/>
      <w:r w:rsidRPr="00D44ECB">
        <w:rPr>
          <w:rFonts w:cs="Arial"/>
          <w:bCs/>
          <w:color w:val="003768"/>
          <w:sz w:val="20"/>
          <w:szCs w:val="20"/>
          <w:lang w:val="nl-BE"/>
        </w:rPr>
        <w:t>Zachodni</w:t>
      </w:r>
      <w:proofErr w:type="spellEnd"/>
      <w:r w:rsidRPr="00D44ECB">
        <w:rPr>
          <w:rFonts w:cs="Arial"/>
          <w:bCs/>
          <w:color w:val="003768"/>
          <w:sz w:val="20"/>
          <w:szCs w:val="20"/>
          <w:lang w:val="nl-BE"/>
        </w:rPr>
        <w:t xml:space="preserve"> en de kosten verbonden met de afbouw van aandeelhouderskredieten.</w:t>
      </w:r>
    </w:p>
    <w:p w:rsidR="0091565F" w:rsidRPr="00D44ECB" w:rsidRDefault="00D44ECB" w:rsidP="00D44ECB">
      <w:pPr>
        <w:pStyle w:val="ListParagraph"/>
        <w:numPr>
          <w:ilvl w:val="0"/>
          <w:numId w:val="9"/>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D44ECB">
        <w:rPr>
          <w:rFonts w:cs="Arial"/>
          <w:bCs/>
          <w:color w:val="003768"/>
          <w:sz w:val="20"/>
          <w:szCs w:val="20"/>
          <w:lang w:val="nl-BE"/>
        </w:rPr>
        <w:t xml:space="preserve">Invloed van de waardering van het eigen kredietrisico: De vernauwing van de creditspread van KBC in 2013 leidde tot een negatieve </w:t>
      </w:r>
      <w:proofErr w:type="spellStart"/>
      <w:r w:rsidRPr="00D44ECB">
        <w:rPr>
          <w:rFonts w:cs="Arial"/>
          <w:bCs/>
          <w:color w:val="003768"/>
          <w:sz w:val="20"/>
          <w:szCs w:val="20"/>
          <w:lang w:val="nl-BE"/>
        </w:rPr>
        <w:t>marked</w:t>
      </w:r>
      <w:proofErr w:type="spellEnd"/>
      <w:r w:rsidRPr="00D44ECB">
        <w:rPr>
          <w:rFonts w:cs="Arial"/>
          <w:bCs/>
          <w:color w:val="003768"/>
          <w:sz w:val="20"/>
          <w:szCs w:val="20"/>
          <w:lang w:val="nl-BE"/>
        </w:rPr>
        <w:t>-</w:t>
      </w:r>
      <w:proofErr w:type="spellStart"/>
      <w:r w:rsidRPr="00D44ECB">
        <w:rPr>
          <w:rFonts w:cs="Arial"/>
          <w:bCs/>
          <w:color w:val="003768"/>
          <w:sz w:val="20"/>
          <w:szCs w:val="20"/>
          <w:lang w:val="nl-BE"/>
        </w:rPr>
        <w:t>to</w:t>
      </w:r>
      <w:proofErr w:type="spellEnd"/>
      <w:r w:rsidRPr="00D44ECB">
        <w:rPr>
          <w:rFonts w:cs="Arial"/>
          <w:bCs/>
          <w:color w:val="003768"/>
          <w:sz w:val="20"/>
          <w:szCs w:val="20"/>
          <w:lang w:val="nl-BE"/>
        </w:rPr>
        <w:t>-marketaanpassing van 43 miljoen euro (na belastingen), maar had geen invloed op het reglementair eigen vermogen.</w:t>
      </w:r>
    </w:p>
    <w:p w:rsidR="007A2951" w:rsidRDefault="007A2951">
      <w:pPr>
        <w:spacing w:after="0" w:line="240" w:lineRule="auto"/>
        <w:rPr>
          <w:rFonts w:cs="Arial"/>
          <w:b/>
          <w:bCs/>
          <w:color w:val="003768"/>
          <w:sz w:val="20"/>
          <w:szCs w:val="20"/>
          <w:lang w:val="nl-BE"/>
        </w:rPr>
      </w:pPr>
      <w:r>
        <w:rPr>
          <w:rFonts w:cs="Arial"/>
          <w:b/>
          <w:bCs/>
          <w:color w:val="003768"/>
          <w:sz w:val="20"/>
          <w:szCs w:val="20"/>
          <w:lang w:val="nl-BE"/>
        </w:rPr>
        <w:br w:type="page"/>
      </w:r>
    </w:p>
    <w:p w:rsidR="0091565F" w:rsidRPr="00D44ECB" w:rsidRDefault="00D44ECB" w:rsidP="00D44ECB">
      <w:pPr>
        <w:autoSpaceDE w:val="0"/>
        <w:autoSpaceDN w:val="0"/>
        <w:adjustRightInd w:val="0"/>
        <w:spacing w:after="120" w:line="240" w:lineRule="auto"/>
        <w:ind w:left="992" w:right="6"/>
        <w:jc w:val="both"/>
        <w:rPr>
          <w:rFonts w:cs="Arial"/>
          <w:b/>
          <w:bCs/>
          <w:color w:val="003768"/>
          <w:sz w:val="20"/>
          <w:szCs w:val="20"/>
          <w:lang w:val="nl-BE"/>
        </w:rPr>
      </w:pPr>
      <w:r w:rsidRPr="00D44ECB">
        <w:rPr>
          <w:rFonts w:cs="Arial"/>
          <w:b/>
          <w:bCs/>
          <w:color w:val="003768"/>
          <w:sz w:val="20"/>
          <w:szCs w:val="20"/>
          <w:lang w:val="nl-BE"/>
        </w:rPr>
        <w:lastRenderedPageBreak/>
        <w:t>Eigen vermogen en solvabiliteit</w:t>
      </w:r>
    </w:p>
    <w:p w:rsidR="00D44ECB" w:rsidRPr="00D44ECB" w:rsidRDefault="00D44ECB" w:rsidP="00D44ECB">
      <w:pPr>
        <w:pStyle w:val="ListParagraph"/>
        <w:numPr>
          <w:ilvl w:val="0"/>
          <w:numId w:val="10"/>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D44ECB">
        <w:rPr>
          <w:rFonts w:cs="Arial"/>
          <w:bCs/>
          <w:color w:val="003768"/>
          <w:sz w:val="20"/>
          <w:szCs w:val="20"/>
          <w:lang w:val="nl-BE"/>
        </w:rPr>
        <w:t>Eind 2013 bedroeg het totaal eigen vermogen 14,5 miljard euro. Dat betekent een daling met 1,4 miljard euro ten opzichte van het begin van het jaar. Die is voornamelijk toe te schrijven aan de betaling van dividenden (-0,4 miljard euro), de betaling van de coupon op niet-stemgerechtigde kernkapitaaleffecten onderschreven door de Belgische en de Vlaamse overheid (-0,5 miljard euro), de terugbetaling van 1,17 miljard euro (plus 50% premie) Vlaamse overheidssteun (-1,8 miljard euro), gedeeltelijk gecompenseerd door opname in de resultaten van 2013 (1,0 miljard euro) en de veranderingen in de reserve van de voor verkoop beschikbare financiële activa en de cashflowreserve (samen 0,2 miljard euro).</w:t>
      </w:r>
    </w:p>
    <w:p w:rsidR="00D44ECB" w:rsidRPr="00D44ECB" w:rsidRDefault="00D44ECB" w:rsidP="00D44ECB">
      <w:pPr>
        <w:pStyle w:val="ListParagraph"/>
        <w:numPr>
          <w:ilvl w:val="0"/>
          <w:numId w:val="10"/>
        </w:numPr>
        <w:autoSpaceDE w:val="0"/>
        <w:autoSpaceDN w:val="0"/>
        <w:adjustRightInd w:val="0"/>
        <w:spacing w:after="60" w:line="240" w:lineRule="auto"/>
        <w:ind w:left="1706" w:right="6" w:hanging="357"/>
        <w:contextualSpacing w:val="0"/>
        <w:jc w:val="both"/>
        <w:rPr>
          <w:rFonts w:cs="Arial"/>
          <w:bCs/>
          <w:color w:val="003768"/>
          <w:sz w:val="20"/>
          <w:szCs w:val="20"/>
          <w:lang w:val="nl-BE"/>
        </w:rPr>
      </w:pPr>
      <w:r w:rsidRPr="00D44ECB">
        <w:rPr>
          <w:rFonts w:cs="Arial"/>
          <w:bCs/>
          <w:color w:val="003768"/>
          <w:sz w:val="20"/>
          <w:szCs w:val="20"/>
          <w:lang w:val="nl-BE"/>
        </w:rPr>
        <w:t xml:space="preserve">De Tier 1-ratio van de groep (volgens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 bedroeg op 31 december 2013 een stevige 15,8% (</w:t>
      </w:r>
      <w:proofErr w:type="spellStart"/>
      <w:r w:rsidRPr="00D44ECB">
        <w:rPr>
          <w:rFonts w:cs="Arial"/>
          <w:bCs/>
          <w:color w:val="003768"/>
          <w:sz w:val="20"/>
          <w:szCs w:val="20"/>
          <w:lang w:val="nl-BE"/>
        </w:rPr>
        <w:t>core</w:t>
      </w:r>
      <w:proofErr w:type="spellEnd"/>
      <w:r w:rsidRPr="00D44ECB">
        <w:rPr>
          <w:rFonts w:cs="Arial"/>
          <w:bCs/>
          <w:color w:val="003768"/>
          <w:sz w:val="20"/>
          <w:szCs w:val="20"/>
          <w:lang w:val="nl-BE"/>
        </w:rPr>
        <w:t xml:space="preserve"> Tier 1: 13,5%). Rekening houdend met het effect van de desinvesteringsovereenkomsten voor KBC Bank Deutschland en Antwerpse Diamantbank en de terugbetaling van de tweede schijf overheidssteun van de Vlaamse regering bedraagt de Tier 1-ratio van de groep (volgens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 een stevige 15,6% (</w:t>
      </w:r>
      <w:proofErr w:type="spellStart"/>
      <w:r w:rsidRPr="00D44ECB">
        <w:rPr>
          <w:rFonts w:cs="Arial"/>
          <w:bCs/>
          <w:color w:val="003768"/>
          <w:sz w:val="20"/>
          <w:szCs w:val="20"/>
          <w:lang w:val="nl-BE"/>
        </w:rPr>
        <w:t>core</w:t>
      </w:r>
      <w:proofErr w:type="spellEnd"/>
      <w:r w:rsidRPr="00D44ECB">
        <w:rPr>
          <w:rFonts w:cs="Arial"/>
          <w:bCs/>
          <w:color w:val="003768"/>
          <w:sz w:val="20"/>
          <w:szCs w:val="20"/>
          <w:lang w:val="nl-BE"/>
        </w:rPr>
        <w:t xml:space="preserve"> Tier 1-ratio 13,2%). De solvabiliteitsratio van KBC Verzekeringen bedroeg op 31 december 2013 een uitstekende 281%. Dat is een lichte daling ten opzichte van de erg hoge 322% aan het einde van 2012. </w:t>
      </w:r>
    </w:p>
    <w:p w:rsidR="0091565F" w:rsidRPr="00D44ECB" w:rsidRDefault="00D44ECB" w:rsidP="00D44ECB">
      <w:pPr>
        <w:pStyle w:val="ListParagraph"/>
        <w:numPr>
          <w:ilvl w:val="0"/>
          <w:numId w:val="10"/>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D44ECB">
        <w:rPr>
          <w:rFonts w:cs="Arial"/>
          <w:bCs/>
          <w:color w:val="003768"/>
          <w:sz w:val="20"/>
          <w:szCs w:val="20"/>
          <w:lang w:val="nl-BE"/>
        </w:rPr>
        <w:t xml:space="preserve">De common </w:t>
      </w:r>
      <w:proofErr w:type="spellStart"/>
      <w:r w:rsidRPr="00D44ECB">
        <w:rPr>
          <w:rFonts w:cs="Arial"/>
          <w:bCs/>
          <w:color w:val="003768"/>
          <w:sz w:val="20"/>
          <w:szCs w:val="20"/>
          <w:lang w:val="nl-BE"/>
        </w:rPr>
        <w:t>equity</w:t>
      </w:r>
      <w:proofErr w:type="spellEnd"/>
      <w:r w:rsidRPr="00D44ECB">
        <w:rPr>
          <w:rFonts w:cs="Arial"/>
          <w:bCs/>
          <w:color w:val="003768"/>
          <w:sz w:val="20"/>
          <w:szCs w:val="20"/>
          <w:lang w:val="nl-BE"/>
        </w:rPr>
        <w:t xml:space="preserve"> ratio (pro forma) volgens het huidige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III bedroeg op het einde van het vierde kwartaal van 2013 12,5% (</w:t>
      </w:r>
      <w:proofErr w:type="spellStart"/>
      <w:r w:rsidRPr="00D44ECB">
        <w:rPr>
          <w:rFonts w:cs="Arial"/>
          <w:bCs/>
          <w:color w:val="003768"/>
          <w:sz w:val="20"/>
          <w:szCs w:val="20"/>
          <w:lang w:val="nl-BE"/>
        </w:rPr>
        <w:t>fully</w:t>
      </w:r>
      <w:proofErr w:type="spellEnd"/>
      <w:r w:rsidRPr="00D44ECB">
        <w:rPr>
          <w:rFonts w:cs="Arial"/>
          <w:bCs/>
          <w:color w:val="003768"/>
          <w:sz w:val="20"/>
          <w:szCs w:val="20"/>
          <w:lang w:val="nl-BE"/>
        </w:rPr>
        <w:t xml:space="preserve"> </w:t>
      </w:r>
      <w:proofErr w:type="spellStart"/>
      <w:r w:rsidRPr="00D44ECB">
        <w:rPr>
          <w:rFonts w:cs="Arial"/>
          <w:bCs/>
          <w:color w:val="003768"/>
          <w:sz w:val="20"/>
          <w:szCs w:val="20"/>
          <w:lang w:val="nl-BE"/>
        </w:rPr>
        <w:t>loaded</w:t>
      </w:r>
      <w:proofErr w:type="spellEnd"/>
      <w:r w:rsidRPr="00D44ECB">
        <w:rPr>
          <w:rFonts w:cs="Arial"/>
          <w:bCs/>
          <w:color w:val="003768"/>
          <w:sz w:val="20"/>
          <w:szCs w:val="20"/>
          <w:lang w:val="nl-BE"/>
        </w:rPr>
        <w:t xml:space="preserve">, met inbegrip van de resterende steun van de Vlaamse overheid, de impact van de getekende desinvesteringsovereenkomsten voor KBC Bank Deutschland en Antwerpse Diamantbank en de terugbetaling van 500 miljoen euro aan de Vlaamse regering), ruim boven de doelstelling van 10% volgens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III (</w:t>
      </w:r>
      <w:proofErr w:type="spellStart"/>
      <w:r w:rsidRPr="00D44ECB">
        <w:rPr>
          <w:rFonts w:cs="Arial"/>
          <w:bCs/>
          <w:color w:val="003768"/>
          <w:sz w:val="20"/>
          <w:szCs w:val="20"/>
          <w:lang w:val="nl-BE"/>
        </w:rPr>
        <w:t>fully</w:t>
      </w:r>
      <w:proofErr w:type="spellEnd"/>
      <w:r w:rsidRPr="00D44ECB">
        <w:rPr>
          <w:rFonts w:cs="Arial"/>
          <w:bCs/>
          <w:color w:val="003768"/>
          <w:sz w:val="20"/>
          <w:szCs w:val="20"/>
          <w:lang w:val="nl-BE"/>
        </w:rPr>
        <w:t xml:space="preserve"> </w:t>
      </w:r>
      <w:proofErr w:type="spellStart"/>
      <w:r w:rsidRPr="00D44ECB">
        <w:rPr>
          <w:rFonts w:cs="Arial"/>
          <w:bCs/>
          <w:color w:val="003768"/>
          <w:sz w:val="20"/>
          <w:szCs w:val="20"/>
          <w:lang w:val="nl-BE"/>
        </w:rPr>
        <w:t>loaded</w:t>
      </w:r>
      <w:proofErr w:type="spellEnd"/>
      <w:r w:rsidRPr="00D44ECB">
        <w:rPr>
          <w:rFonts w:cs="Arial"/>
          <w:bCs/>
          <w:color w:val="003768"/>
          <w:sz w:val="20"/>
          <w:szCs w:val="20"/>
          <w:lang w:val="nl-BE"/>
        </w:rPr>
        <w:t>).</w:t>
      </w:r>
    </w:p>
    <w:p w:rsidR="0091565F" w:rsidRPr="00D44ECB" w:rsidRDefault="00D44ECB" w:rsidP="00D44ECB">
      <w:pPr>
        <w:autoSpaceDE w:val="0"/>
        <w:autoSpaceDN w:val="0"/>
        <w:adjustRightInd w:val="0"/>
        <w:spacing w:after="120" w:line="240" w:lineRule="auto"/>
        <w:ind w:left="992" w:right="6"/>
        <w:jc w:val="both"/>
        <w:rPr>
          <w:rFonts w:cs="Arial"/>
          <w:b/>
          <w:bCs/>
          <w:color w:val="003768"/>
          <w:sz w:val="20"/>
          <w:szCs w:val="20"/>
          <w:lang w:val="nl-BE"/>
        </w:rPr>
      </w:pPr>
      <w:r w:rsidRPr="00D44ECB">
        <w:rPr>
          <w:rFonts w:cs="Arial"/>
          <w:b/>
          <w:bCs/>
          <w:color w:val="003768"/>
          <w:sz w:val="20"/>
          <w:szCs w:val="20"/>
          <w:lang w:val="nl-BE"/>
        </w:rPr>
        <w:t>Liquiditeit</w:t>
      </w:r>
    </w:p>
    <w:p w:rsidR="0091565F" w:rsidRPr="00D44ECB" w:rsidRDefault="00D44ECB" w:rsidP="00D44ECB">
      <w:pPr>
        <w:pStyle w:val="ListParagraph"/>
        <w:numPr>
          <w:ilvl w:val="0"/>
          <w:numId w:val="11"/>
        </w:numPr>
        <w:autoSpaceDE w:val="0"/>
        <w:autoSpaceDN w:val="0"/>
        <w:adjustRightInd w:val="0"/>
        <w:spacing w:after="120" w:line="240" w:lineRule="auto"/>
        <w:ind w:left="1706" w:right="6" w:hanging="357"/>
        <w:contextualSpacing w:val="0"/>
        <w:jc w:val="both"/>
        <w:rPr>
          <w:rFonts w:cs="Arial"/>
          <w:bCs/>
          <w:color w:val="003768"/>
          <w:sz w:val="20"/>
          <w:szCs w:val="20"/>
          <w:lang w:val="nl-BE"/>
        </w:rPr>
      </w:pPr>
      <w:r w:rsidRPr="00D44ECB">
        <w:rPr>
          <w:rFonts w:cs="Arial"/>
          <w:bCs/>
          <w:color w:val="003768"/>
          <w:sz w:val="20"/>
          <w:szCs w:val="20"/>
          <w:lang w:val="nl-BE"/>
        </w:rPr>
        <w:t>De liquiditeit van de groep bleef uitstekend, wat zich uit in een LCR-ratio van 131% en een NSFR-ratio van 111% op het einde van het vierde kwartaal van 2013.</w:t>
      </w:r>
    </w:p>
    <w:p w:rsidR="00D44ECB" w:rsidRDefault="00D44ECB">
      <w:pPr>
        <w:spacing w:after="0" w:line="240" w:lineRule="auto"/>
        <w:rPr>
          <w:rFonts w:cs="Arial"/>
          <w:bCs/>
          <w:color w:val="003768"/>
          <w:sz w:val="20"/>
          <w:szCs w:val="20"/>
          <w:lang w:val="nl-BE"/>
        </w:rPr>
      </w:pPr>
      <w:r>
        <w:rPr>
          <w:rFonts w:cs="Arial"/>
          <w:bCs/>
          <w:color w:val="003768"/>
          <w:sz w:val="20"/>
          <w:szCs w:val="20"/>
          <w:lang w:val="nl-BE"/>
        </w:rPr>
        <w:br w:type="page"/>
      </w:r>
    </w:p>
    <w:p w:rsidR="0091565F" w:rsidRDefault="00D44ECB" w:rsidP="00D44ECB">
      <w:pPr>
        <w:autoSpaceDE w:val="0"/>
        <w:autoSpaceDN w:val="0"/>
        <w:adjustRightInd w:val="0"/>
        <w:spacing w:after="120" w:line="240" w:lineRule="auto"/>
        <w:ind w:left="992" w:right="6"/>
        <w:jc w:val="both"/>
        <w:rPr>
          <w:rFonts w:cs="Arial"/>
          <w:bCs/>
          <w:color w:val="003768"/>
          <w:sz w:val="20"/>
          <w:szCs w:val="20"/>
          <w:lang w:val="nl-BE"/>
        </w:rPr>
      </w:pPr>
      <w:r>
        <w:rPr>
          <w:rFonts w:cs="Arial"/>
          <w:bCs/>
          <w:noProof/>
          <w:color w:val="003768"/>
          <w:sz w:val="20"/>
          <w:szCs w:val="20"/>
          <w:lang w:val="nl-BE" w:eastAsia="nl-BE"/>
        </w:rPr>
        <w:lastRenderedPageBreak/>
        <w:drawing>
          <wp:inline distT="0" distB="0" distL="0" distR="0" wp14:anchorId="264A0069">
            <wp:extent cx="6450330" cy="530225"/>
            <wp:effectExtent l="0" t="0" r="762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tbl>
      <w:tblPr>
        <w:tblW w:w="10008" w:type="dxa"/>
        <w:tblInd w:w="1178" w:type="dxa"/>
        <w:tblLook w:val="01E0" w:firstRow="1" w:lastRow="1" w:firstColumn="1" w:lastColumn="1" w:noHBand="0" w:noVBand="0"/>
      </w:tblPr>
      <w:tblGrid>
        <w:gridCol w:w="3686"/>
        <w:gridCol w:w="794"/>
        <w:gridCol w:w="794"/>
        <w:gridCol w:w="794"/>
        <w:gridCol w:w="794"/>
        <w:gridCol w:w="794"/>
        <w:gridCol w:w="794"/>
        <w:gridCol w:w="764"/>
        <w:gridCol w:w="794"/>
      </w:tblGrid>
      <w:tr w:rsidR="00D44ECB" w:rsidRPr="00E903B5" w:rsidTr="00D44ECB">
        <w:tc>
          <w:tcPr>
            <w:tcW w:w="3686" w:type="dxa"/>
            <w:shd w:val="clear" w:color="auto" w:fill="365F91" w:themeFill="accent1" w:themeFillShade="BF"/>
            <w:vAlign w:val="center"/>
          </w:tcPr>
          <w:p w:rsidR="00D44ECB" w:rsidRPr="00634375" w:rsidRDefault="00D44ECB" w:rsidP="00B31F65">
            <w:pPr>
              <w:pStyle w:val="Intro"/>
              <w:jc w:val="left"/>
              <w:rPr>
                <w:b w:val="0"/>
                <w:color w:val="FFFFFF" w:themeColor="background1"/>
                <w:sz w:val="14"/>
                <w:szCs w:val="14"/>
                <w:lang w:val="nl-BE"/>
              </w:rPr>
            </w:pPr>
            <w:r w:rsidRPr="00E903B5">
              <w:rPr>
                <w:b w:val="0"/>
                <w:color w:val="FFFFFF" w:themeColor="background1"/>
                <w:sz w:val="14"/>
                <w:szCs w:val="14"/>
              </w:rPr>
              <w:t>Hoofdlijnen van de geconsolideerde balans van KBC Groep (in miljoenen euro)</w:t>
            </w:r>
            <w:r w:rsidRPr="00E903B5">
              <w:rPr>
                <w:b w:val="0"/>
                <w:color w:val="FFFFFF" w:themeColor="background1"/>
                <w:sz w:val="14"/>
                <w:szCs w:val="14"/>
              </w:rPr>
              <w:br/>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31-03-2012</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30-06-2012</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30-09-2012</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31-12-2012</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31-03-2013</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30-06-2013</w:t>
            </w:r>
          </w:p>
        </w:tc>
        <w:tc>
          <w:tcPr>
            <w:tcW w:w="76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30-09-2013</w:t>
            </w:r>
          </w:p>
        </w:tc>
        <w:tc>
          <w:tcPr>
            <w:tcW w:w="794" w:type="dxa"/>
            <w:shd w:val="clear" w:color="auto" w:fill="365F91" w:themeFill="accent1" w:themeFillShade="BF"/>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31-12-2013</w:t>
            </w:r>
          </w:p>
        </w:tc>
      </w:tr>
      <w:tr w:rsidR="00D44ECB" w:rsidRPr="00E903B5" w:rsidTr="00D44ECB">
        <w:trPr>
          <w:trHeight w:val="284"/>
        </w:trPr>
        <w:tc>
          <w:tcPr>
            <w:tcW w:w="3686" w:type="dxa"/>
            <w:vAlign w:val="center"/>
          </w:tcPr>
          <w:p w:rsidR="00D44ECB" w:rsidRPr="00E903B5" w:rsidRDefault="00D44ECB" w:rsidP="00B31F65">
            <w:pPr>
              <w:pStyle w:val="Intro"/>
              <w:jc w:val="left"/>
              <w:rPr>
                <w:b w:val="0"/>
                <w:sz w:val="14"/>
                <w:szCs w:val="14"/>
                <w:lang w:val="en-GB"/>
              </w:rPr>
            </w:pPr>
            <w:r w:rsidRPr="00E903B5">
              <w:rPr>
                <w:b w:val="0"/>
                <w:sz w:val="14"/>
                <w:szCs w:val="14"/>
              </w:rPr>
              <w:t>Balanstotaal</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290 635</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285 848</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270 010</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256 928°</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258 567</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253 297</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250 260</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241 306</w:t>
            </w:r>
          </w:p>
        </w:tc>
      </w:tr>
      <w:tr w:rsidR="00D44ECB" w:rsidRPr="00E903B5" w:rsidTr="00D44ECB">
        <w:trPr>
          <w:trHeight w:val="284"/>
        </w:trPr>
        <w:tc>
          <w:tcPr>
            <w:tcW w:w="3686" w:type="dxa"/>
            <w:vAlign w:val="center"/>
          </w:tcPr>
          <w:p w:rsidR="00D44ECB" w:rsidRPr="00E342D4" w:rsidRDefault="00D44ECB" w:rsidP="00B31F65">
            <w:pPr>
              <w:pStyle w:val="Intro"/>
              <w:jc w:val="left"/>
              <w:rPr>
                <w:b w:val="0"/>
                <w:sz w:val="14"/>
                <w:szCs w:val="14"/>
                <w:lang w:val="nl-BE"/>
              </w:rPr>
            </w:pPr>
            <w:r>
              <w:rPr>
                <w:b w:val="0"/>
                <w:sz w:val="14"/>
                <w:szCs w:val="14"/>
              </w:rPr>
              <w:t>Leningen en voorschotten aan</w:t>
            </w:r>
            <w:r w:rsidRPr="00E903B5">
              <w:rPr>
                <w:b w:val="0"/>
                <w:sz w:val="14"/>
                <w:szCs w:val="14"/>
              </w:rPr>
              <w:t xml:space="preserve"> cliënten*</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135 980</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133 326</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131 048</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128 492</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129 753</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131 769</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128 377</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122 790</w:t>
            </w:r>
          </w:p>
        </w:tc>
      </w:tr>
      <w:tr w:rsidR="00D44ECB" w:rsidRPr="00E903B5" w:rsidTr="00D44ECB">
        <w:trPr>
          <w:trHeight w:val="284"/>
        </w:trPr>
        <w:tc>
          <w:tcPr>
            <w:tcW w:w="3686" w:type="dxa"/>
            <w:vAlign w:val="center"/>
          </w:tcPr>
          <w:p w:rsidR="00D44ECB" w:rsidRPr="00E903B5" w:rsidRDefault="00D44ECB" w:rsidP="00B31F65">
            <w:pPr>
              <w:pStyle w:val="Intro"/>
              <w:jc w:val="left"/>
              <w:rPr>
                <w:b w:val="0"/>
                <w:sz w:val="14"/>
                <w:szCs w:val="14"/>
                <w:lang w:val="en-GB"/>
              </w:rPr>
            </w:pPr>
            <w:r w:rsidRPr="00E903B5">
              <w:rPr>
                <w:b w:val="0"/>
                <w:sz w:val="14"/>
                <w:szCs w:val="14"/>
              </w:rPr>
              <w:t>Effecten (eigenvermogens- en schuldinstrumenten)*</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65 853</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64 227</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65 171</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67 295</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65 071</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65 722</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64 147</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65 177</w:t>
            </w:r>
          </w:p>
        </w:tc>
      </w:tr>
      <w:tr w:rsidR="00D44ECB" w:rsidRPr="00E903B5" w:rsidTr="00D44ECB">
        <w:trPr>
          <w:trHeight w:val="284"/>
        </w:trPr>
        <w:tc>
          <w:tcPr>
            <w:tcW w:w="3686" w:type="dxa"/>
            <w:vAlign w:val="center"/>
          </w:tcPr>
          <w:p w:rsidR="00D44ECB" w:rsidRPr="00634375" w:rsidRDefault="00D44ECB" w:rsidP="00B31F65">
            <w:pPr>
              <w:pStyle w:val="Intro"/>
              <w:jc w:val="left"/>
              <w:rPr>
                <w:b w:val="0"/>
                <w:sz w:val="14"/>
                <w:szCs w:val="14"/>
                <w:lang w:val="nl-BE"/>
              </w:rPr>
            </w:pPr>
            <w:r w:rsidRPr="00E903B5">
              <w:rPr>
                <w:b w:val="0"/>
                <w:sz w:val="14"/>
                <w:szCs w:val="14"/>
              </w:rPr>
              <w:t>Deposito’s van cliënten en schuldpapier*</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166 551</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163 685</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160 945</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159 632</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167 994</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167 414</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169 413</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164 141</w:t>
            </w:r>
          </w:p>
        </w:tc>
      </w:tr>
      <w:tr w:rsidR="00D44ECB" w:rsidRPr="00E903B5" w:rsidTr="00D44ECB">
        <w:trPr>
          <w:trHeight w:val="74"/>
        </w:trPr>
        <w:tc>
          <w:tcPr>
            <w:tcW w:w="3686" w:type="dxa"/>
            <w:vAlign w:val="center"/>
          </w:tcPr>
          <w:p w:rsidR="00D44ECB" w:rsidRPr="00E903B5" w:rsidRDefault="00D44ECB" w:rsidP="00B31F65">
            <w:pPr>
              <w:pStyle w:val="Intro"/>
              <w:spacing w:before="120"/>
              <w:jc w:val="left"/>
              <w:rPr>
                <w:b w:val="0"/>
                <w:sz w:val="14"/>
                <w:szCs w:val="14"/>
                <w:lang w:val="en-GB"/>
              </w:rPr>
            </w:pPr>
            <w:r w:rsidRPr="00E903B5">
              <w:rPr>
                <w:b w:val="0"/>
                <w:sz w:val="14"/>
                <w:szCs w:val="14"/>
              </w:rPr>
              <w:t>Technische voorzieningen, vóór herverzekering*</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19 925</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19 539</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19 637</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19 205</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18 836</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18 805</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18 803</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18 701</w:t>
            </w:r>
          </w:p>
        </w:tc>
      </w:tr>
      <w:tr w:rsidR="00D44ECB" w:rsidRPr="00E903B5" w:rsidTr="00D44ECB">
        <w:trPr>
          <w:trHeight w:val="284"/>
        </w:trPr>
        <w:tc>
          <w:tcPr>
            <w:tcW w:w="3686" w:type="dxa"/>
            <w:vAlign w:val="center"/>
          </w:tcPr>
          <w:p w:rsidR="00D44ECB" w:rsidRPr="00634375" w:rsidRDefault="00D44ECB" w:rsidP="00B31F65">
            <w:pPr>
              <w:pStyle w:val="Intro"/>
              <w:spacing w:before="120"/>
              <w:jc w:val="left"/>
              <w:rPr>
                <w:b w:val="0"/>
                <w:sz w:val="14"/>
                <w:szCs w:val="14"/>
                <w:lang w:val="nl-BE"/>
              </w:rPr>
            </w:pPr>
            <w:r w:rsidRPr="00E903B5">
              <w:rPr>
                <w:b w:val="0"/>
                <w:sz w:val="14"/>
                <w:szCs w:val="14"/>
              </w:rPr>
              <w:t>Schulden m.b.t. beleggingscontracten, verzekeringen*</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7 871</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8 856</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9 680</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10 853</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11 664</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11 606</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11 684</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11 787</w:t>
            </w:r>
          </w:p>
        </w:tc>
      </w:tr>
      <w:tr w:rsidR="00D44ECB" w:rsidRPr="00E903B5" w:rsidTr="00D44ECB">
        <w:trPr>
          <w:trHeight w:val="284"/>
        </w:trPr>
        <w:tc>
          <w:tcPr>
            <w:tcW w:w="3686" w:type="dxa"/>
            <w:vAlign w:val="center"/>
          </w:tcPr>
          <w:p w:rsidR="00D44ECB" w:rsidRPr="00634375" w:rsidRDefault="00D44ECB" w:rsidP="00B31F65">
            <w:pPr>
              <w:pStyle w:val="Intro"/>
              <w:spacing w:before="120"/>
              <w:jc w:val="left"/>
              <w:rPr>
                <w:b w:val="0"/>
                <w:sz w:val="14"/>
                <w:szCs w:val="14"/>
                <w:lang w:val="nl-BE"/>
              </w:rPr>
            </w:pPr>
            <w:r w:rsidRPr="00E903B5">
              <w:rPr>
                <w:b w:val="0"/>
                <w:sz w:val="14"/>
                <w:szCs w:val="14"/>
              </w:rPr>
              <w:t>Eigen vermogen van de moedermaatschappij</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10 949</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9 687</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10 629</w:t>
            </w:r>
          </w:p>
        </w:tc>
        <w:tc>
          <w:tcPr>
            <w:tcW w:w="794" w:type="dxa"/>
            <w:vAlign w:val="center"/>
          </w:tcPr>
          <w:p w:rsidR="00D44ECB" w:rsidRPr="00E903B5" w:rsidRDefault="00D44ECB" w:rsidP="00B31F65">
            <w:pPr>
              <w:pStyle w:val="Intro"/>
              <w:jc w:val="right"/>
              <w:rPr>
                <w:b w:val="0"/>
                <w:sz w:val="14"/>
                <w:szCs w:val="14"/>
                <w:lang w:val="en-GB"/>
              </w:rPr>
            </w:pPr>
            <w:r w:rsidRPr="00E903B5">
              <w:rPr>
                <w:b w:val="0"/>
                <w:sz w:val="14"/>
                <w:szCs w:val="14"/>
              </w:rPr>
              <w:t>12 017°</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12 505</w:t>
            </w:r>
          </w:p>
        </w:tc>
        <w:tc>
          <w:tcPr>
            <w:tcW w:w="79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12 119</w:t>
            </w:r>
          </w:p>
        </w:tc>
        <w:tc>
          <w:tcPr>
            <w:tcW w:w="764" w:type="dxa"/>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11 895</w:t>
            </w:r>
          </w:p>
        </w:tc>
        <w:tc>
          <w:tcPr>
            <w:tcW w:w="79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11 826</w:t>
            </w:r>
          </w:p>
        </w:tc>
      </w:tr>
      <w:tr w:rsidR="00D44ECB" w:rsidRPr="00E903B5" w:rsidTr="00D44ECB">
        <w:trPr>
          <w:trHeight w:val="284"/>
        </w:trPr>
        <w:tc>
          <w:tcPr>
            <w:tcW w:w="3686" w:type="dxa"/>
            <w:tcBorders>
              <w:bottom w:val="single" w:sz="8" w:space="0" w:color="1F497D" w:themeColor="text2"/>
            </w:tcBorders>
            <w:vAlign w:val="center"/>
          </w:tcPr>
          <w:p w:rsidR="00D44ECB" w:rsidRPr="00E903B5" w:rsidRDefault="00D44ECB" w:rsidP="00B31F65">
            <w:pPr>
              <w:pStyle w:val="Intro"/>
              <w:spacing w:before="120"/>
              <w:jc w:val="left"/>
              <w:rPr>
                <w:b w:val="0"/>
                <w:sz w:val="14"/>
                <w:szCs w:val="14"/>
                <w:lang w:val="en-GB"/>
              </w:rPr>
            </w:pPr>
            <w:r w:rsidRPr="00E903B5">
              <w:rPr>
                <w:b w:val="0"/>
                <w:sz w:val="14"/>
                <w:szCs w:val="14"/>
              </w:rPr>
              <w:t>Niet-</w:t>
            </w:r>
            <w:proofErr w:type="spellStart"/>
            <w:r w:rsidRPr="00E903B5">
              <w:rPr>
                <w:b w:val="0"/>
                <w:sz w:val="14"/>
                <w:szCs w:val="14"/>
              </w:rPr>
              <w:t>stemrechtverlenende</w:t>
            </w:r>
            <w:proofErr w:type="spellEnd"/>
            <w:r w:rsidRPr="00E903B5">
              <w:rPr>
                <w:b w:val="0"/>
                <w:sz w:val="14"/>
                <w:szCs w:val="14"/>
              </w:rPr>
              <w:t xml:space="preserve"> kernkapitaaleffecten</w:t>
            </w:r>
          </w:p>
        </w:tc>
        <w:tc>
          <w:tcPr>
            <w:tcW w:w="794" w:type="dxa"/>
            <w:tcBorders>
              <w:bottom w:val="single" w:sz="8" w:space="0" w:color="1F497D" w:themeColor="text2"/>
            </w:tcBorders>
            <w:vAlign w:val="center"/>
          </w:tcPr>
          <w:p w:rsidR="00D44ECB" w:rsidRPr="00E903B5" w:rsidRDefault="00D44ECB" w:rsidP="00B31F65">
            <w:pPr>
              <w:pStyle w:val="Intro"/>
              <w:jc w:val="right"/>
              <w:rPr>
                <w:b w:val="0"/>
                <w:sz w:val="14"/>
                <w:szCs w:val="14"/>
                <w:lang w:val="en-GB"/>
              </w:rPr>
            </w:pPr>
            <w:r w:rsidRPr="00E903B5">
              <w:rPr>
                <w:b w:val="0"/>
                <w:sz w:val="14"/>
                <w:szCs w:val="14"/>
              </w:rPr>
              <w:t>6 500</w:t>
            </w:r>
          </w:p>
        </w:tc>
        <w:tc>
          <w:tcPr>
            <w:tcW w:w="794" w:type="dxa"/>
            <w:tcBorders>
              <w:bottom w:val="single" w:sz="8" w:space="0" w:color="1F497D" w:themeColor="text2"/>
            </w:tcBorders>
            <w:vAlign w:val="center"/>
          </w:tcPr>
          <w:p w:rsidR="00D44ECB" w:rsidRPr="00E903B5" w:rsidRDefault="00D44ECB" w:rsidP="00B31F65">
            <w:pPr>
              <w:pStyle w:val="Intro"/>
              <w:jc w:val="right"/>
              <w:rPr>
                <w:b w:val="0"/>
                <w:sz w:val="14"/>
                <w:szCs w:val="14"/>
                <w:lang w:val="en-GB"/>
              </w:rPr>
            </w:pPr>
            <w:r w:rsidRPr="00E903B5">
              <w:rPr>
                <w:b w:val="0"/>
                <w:sz w:val="14"/>
                <w:szCs w:val="14"/>
              </w:rPr>
              <w:t>6 500</w:t>
            </w:r>
          </w:p>
        </w:tc>
        <w:tc>
          <w:tcPr>
            <w:tcW w:w="794" w:type="dxa"/>
            <w:tcBorders>
              <w:bottom w:val="single" w:sz="8" w:space="0" w:color="1F497D" w:themeColor="text2"/>
            </w:tcBorders>
            <w:vAlign w:val="center"/>
          </w:tcPr>
          <w:p w:rsidR="00D44ECB" w:rsidRPr="00E903B5" w:rsidRDefault="00D44ECB" w:rsidP="00B31F65">
            <w:pPr>
              <w:pStyle w:val="Intro"/>
              <w:jc w:val="right"/>
              <w:rPr>
                <w:b w:val="0"/>
                <w:sz w:val="14"/>
                <w:szCs w:val="14"/>
                <w:lang w:val="en-GB"/>
              </w:rPr>
            </w:pPr>
            <w:r w:rsidRPr="00E903B5">
              <w:rPr>
                <w:b w:val="0"/>
                <w:sz w:val="14"/>
                <w:szCs w:val="14"/>
              </w:rPr>
              <w:t>6 500</w:t>
            </w:r>
          </w:p>
        </w:tc>
        <w:tc>
          <w:tcPr>
            <w:tcW w:w="794" w:type="dxa"/>
            <w:tcBorders>
              <w:bottom w:val="single" w:sz="8" w:space="0" w:color="1F497D" w:themeColor="text2"/>
            </w:tcBorders>
            <w:vAlign w:val="center"/>
          </w:tcPr>
          <w:p w:rsidR="00D44ECB" w:rsidRPr="00E903B5" w:rsidRDefault="00D44ECB" w:rsidP="00B31F65">
            <w:pPr>
              <w:pStyle w:val="Intro"/>
              <w:jc w:val="right"/>
              <w:rPr>
                <w:b w:val="0"/>
                <w:sz w:val="14"/>
                <w:szCs w:val="14"/>
                <w:lang w:val="en-GB"/>
              </w:rPr>
            </w:pPr>
            <w:r w:rsidRPr="00E903B5">
              <w:rPr>
                <w:b w:val="0"/>
                <w:sz w:val="14"/>
                <w:szCs w:val="14"/>
              </w:rPr>
              <w:t>3 500</w:t>
            </w:r>
          </w:p>
        </w:tc>
        <w:tc>
          <w:tcPr>
            <w:tcW w:w="794" w:type="dxa"/>
            <w:tcBorders>
              <w:bottom w:val="single" w:sz="8" w:space="0" w:color="1F497D" w:themeColor="text2"/>
            </w:tcBorders>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3 500</w:t>
            </w:r>
          </w:p>
        </w:tc>
        <w:tc>
          <w:tcPr>
            <w:tcW w:w="794" w:type="dxa"/>
            <w:tcBorders>
              <w:bottom w:val="single" w:sz="8" w:space="0" w:color="1F497D" w:themeColor="text2"/>
            </w:tcBorders>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3 500</w:t>
            </w:r>
          </w:p>
        </w:tc>
        <w:tc>
          <w:tcPr>
            <w:tcW w:w="764" w:type="dxa"/>
            <w:tcBorders>
              <w:bottom w:val="single" w:sz="8" w:space="0" w:color="1F497D" w:themeColor="text2"/>
            </w:tcBorders>
            <w:shd w:val="clear" w:color="auto" w:fill="auto"/>
            <w:vAlign w:val="center"/>
          </w:tcPr>
          <w:p w:rsidR="00D44ECB" w:rsidRPr="00E903B5" w:rsidRDefault="00D44ECB" w:rsidP="00B31F65">
            <w:pPr>
              <w:pStyle w:val="Intro"/>
              <w:jc w:val="right"/>
              <w:rPr>
                <w:b w:val="0"/>
                <w:sz w:val="14"/>
                <w:szCs w:val="14"/>
                <w:lang w:val="en-GB"/>
              </w:rPr>
            </w:pPr>
            <w:r w:rsidRPr="00E903B5">
              <w:rPr>
                <w:b w:val="0"/>
                <w:sz w:val="14"/>
                <w:szCs w:val="14"/>
              </w:rPr>
              <w:t>2 333</w:t>
            </w:r>
          </w:p>
        </w:tc>
        <w:tc>
          <w:tcPr>
            <w:tcW w:w="794" w:type="dxa"/>
            <w:tcBorders>
              <w:bottom w:val="single" w:sz="8" w:space="0" w:color="1F497D" w:themeColor="text2"/>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2 333</w:t>
            </w:r>
          </w:p>
        </w:tc>
      </w:tr>
      <w:tr w:rsidR="00D44ECB" w:rsidRPr="00F76249" w:rsidTr="00D44ECB">
        <w:trPr>
          <w:trHeight w:val="339"/>
        </w:trPr>
        <w:tc>
          <w:tcPr>
            <w:tcW w:w="10008" w:type="dxa"/>
            <w:gridSpan w:val="9"/>
            <w:tcBorders>
              <w:top w:val="single" w:sz="8" w:space="0" w:color="1F497D" w:themeColor="text2"/>
            </w:tcBorders>
            <w:vAlign w:val="center"/>
          </w:tcPr>
          <w:p w:rsidR="00D44ECB" w:rsidRPr="00634375" w:rsidRDefault="00D44ECB" w:rsidP="00B31F65">
            <w:pPr>
              <w:ind w:left="88" w:hanging="88"/>
              <w:outlineLvl w:val="8"/>
              <w:rPr>
                <w:rFonts w:ascii="Arial" w:hAnsi="Arial"/>
                <w:bCs/>
                <w:sz w:val="12"/>
                <w:szCs w:val="12"/>
                <w:lang w:val="nl-BE"/>
              </w:rPr>
            </w:pPr>
            <w:r w:rsidRPr="00634375">
              <w:rPr>
                <w:rFonts w:ascii="Arial" w:hAnsi="Arial"/>
                <w:bCs/>
                <w:sz w:val="12"/>
                <w:szCs w:val="12"/>
                <w:lang w:val="nl-BE"/>
              </w:rPr>
              <w:t xml:space="preserve">* In overeenstemming met IFRS 5 werden de activa en passiva van een aantal desinvesteringen verplaatst naar ‘Vaste activa aangehouden voor verkoop en groepen activa die worden </w:t>
            </w:r>
            <w:proofErr w:type="spellStart"/>
            <w:r w:rsidRPr="00634375">
              <w:rPr>
                <w:rFonts w:ascii="Arial" w:hAnsi="Arial"/>
                <w:bCs/>
                <w:sz w:val="12"/>
                <w:szCs w:val="12"/>
                <w:lang w:val="nl-BE"/>
              </w:rPr>
              <w:t>afgestoten</w:t>
            </w:r>
            <w:proofErr w:type="spellEnd"/>
            <w:r w:rsidRPr="00634375">
              <w:rPr>
                <w:rFonts w:ascii="Arial" w:hAnsi="Arial"/>
                <w:bCs/>
                <w:sz w:val="12"/>
                <w:szCs w:val="12"/>
                <w:lang w:val="nl-BE"/>
              </w:rPr>
              <w:t xml:space="preserve">’ en ‘Verplichtingen i.v.m. groepen activa die worden </w:t>
            </w:r>
            <w:proofErr w:type="spellStart"/>
            <w:r w:rsidRPr="00634375">
              <w:rPr>
                <w:rFonts w:ascii="Arial" w:hAnsi="Arial"/>
                <w:bCs/>
                <w:sz w:val="12"/>
                <w:szCs w:val="12"/>
                <w:lang w:val="nl-BE"/>
              </w:rPr>
              <w:t>afgestoten</w:t>
            </w:r>
            <w:proofErr w:type="spellEnd"/>
            <w:r w:rsidRPr="00634375">
              <w:rPr>
                <w:rFonts w:ascii="Arial" w:hAnsi="Arial"/>
                <w:bCs/>
                <w:sz w:val="12"/>
                <w:szCs w:val="12"/>
                <w:lang w:val="nl-BE"/>
              </w:rPr>
              <w:t>’, waardoor de vergelijking tussen periodes een licht vertekend beeld geeft.</w:t>
            </w:r>
          </w:p>
          <w:p w:rsidR="00D44ECB" w:rsidRPr="00634375" w:rsidRDefault="00D44ECB" w:rsidP="00B31F65">
            <w:pPr>
              <w:ind w:left="88" w:hanging="88"/>
              <w:outlineLvl w:val="8"/>
              <w:rPr>
                <w:rFonts w:ascii="Arial" w:hAnsi="Arial"/>
                <w:bCs/>
                <w:sz w:val="12"/>
                <w:szCs w:val="12"/>
                <w:lang w:val="nl-BE"/>
              </w:rPr>
            </w:pPr>
            <w:r w:rsidRPr="00634375">
              <w:rPr>
                <w:rFonts w:ascii="Arial" w:hAnsi="Arial"/>
                <w:bCs/>
                <w:sz w:val="12"/>
                <w:szCs w:val="12"/>
                <w:lang w:val="nl-BE"/>
              </w:rPr>
              <w:t xml:space="preserve">° </w:t>
            </w:r>
            <w:proofErr w:type="spellStart"/>
            <w:r w:rsidRPr="00634375">
              <w:rPr>
                <w:rFonts w:ascii="Arial" w:hAnsi="Arial"/>
                <w:bCs/>
                <w:sz w:val="12"/>
                <w:szCs w:val="12"/>
                <w:lang w:val="nl-BE"/>
              </w:rPr>
              <w:t>Herberekend</w:t>
            </w:r>
            <w:proofErr w:type="spellEnd"/>
            <w:r w:rsidRPr="00634375">
              <w:rPr>
                <w:rFonts w:ascii="Arial" w:hAnsi="Arial"/>
                <w:bCs/>
                <w:sz w:val="12"/>
                <w:szCs w:val="12"/>
                <w:lang w:val="nl-BE"/>
              </w:rPr>
              <w:t xml:space="preserve"> op basis van de aanpassingen aan IAS 19 die op 1 januari 2013 van kracht werden.</w:t>
            </w:r>
          </w:p>
          <w:p w:rsidR="00D44ECB" w:rsidRPr="00634375" w:rsidRDefault="00D44ECB" w:rsidP="00B31F65">
            <w:pPr>
              <w:ind w:left="88" w:hanging="88"/>
              <w:outlineLvl w:val="8"/>
              <w:rPr>
                <w:sz w:val="14"/>
                <w:szCs w:val="14"/>
                <w:lang w:val="nl-BE"/>
              </w:rPr>
            </w:pPr>
          </w:p>
        </w:tc>
      </w:tr>
    </w:tbl>
    <w:p w:rsidR="0091565F" w:rsidRDefault="00D44ECB" w:rsidP="00D44ECB">
      <w:pPr>
        <w:autoSpaceDE w:val="0"/>
        <w:autoSpaceDN w:val="0"/>
        <w:adjustRightInd w:val="0"/>
        <w:spacing w:after="120" w:line="240" w:lineRule="auto"/>
        <w:ind w:left="992" w:right="6"/>
        <w:jc w:val="both"/>
        <w:rPr>
          <w:rFonts w:cs="Arial"/>
          <w:bCs/>
          <w:color w:val="003768"/>
          <w:sz w:val="20"/>
          <w:szCs w:val="20"/>
          <w:lang w:val="nl-BE"/>
        </w:rPr>
      </w:pPr>
      <w:r>
        <w:rPr>
          <w:rFonts w:cs="Arial"/>
          <w:bCs/>
          <w:noProof/>
          <w:color w:val="003768"/>
          <w:sz w:val="20"/>
          <w:szCs w:val="20"/>
          <w:lang w:val="nl-BE" w:eastAsia="nl-BE"/>
        </w:rPr>
        <w:drawing>
          <wp:inline distT="0" distB="0" distL="0" distR="0" wp14:anchorId="42FD78F4">
            <wp:extent cx="6450330" cy="530225"/>
            <wp:effectExtent l="0" t="0" r="762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tbl>
      <w:tblPr>
        <w:tblW w:w="10065" w:type="dxa"/>
        <w:tblInd w:w="1148" w:type="dxa"/>
        <w:tblLook w:val="01E0" w:firstRow="1" w:lastRow="1" w:firstColumn="1" w:lastColumn="1" w:noHBand="0" w:noVBand="0"/>
      </w:tblPr>
      <w:tblGrid>
        <w:gridCol w:w="5954"/>
        <w:gridCol w:w="1843"/>
        <w:gridCol w:w="1134"/>
        <w:gridCol w:w="1134"/>
      </w:tblGrid>
      <w:tr w:rsidR="00D44ECB" w:rsidRPr="00E903B5" w:rsidTr="00D44ECB">
        <w:tc>
          <w:tcPr>
            <w:tcW w:w="5954" w:type="dxa"/>
            <w:shd w:val="clear" w:color="auto" w:fill="1F497D" w:themeFill="text2"/>
            <w:vAlign w:val="center"/>
          </w:tcPr>
          <w:p w:rsidR="00D44ECB" w:rsidRPr="00634375" w:rsidRDefault="00D44ECB" w:rsidP="00B31F65">
            <w:pPr>
              <w:pStyle w:val="Intro"/>
              <w:jc w:val="left"/>
              <w:rPr>
                <w:b w:val="0"/>
                <w:color w:val="FFFFFF" w:themeColor="background1"/>
                <w:sz w:val="14"/>
                <w:szCs w:val="14"/>
                <w:lang w:val="nl-BE"/>
              </w:rPr>
            </w:pPr>
            <w:r w:rsidRPr="00E903B5">
              <w:rPr>
                <w:b w:val="0"/>
                <w:color w:val="FFFFFF" w:themeColor="background1"/>
                <w:sz w:val="14"/>
                <w:szCs w:val="14"/>
              </w:rPr>
              <w:t>Geselecteerde ratio’s</w:t>
            </w:r>
          </w:p>
          <w:p w:rsidR="00D44ECB" w:rsidRPr="00634375" w:rsidRDefault="00D44ECB" w:rsidP="00B31F65">
            <w:pPr>
              <w:pStyle w:val="Intro"/>
              <w:jc w:val="left"/>
              <w:rPr>
                <w:b w:val="0"/>
                <w:color w:val="FFFFFF" w:themeColor="background1"/>
                <w:sz w:val="14"/>
                <w:szCs w:val="14"/>
                <w:lang w:val="nl-BE"/>
              </w:rPr>
            </w:pPr>
            <w:r w:rsidRPr="00E903B5">
              <w:rPr>
                <w:b w:val="0"/>
                <w:color w:val="FFFFFF" w:themeColor="background1"/>
                <w:sz w:val="14"/>
                <w:szCs w:val="14"/>
              </w:rPr>
              <w:t>KBC-groep (geconsolideerd)</w:t>
            </w:r>
          </w:p>
        </w:tc>
        <w:tc>
          <w:tcPr>
            <w:tcW w:w="1843" w:type="dxa"/>
            <w:shd w:val="clear" w:color="auto" w:fill="1F497D" w:themeFill="text2"/>
            <w:vAlign w:val="center"/>
          </w:tcPr>
          <w:p w:rsidR="00D44ECB" w:rsidRPr="00634375" w:rsidRDefault="00D44ECB" w:rsidP="00B31F65">
            <w:pPr>
              <w:pStyle w:val="Intro"/>
              <w:jc w:val="right"/>
              <w:rPr>
                <w:b w:val="0"/>
                <w:color w:val="FFFFFF" w:themeColor="background1"/>
                <w:sz w:val="14"/>
                <w:szCs w:val="14"/>
                <w:lang w:val="nl-BE"/>
              </w:rPr>
            </w:pPr>
          </w:p>
        </w:tc>
        <w:tc>
          <w:tcPr>
            <w:tcW w:w="1134" w:type="dxa"/>
            <w:shd w:val="clear" w:color="auto" w:fill="1F497D" w:themeFill="text2"/>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Boekjaar 2012</w:t>
            </w:r>
          </w:p>
        </w:tc>
        <w:tc>
          <w:tcPr>
            <w:tcW w:w="1134" w:type="dxa"/>
            <w:shd w:val="clear" w:color="auto" w:fill="1F497D" w:themeFill="text2"/>
            <w:vAlign w:val="center"/>
          </w:tcPr>
          <w:p w:rsidR="00D44ECB" w:rsidRPr="00E903B5" w:rsidRDefault="00D44ECB" w:rsidP="00B31F65">
            <w:pPr>
              <w:pStyle w:val="Intro"/>
              <w:jc w:val="right"/>
              <w:rPr>
                <w:b w:val="0"/>
                <w:color w:val="FFFFFF" w:themeColor="background1"/>
                <w:sz w:val="14"/>
                <w:szCs w:val="14"/>
                <w:lang w:val="en-GB"/>
              </w:rPr>
            </w:pPr>
            <w:r w:rsidRPr="00E903B5">
              <w:rPr>
                <w:b w:val="0"/>
                <w:color w:val="FFFFFF" w:themeColor="background1"/>
                <w:sz w:val="14"/>
                <w:szCs w:val="14"/>
              </w:rPr>
              <w:t>Boekjaar 2013</w:t>
            </w:r>
          </w:p>
        </w:tc>
      </w:tr>
      <w:tr w:rsidR="00D44ECB" w:rsidRPr="00F76249" w:rsidTr="00D44ECB">
        <w:trPr>
          <w:trHeight w:val="227"/>
        </w:trPr>
        <w:tc>
          <w:tcPr>
            <w:tcW w:w="5954" w:type="dxa"/>
            <w:tcBorders>
              <w:bottom w:val="single" w:sz="8" w:space="0" w:color="365F91" w:themeColor="accent1" w:themeShade="BF"/>
            </w:tcBorders>
            <w:vAlign w:val="center"/>
          </w:tcPr>
          <w:p w:rsidR="00D44ECB" w:rsidRPr="00634375" w:rsidRDefault="00D44ECB" w:rsidP="00B31F65">
            <w:pPr>
              <w:pStyle w:val="Intro"/>
              <w:jc w:val="left"/>
              <w:rPr>
                <w:b w:val="0"/>
                <w:sz w:val="14"/>
                <w:szCs w:val="14"/>
                <w:lang w:val="nl-BE"/>
              </w:rPr>
            </w:pPr>
            <w:r w:rsidRPr="00E903B5">
              <w:rPr>
                <w:b w:val="0"/>
                <w:sz w:val="14"/>
                <w:szCs w:val="14"/>
              </w:rPr>
              <w:t xml:space="preserve">Winstgevendheid en efficiëntie (op basis van de </w:t>
            </w:r>
            <w:r>
              <w:rPr>
                <w:b w:val="0"/>
                <w:sz w:val="14"/>
                <w:szCs w:val="14"/>
              </w:rPr>
              <w:t>aangepaste</w:t>
            </w:r>
            <w:r w:rsidRPr="00E903B5">
              <w:rPr>
                <w:b w:val="0"/>
                <w:sz w:val="14"/>
                <w:szCs w:val="14"/>
              </w:rPr>
              <w:t xml:space="preserve"> resultaten)</w:t>
            </w:r>
          </w:p>
        </w:tc>
        <w:tc>
          <w:tcPr>
            <w:tcW w:w="1843" w:type="dxa"/>
            <w:tcBorders>
              <w:bottom w:val="single" w:sz="8" w:space="0" w:color="365F91" w:themeColor="accent1" w:themeShade="BF"/>
            </w:tcBorders>
            <w:vAlign w:val="center"/>
          </w:tcPr>
          <w:p w:rsidR="00D44ECB" w:rsidRPr="00634375" w:rsidRDefault="00D44ECB" w:rsidP="00B31F65">
            <w:pPr>
              <w:pStyle w:val="Intro"/>
              <w:jc w:val="right"/>
              <w:rPr>
                <w:b w:val="0"/>
                <w:sz w:val="14"/>
                <w:szCs w:val="14"/>
                <w:lang w:val="nl-BE"/>
              </w:rPr>
            </w:pPr>
          </w:p>
        </w:tc>
        <w:tc>
          <w:tcPr>
            <w:tcW w:w="1134" w:type="dxa"/>
            <w:tcBorders>
              <w:bottom w:val="single" w:sz="8" w:space="0" w:color="365F91" w:themeColor="accent1" w:themeShade="BF"/>
            </w:tcBorders>
            <w:vAlign w:val="center"/>
          </w:tcPr>
          <w:p w:rsidR="00D44ECB" w:rsidRPr="00634375" w:rsidRDefault="00D44ECB" w:rsidP="00B31F65">
            <w:pPr>
              <w:pStyle w:val="Intro"/>
              <w:jc w:val="right"/>
              <w:rPr>
                <w:b w:val="0"/>
                <w:sz w:val="14"/>
                <w:szCs w:val="14"/>
                <w:lang w:val="nl-BE"/>
              </w:rPr>
            </w:pPr>
          </w:p>
        </w:tc>
        <w:tc>
          <w:tcPr>
            <w:tcW w:w="1134" w:type="dxa"/>
            <w:tcBorders>
              <w:bottom w:val="single" w:sz="8" w:space="0" w:color="365F91" w:themeColor="accent1" w:themeShade="BF"/>
            </w:tcBorders>
            <w:shd w:val="clear" w:color="auto" w:fill="DBE5F1" w:themeFill="accent1" w:themeFillTint="33"/>
            <w:vAlign w:val="center"/>
          </w:tcPr>
          <w:p w:rsidR="00D44ECB" w:rsidRPr="00634375" w:rsidRDefault="00D44ECB" w:rsidP="00B31F65">
            <w:pPr>
              <w:pStyle w:val="Intro"/>
              <w:jc w:val="right"/>
              <w:rPr>
                <w:b w:val="0"/>
                <w:sz w:val="14"/>
                <w:szCs w:val="14"/>
                <w:lang w:val="nl-BE"/>
              </w:rPr>
            </w:pPr>
          </w:p>
        </w:tc>
      </w:tr>
      <w:tr w:rsidR="00D44ECB" w:rsidRPr="00E903B5" w:rsidTr="00D44ECB">
        <w:trPr>
          <w:trHeight w:val="227"/>
        </w:trPr>
        <w:tc>
          <w:tcPr>
            <w:tcW w:w="5954" w:type="dxa"/>
            <w:tcBorders>
              <w:top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Rendement op eigen vermogen*  </w:t>
            </w:r>
          </w:p>
        </w:tc>
        <w:tc>
          <w:tcPr>
            <w:tcW w:w="1843" w:type="dxa"/>
            <w:tcBorders>
              <w:top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r w:rsidRPr="00E903B5">
              <w:rPr>
                <w:b w:val="0"/>
                <w:sz w:val="14"/>
                <w:szCs w:val="14"/>
              </w:rPr>
              <w:t>9%</w:t>
            </w:r>
          </w:p>
        </w:tc>
        <w:tc>
          <w:tcPr>
            <w:tcW w:w="1134" w:type="dxa"/>
            <w:tcBorders>
              <w:top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9%</w:t>
            </w:r>
          </w:p>
        </w:tc>
      </w:tr>
      <w:tr w:rsidR="00D44ECB" w:rsidRPr="00E903B5" w:rsidTr="00D44ECB">
        <w:trPr>
          <w:trHeight w:val="227"/>
        </w:trPr>
        <w:tc>
          <w:tcPr>
            <w:tcW w:w="5954" w:type="dxa"/>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Kosten-inkomstenratio, bankactiviteiten</w:t>
            </w:r>
          </w:p>
        </w:tc>
        <w:tc>
          <w:tcPr>
            <w:tcW w:w="1843" w:type="dxa"/>
            <w:vAlign w:val="center"/>
          </w:tcPr>
          <w:p w:rsidR="00D44ECB" w:rsidRPr="00E903B5" w:rsidRDefault="00D44ECB" w:rsidP="00B31F65">
            <w:pPr>
              <w:pStyle w:val="Intro"/>
              <w:jc w:val="right"/>
              <w:rPr>
                <w:b w:val="0"/>
                <w:sz w:val="14"/>
                <w:szCs w:val="14"/>
                <w:lang w:val="en-GB"/>
              </w:rPr>
            </w:pPr>
          </w:p>
        </w:tc>
        <w:tc>
          <w:tcPr>
            <w:tcW w:w="1134" w:type="dxa"/>
            <w:vAlign w:val="center"/>
          </w:tcPr>
          <w:p w:rsidR="00D44ECB" w:rsidRPr="00E903B5" w:rsidRDefault="00D44ECB" w:rsidP="00B31F65">
            <w:pPr>
              <w:pStyle w:val="Intro"/>
              <w:jc w:val="right"/>
              <w:rPr>
                <w:b w:val="0"/>
                <w:sz w:val="14"/>
                <w:szCs w:val="14"/>
                <w:lang w:val="en-GB"/>
              </w:rPr>
            </w:pPr>
            <w:r w:rsidRPr="00E903B5">
              <w:rPr>
                <w:b w:val="0"/>
                <w:sz w:val="14"/>
                <w:szCs w:val="14"/>
              </w:rPr>
              <w:t>57%</w:t>
            </w:r>
          </w:p>
        </w:tc>
        <w:tc>
          <w:tcPr>
            <w:tcW w:w="113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52%</w:t>
            </w:r>
          </w:p>
        </w:tc>
      </w:tr>
      <w:tr w:rsidR="00D44ECB" w:rsidRPr="00E903B5" w:rsidTr="00D44ECB">
        <w:trPr>
          <w:trHeight w:val="227"/>
        </w:trPr>
        <w:tc>
          <w:tcPr>
            <w:tcW w:w="5954" w:type="dxa"/>
            <w:tcBorders>
              <w:bottom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Gecombineerde ratio, schadeverzekeringsactiviteiten</w:t>
            </w:r>
          </w:p>
        </w:tc>
        <w:tc>
          <w:tcPr>
            <w:tcW w:w="1843"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r w:rsidRPr="00E903B5">
              <w:rPr>
                <w:b w:val="0"/>
                <w:sz w:val="14"/>
                <w:szCs w:val="14"/>
              </w:rPr>
              <w:t>95%</w:t>
            </w:r>
          </w:p>
        </w:tc>
        <w:tc>
          <w:tcPr>
            <w:tcW w:w="1134" w:type="dxa"/>
            <w:tcBorders>
              <w:bottom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94%</w:t>
            </w:r>
          </w:p>
        </w:tc>
      </w:tr>
      <w:tr w:rsidR="00D44ECB" w:rsidRPr="00E903B5" w:rsidTr="00D44ECB">
        <w:trPr>
          <w:trHeight w:val="227"/>
        </w:trPr>
        <w:tc>
          <w:tcPr>
            <w:tcW w:w="5954" w:type="dxa"/>
            <w:tcBorders>
              <w:top w:val="single" w:sz="8" w:space="0" w:color="365F91" w:themeColor="accent1" w:themeShade="BF"/>
              <w:bottom w:val="single" w:sz="8" w:space="0" w:color="1F497D" w:themeColor="text2"/>
            </w:tcBorders>
            <w:vAlign w:val="center"/>
          </w:tcPr>
          <w:p w:rsidR="00D44ECB" w:rsidRPr="00E903B5" w:rsidRDefault="00D44ECB" w:rsidP="00B31F65">
            <w:pPr>
              <w:pStyle w:val="Intro"/>
              <w:jc w:val="left"/>
              <w:rPr>
                <w:b w:val="0"/>
                <w:sz w:val="14"/>
                <w:szCs w:val="14"/>
                <w:lang w:val="en-GB"/>
              </w:rPr>
            </w:pPr>
            <w:r w:rsidRPr="00E903B5">
              <w:rPr>
                <w:b w:val="0"/>
                <w:sz w:val="14"/>
                <w:szCs w:val="14"/>
              </w:rPr>
              <w:t>Solvabiliteit</w:t>
            </w:r>
          </w:p>
        </w:tc>
        <w:tc>
          <w:tcPr>
            <w:tcW w:w="1843" w:type="dxa"/>
            <w:tcBorders>
              <w:top w:val="single" w:sz="8" w:space="0" w:color="365F91" w:themeColor="accent1" w:themeShade="BF"/>
              <w:bottom w:val="single" w:sz="8" w:space="0" w:color="1F497D" w:themeColor="text2"/>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bottom w:val="single" w:sz="8" w:space="0" w:color="1F497D" w:themeColor="text2"/>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p>
        </w:tc>
      </w:tr>
      <w:tr w:rsidR="00D44ECB" w:rsidRPr="00E903B5" w:rsidTr="00D44ECB">
        <w:trPr>
          <w:trHeight w:val="227"/>
        </w:trPr>
        <w:tc>
          <w:tcPr>
            <w:tcW w:w="5954" w:type="dxa"/>
            <w:tcBorders>
              <w:top w:val="single" w:sz="8" w:space="0" w:color="1F497D" w:themeColor="text2"/>
            </w:tcBorders>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Tier 1-ratio (</w:t>
            </w:r>
            <w:proofErr w:type="spellStart"/>
            <w:r w:rsidRPr="00E903B5">
              <w:rPr>
                <w:b w:val="0"/>
                <w:sz w:val="14"/>
                <w:szCs w:val="14"/>
              </w:rPr>
              <w:t>Basel</w:t>
            </w:r>
            <w:proofErr w:type="spellEnd"/>
            <w:r w:rsidRPr="00E903B5">
              <w:rPr>
                <w:b w:val="0"/>
                <w:sz w:val="14"/>
                <w:szCs w:val="14"/>
              </w:rPr>
              <w:t xml:space="preserve"> II)**</w:t>
            </w:r>
          </w:p>
        </w:tc>
        <w:tc>
          <w:tcPr>
            <w:tcW w:w="1843" w:type="dxa"/>
            <w:tcBorders>
              <w:top w:val="single" w:sz="8" w:space="0" w:color="1F497D" w:themeColor="text2"/>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1F497D" w:themeColor="text2"/>
            </w:tcBorders>
            <w:vAlign w:val="center"/>
          </w:tcPr>
          <w:p w:rsidR="00D44ECB" w:rsidRPr="00E903B5" w:rsidRDefault="00D44ECB" w:rsidP="00B31F65">
            <w:pPr>
              <w:pStyle w:val="Intro"/>
              <w:jc w:val="right"/>
              <w:rPr>
                <w:b w:val="0"/>
                <w:sz w:val="14"/>
                <w:szCs w:val="14"/>
                <w:lang w:val="en-GB"/>
              </w:rPr>
            </w:pPr>
            <w:r w:rsidRPr="00E903B5">
              <w:rPr>
                <w:b w:val="0"/>
                <w:sz w:val="14"/>
                <w:szCs w:val="14"/>
              </w:rPr>
              <w:t>13.8%</w:t>
            </w:r>
          </w:p>
        </w:tc>
        <w:tc>
          <w:tcPr>
            <w:tcW w:w="1134" w:type="dxa"/>
            <w:tcBorders>
              <w:top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15.8%</w:t>
            </w:r>
          </w:p>
        </w:tc>
      </w:tr>
      <w:tr w:rsidR="00D44ECB" w:rsidRPr="00E903B5" w:rsidTr="00D44ECB">
        <w:trPr>
          <w:trHeight w:val="227"/>
        </w:trPr>
        <w:tc>
          <w:tcPr>
            <w:tcW w:w="5954" w:type="dxa"/>
            <w:vAlign w:val="center"/>
          </w:tcPr>
          <w:p w:rsidR="00D44ECB" w:rsidRPr="00013E74" w:rsidRDefault="00D44ECB" w:rsidP="00B31F65">
            <w:pPr>
              <w:pStyle w:val="Intro"/>
              <w:jc w:val="left"/>
              <w:rPr>
                <w:b w:val="0"/>
                <w:sz w:val="14"/>
                <w:szCs w:val="14"/>
                <w:lang w:val="fr-FR"/>
              </w:rPr>
            </w:pPr>
            <w:r w:rsidRPr="00634375">
              <w:rPr>
                <w:b w:val="0"/>
                <w:sz w:val="14"/>
                <w:szCs w:val="14"/>
                <w:lang w:val="fr-FR"/>
              </w:rPr>
              <w:t xml:space="preserve">    </w:t>
            </w:r>
            <w:proofErr w:type="spellStart"/>
            <w:r w:rsidRPr="00634375">
              <w:rPr>
                <w:b w:val="0"/>
                <w:sz w:val="14"/>
                <w:szCs w:val="14"/>
                <w:lang w:val="fr-FR"/>
              </w:rPr>
              <w:t>Core</w:t>
            </w:r>
            <w:proofErr w:type="spellEnd"/>
            <w:r w:rsidRPr="00634375">
              <w:rPr>
                <w:b w:val="0"/>
                <w:sz w:val="14"/>
                <w:szCs w:val="14"/>
                <w:lang w:val="fr-FR"/>
              </w:rPr>
              <w:t xml:space="preserve"> </w:t>
            </w:r>
            <w:proofErr w:type="spellStart"/>
            <w:r w:rsidRPr="00634375">
              <w:rPr>
                <w:b w:val="0"/>
                <w:sz w:val="14"/>
                <w:szCs w:val="14"/>
                <w:lang w:val="fr-FR"/>
              </w:rPr>
              <w:t>Tier</w:t>
            </w:r>
            <w:proofErr w:type="spellEnd"/>
            <w:r w:rsidRPr="00634375">
              <w:rPr>
                <w:b w:val="0"/>
                <w:sz w:val="14"/>
                <w:szCs w:val="14"/>
                <w:lang w:val="fr-FR"/>
              </w:rPr>
              <w:t xml:space="preserve"> 1-ratio (Basel II)**</w:t>
            </w:r>
          </w:p>
        </w:tc>
        <w:tc>
          <w:tcPr>
            <w:tcW w:w="1843" w:type="dxa"/>
            <w:vAlign w:val="center"/>
          </w:tcPr>
          <w:p w:rsidR="00D44ECB" w:rsidRPr="00013E74" w:rsidRDefault="00D44ECB" w:rsidP="00B31F65">
            <w:pPr>
              <w:pStyle w:val="Intro"/>
              <w:jc w:val="right"/>
              <w:rPr>
                <w:b w:val="0"/>
                <w:sz w:val="14"/>
                <w:szCs w:val="14"/>
                <w:lang w:val="fr-FR"/>
              </w:rPr>
            </w:pPr>
          </w:p>
        </w:tc>
        <w:tc>
          <w:tcPr>
            <w:tcW w:w="1134" w:type="dxa"/>
            <w:vAlign w:val="center"/>
          </w:tcPr>
          <w:p w:rsidR="00D44ECB" w:rsidRPr="00E903B5" w:rsidRDefault="00D44ECB" w:rsidP="00B31F65">
            <w:pPr>
              <w:pStyle w:val="Intro"/>
              <w:jc w:val="right"/>
              <w:rPr>
                <w:b w:val="0"/>
                <w:sz w:val="14"/>
                <w:szCs w:val="14"/>
                <w:lang w:val="en-GB"/>
              </w:rPr>
            </w:pPr>
            <w:r w:rsidRPr="00E903B5">
              <w:rPr>
                <w:b w:val="0"/>
                <w:sz w:val="14"/>
                <w:szCs w:val="14"/>
              </w:rPr>
              <w:t>11.7%</w:t>
            </w:r>
          </w:p>
        </w:tc>
        <w:tc>
          <w:tcPr>
            <w:tcW w:w="1134" w:type="dxa"/>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13.5%</w:t>
            </w:r>
          </w:p>
        </w:tc>
      </w:tr>
      <w:tr w:rsidR="00D44ECB" w:rsidRPr="00E903B5" w:rsidTr="00D44ECB">
        <w:trPr>
          <w:trHeight w:val="227"/>
        </w:trPr>
        <w:tc>
          <w:tcPr>
            <w:tcW w:w="5954" w:type="dxa"/>
            <w:tcBorders>
              <w:bottom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342D4">
              <w:rPr>
                <w:b w:val="0"/>
                <w:sz w:val="14"/>
                <w:szCs w:val="14"/>
                <w:lang w:val="en-US"/>
              </w:rPr>
              <w:t xml:space="preserve">    Common equity ratio (Basel III, fully loaded, </w:t>
            </w:r>
            <w:proofErr w:type="spellStart"/>
            <w:r w:rsidRPr="00E342D4">
              <w:rPr>
                <w:b w:val="0"/>
                <w:sz w:val="14"/>
                <w:szCs w:val="14"/>
                <w:lang w:val="en-US"/>
              </w:rPr>
              <w:t>inclusief</w:t>
            </w:r>
            <w:proofErr w:type="spellEnd"/>
            <w:r w:rsidRPr="00E342D4">
              <w:rPr>
                <w:b w:val="0"/>
                <w:sz w:val="14"/>
                <w:szCs w:val="14"/>
                <w:lang w:val="en-US"/>
              </w:rPr>
              <w:t xml:space="preserve"> </w:t>
            </w:r>
            <w:proofErr w:type="spellStart"/>
            <w:r w:rsidRPr="00E342D4">
              <w:rPr>
                <w:b w:val="0"/>
                <w:sz w:val="14"/>
                <w:szCs w:val="14"/>
                <w:lang w:val="en-US"/>
              </w:rPr>
              <w:t>resterende</w:t>
            </w:r>
            <w:proofErr w:type="spellEnd"/>
            <w:r w:rsidRPr="00E342D4">
              <w:rPr>
                <w:b w:val="0"/>
                <w:sz w:val="14"/>
                <w:szCs w:val="14"/>
                <w:lang w:val="en-US"/>
              </w:rPr>
              <w:t xml:space="preserve"> </w:t>
            </w:r>
            <w:proofErr w:type="spellStart"/>
            <w:r w:rsidRPr="00E342D4">
              <w:rPr>
                <w:b w:val="0"/>
                <w:sz w:val="14"/>
                <w:szCs w:val="14"/>
                <w:lang w:val="en-US"/>
              </w:rPr>
              <w:t>overheidssteun</w:t>
            </w:r>
            <w:proofErr w:type="spellEnd"/>
            <w:r w:rsidRPr="00E342D4">
              <w:rPr>
                <w:b w:val="0"/>
                <w:sz w:val="14"/>
                <w:szCs w:val="14"/>
                <w:lang w:val="en-US"/>
              </w:rPr>
              <w:t>)**</w:t>
            </w:r>
          </w:p>
        </w:tc>
        <w:tc>
          <w:tcPr>
            <w:tcW w:w="1843"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r w:rsidRPr="00E903B5">
              <w:rPr>
                <w:b w:val="0"/>
                <w:sz w:val="14"/>
                <w:szCs w:val="14"/>
              </w:rPr>
              <w:t>10.8%</w:t>
            </w:r>
          </w:p>
        </w:tc>
        <w:tc>
          <w:tcPr>
            <w:tcW w:w="1134" w:type="dxa"/>
            <w:tcBorders>
              <w:bottom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12.8%</w:t>
            </w:r>
          </w:p>
        </w:tc>
      </w:tr>
      <w:tr w:rsidR="00D44ECB" w:rsidRPr="00E903B5" w:rsidTr="00D44ECB">
        <w:trPr>
          <w:trHeight w:val="227"/>
        </w:trPr>
        <w:tc>
          <w:tcPr>
            <w:tcW w:w="5954" w:type="dxa"/>
            <w:tcBorders>
              <w:top w:val="single" w:sz="8" w:space="0" w:color="365F91" w:themeColor="accent1" w:themeShade="BF"/>
              <w:bottom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903B5">
              <w:rPr>
                <w:b w:val="0"/>
                <w:sz w:val="14"/>
                <w:szCs w:val="14"/>
              </w:rPr>
              <w:t>Kredietrisico</w:t>
            </w:r>
          </w:p>
        </w:tc>
        <w:tc>
          <w:tcPr>
            <w:tcW w:w="1843" w:type="dxa"/>
            <w:tcBorders>
              <w:top w:val="single" w:sz="8" w:space="0" w:color="365F91" w:themeColor="accent1" w:themeShade="BF"/>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highlight w:val="darkGray"/>
                <w:lang w:val="en-GB"/>
              </w:rPr>
            </w:pPr>
          </w:p>
        </w:tc>
      </w:tr>
      <w:tr w:rsidR="00D44ECB" w:rsidRPr="00E903B5" w:rsidTr="00D44ECB">
        <w:trPr>
          <w:trHeight w:val="227"/>
        </w:trPr>
        <w:tc>
          <w:tcPr>
            <w:tcW w:w="5954" w:type="dxa"/>
            <w:tcBorders>
              <w:top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Kredietkostenratio</w:t>
            </w:r>
          </w:p>
        </w:tc>
        <w:tc>
          <w:tcPr>
            <w:tcW w:w="1843" w:type="dxa"/>
            <w:tcBorders>
              <w:top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top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r w:rsidRPr="00E903B5">
              <w:rPr>
                <w:b w:val="0"/>
                <w:sz w:val="14"/>
                <w:szCs w:val="14"/>
              </w:rPr>
              <w:t>0.71%</w:t>
            </w:r>
          </w:p>
        </w:tc>
        <w:tc>
          <w:tcPr>
            <w:tcW w:w="1134" w:type="dxa"/>
            <w:tcBorders>
              <w:top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1.19%</w:t>
            </w:r>
          </w:p>
        </w:tc>
      </w:tr>
      <w:tr w:rsidR="00D44ECB" w:rsidRPr="00E903B5" w:rsidTr="00D44ECB">
        <w:trPr>
          <w:trHeight w:val="227"/>
        </w:trPr>
        <w:tc>
          <w:tcPr>
            <w:tcW w:w="5954" w:type="dxa"/>
            <w:tcBorders>
              <w:bottom w:val="single" w:sz="8" w:space="0" w:color="365F91" w:themeColor="accent1" w:themeShade="BF"/>
            </w:tcBorders>
            <w:vAlign w:val="center"/>
          </w:tcPr>
          <w:p w:rsidR="00D44ECB" w:rsidRPr="00E903B5" w:rsidRDefault="00D44ECB" w:rsidP="00B31F65">
            <w:pPr>
              <w:pStyle w:val="Intro"/>
              <w:jc w:val="left"/>
              <w:rPr>
                <w:b w:val="0"/>
                <w:sz w:val="14"/>
                <w:szCs w:val="14"/>
                <w:lang w:val="en-GB"/>
              </w:rPr>
            </w:pPr>
            <w:r w:rsidRPr="00E903B5">
              <w:rPr>
                <w:b w:val="0"/>
                <w:sz w:val="14"/>
                <w:szCs w:val="14"/>
              </w:rPr>
              <w:t xml:space="preserve">    Non-</w:t>
            </w:r>
            <w:proofErr w:type="spellStart"/>
            <w:r w:rsidRPr="00E903B5">
              <w:rPr>
                <w:b w:val="0"/>
                <w:sz w:val="14"/>
                <w:szCs w:val="14"/>
              </w:rPr>
              <w:t>performing</w:t>
            </w:r>
            <w:proofErr w:type="spellEnd"/>
            <w:r w:rsidRPr="00E903B5">
              <w:rPr>
                <w:b w:val="0"/>
                <w:sz w:val="14"/>
                <w:szCs w:val="14"/>
              </w:rPr>
              <w:t xml:space="preserve"> ratio</w:t>
            </w:r>
          </w:p>
        </w:tc>
        <w:tc>
          <w:tcPr>
            <w:tcW w:w="1843"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p>
        </w:tc>
        <w:tc>
          <w:tcPr>
            <w:tcW w:w="1134" w:type="dxa"/>
            <w:tcBorders>
              <w:bottom w:val="single" w:sz="8" w:space="0" w:color="365F91" w:themeColor="accent1" w:themeShade="BF"/>
            </w:tcBorders>
            <w:vAlign w:val="center"/>
          </w:tcPr>
          <w:p w:rsidR="00D44ECB" w:rsidRPr="00E903B5" w:rsidRDefault="00D44ECB" w:rsidP="00B31F65">
            <w:pPr>
              <w:pStyle w:val="Intro"/>
              <w:jc w:val="right"/>
              <w:rPr>
                <w:b w:val="0"/>
                <w:sz w:val="14"/>
                <w:szCs w:val="14"/>
                <w:lang w:val="en-GB"/>
              </w:rPr>
            </w:pPr>
            <w:r w:rsidRPr="00E903B5">
              <w:rPr>
                <w:b w:val="0"/>
                <w:sz w:val="14"/>
                <w:szCs w:val="14"/>
              </w:rPr>
              <w:t>5.3%</w:t>
            </w:r>
          </w:p>
        </w:tc>
        <w:tc>
          <w:tcPr>
            <w:tcW w:w="1134" w:type="dxa"/>
            <w:tcBorders>
              <w:bottom w:val="single" w:sz="8" w:space="0" w:color="365F91" w:themeColor="accent1" w:themeShade="BF"/>
            </w:tcBorders>
            <w:shd w:val="clear" w:color="auto" w:fill="DBE5F1" w:themeFill="accent1" w:themeFillTint="33"/>
            <w:vAlign w:val="center"/>
          </w:tcPr>
          <w:p w:rsidR="00D44ECB" w:rsidRPr="00E903B5" w:rsidRDefault="00D44ECB" w:rsidP="00B31F65">
            <w:pPr>
              <w:pStyle w:val="Intro"/>
              <w:jc w:val="right"/>
              <w:rPr>
                <w:b w:val="0"/>
                <w:sz w:val="14"/>
                <w:szCs w:val="14"/>
                <w:lang w:val="en-GB"/>
              </w:rPr>
            </w:pPr>
            <w:r w:rsidRPr="00E903B5">
              <w:rPr>
                <w:b w:val="0"/>
                <w:sz w:val="14"/>
                <w:szCs w:val="14"/>
              </w:rPr>
              <w:t>5.9%</w:t>
            </w:r>
          </w:p>
        </w:tc>
      </w:tr>
      <w:tr w:rsidR="00D44ECB" w:rsidRPr="00F76249" w:rsidTr="00D44ECB">
        <w:trPr>
          <w:trHeight w:val="217"/>
        </w:trPr>
        <w:tc>
          <w:tcPr>
            <w:tcW w:w="10065" w:type="dxa"/>
            <w:gridSpan w:val="4"/>
            <w:tcBorders>
              <w:top w:val="single" w:sz="8" w:space="0" w:color="365F91" w:themeColor="accent1" w:themeShade="BF"/>
            </w:tcBorders>
            <w:vAlign w:val="center"/>
          </w:tcPr>
          <w:p w:rsidR="00D44ECB" w:rsidRPr="00037150" w:rsidRDefault="00D44ECB" w:rsidP="00B31F65">
            <w:pPr>
              <w:pStyle w:val="Intro"/>
              <w:ind w:left="88" w:hanging="88"/>
              <w:jc w:val="left"/>
              <w:rPr>
                <w:rFonts w:cs="Arial"/>
                <w:b w:val="0"/>
                <w:color w:val="000000"/>
                <w:sz w:val="12"/>
                <w:szCs w:val="12"/>
                <w:lang w:val="nl-BE"/>
              </w:rPr>
            </w:pPr>
            <w:r w:rsidRPr="00E903B5">
              <w:rPr>
                <w:b w:val="0"/>
                <w:sz w:val="12"/>
                <w:szCs w:val="12"/>
              </w:rPr>
              <w:t xml:space="preserve">* </w:t>
            </w:r>
            <w:r w:rsidRPr="00037150">
              <w:rPr>
                <w:rFonts w:cs="Arial"/>
                <w:b w:val="0"/>
                <w:color w:val="000000"/>
                <w:sz w:val="12"/>
                <w:szCs w:val="12"/>
              </w:rPr>
              <w:t>Als er een coupon wordt betaald op de kernkapitaaleffecten verkocht aan de Belgische en de Vlaamse overheid, dan wordt die (pro rata) van de teller afgetrokken.</w:t>
            </w:r>
          </w:p>
          <w:p w:rsidR="00D44ECB" w:rsidRPr="00037150" w:rsidRDefault="00D44ECB" w:rsidP="00B31F65">
            <w:pPr>
              <w:pStyle w:val="Intro"/>
              <w:ind w:left="88" w:hanging="88"/>
              <w:jc w:val="left"/>
              <w:rPr>
                <w:rFonts w:cs="Arial"/>
                <w:b w:val="0"/>
                <w:color w:val="000000"/>
                <w:sz w:val="12"/>
                <w:szCs w:val="12"/>
                <w:lang w:val="nl-BE"/>
              </w:rPr>
            </w:pPr>
            <w:r w:rsidRPr="00037150">
              <w:rPr>
                <w:rFonts w:cs="Arial"/>
                <w:b w:val="0"/>
                <w:color w:val="000000"/>
                <w:sz w:val="12"/>
                <w:szCs w:val="12"/>
              </w:rPr>
              <w:t xml:space="preserve">** </w:t>
            </w:r>
            <w:r w:rsidRPr="00E342D4">
              <w:rPr>
                <w:b w:val="0"/>
                <w:bCs w:val="0"/>
                <w:snapToGrid/>
                <w:sz w:val="12"/>
                <w:szCs w:val="12"/>
              </w:rPr>
              <w:t xml:space="preserve">Rekening houdend met het effect van de desinvesteringsovereenkomsten voor KBC Bank Deutschland en Antwerpse Diamantbank en de terugbetaling van de tweede schijf overheidssteun van de Vlaamse regering bedraagt de Tier 1-ratio </w:t>
            </w:r>
            <w:r w:rsidRPr="00EC0DAD">
              <w:rPr>
                <w:rFonts w:cs="Arial"/>
                <w:b w:val="0"/>
                <w:color w:val="000000"/>
                <w:sz w:val="12"/>
                <w:szCs w:val="12"/>
              </w:rPr>
              <w:t>op 31 december 2013 15,6% (</w:t>
            </w:r>
            <w:proofErr w:type="spellStart"/>
            <w:r w:rsidRPr="00EC0DAD">
              <w:rPr>
                <w:rFonts w:cs="Arial"/>
                <w:b w:val="0"/>
                <w:color w:val="000000"/>
                <w:sz w:val="12"/>
                <w:szCs w:val="12"/>
              </w:rPr>
              <w:t>core</w:t>
            </w:r>
            <w:proofErr w:type="spellEnd"/>
            <w:r w:rsidRPr="00EC0DAD">
              <w:rPr>
                <w:rFonts w:cs="Arial"/>
                <w:b w:val="0"/>
                <w:color w:val="000000"/>
                <w:sz w:val="12"/>
                <w:szCs w:val="12"/>
              </w:rPr>
              <w:t xml:space="preserve"> Tier 1-ratio 13,2%) </w:t>
            </w:r>
            <w:r>
              <w:rPr>
                <w:rFonts w:cs="Arial"/>
                <w:b w:val="0"/>
                <w:color w:val="000000"/>
                <w:sz w:val="12"/>
                <w:szCs w:val="12"/>
              </w:rPr>
              <w:t xml:space="preserve">en de </w:t>
            </w:r>
            <w:r w:rsidRPr="00EC0DAD">
              <w:rPr>
                <w:rFonts w:cs="Arial"/>
                <w:b w:val="0"/>
                <w:color w:val="000000"/>
                <w:sz w:val="12"/>
                <w:szCs w:val="12"/>
              </w:rPr>
              <w:t xml:space="preserve">common </w:t>
            </w:r>
            <w:proofErr w:type="spellStart"/>
            <w:r w:rsidRPr="00EC0DAD">
              <w:rPr>
                <w:rFonts w:cs="Arial"/>
                <w:b w:val="0"/>
                <w:color w:val="000000"/>
                <w:sz w:val="12"/>
                <w:szCs w:val="12"/>
              </w:rPr>
              <w:t>equity</w:t>
            </w:r>
            <w:proofErr w:type="spellEnd"/>
            <w:r w:rsidRPr="00EC0DAD">
              <w:rPr>
                <w:rFonts w:cs="Arial"/>
                <w:b w:val="0"/>
                <w:color w:val="000000"/>
                <w:sz w:val="12"/>
                <w:szCs w:val="12"/>
              </w:rPr>
              <w:t xml:space="preserve"> ratio </w:t>
            </w:r>
            <w:r w:rsidRPr="00037150">
              <w:rPr>
                <w:rFonts w:cs="Arial"/>
                <w:b w:val="0"/>
                <w:color w:val="000000"/>
                <w:sz w:val="12"/>
                <w:szCs w:val="12"/>
              </w:rPr>
              <w:t>12,5%.</w:t>
            </w:r>
          </w:p>
          <w:p w:rsidR="00D44ECB" w:rsidRPr="00634375" w:rsidRDefault="00D44ECB" w:rsidP="00B31F65">
            <w:pPr>
              <w:pStyle w:val="Intro"/>
              <w:keepNext/>
              <w:ind w:left="88" w:right="-290" w:hanging="88"/>
              <w:jc w:val="left"/>
              <w:outlineLvl w:val="3"/>
              <w:rPr>
                <w:b w:val="0"/>
                <w:sz w:val="12"/>
                <w:szCs w:val="12"/>
                <w:lang w:val="nl-BE"/>
              </w:rPr>
            </w:pPr>
          </w:p>
        </w:tc>
      </w:tr>
    </w:tbl>
    <w:p w:rsidR="00D44ECB" w:rsidRDefault="00D44ECB" w:rsidP="00210DB3">
      <w:pPr>
        <w:autoSpaceDE w:val="0"/>
        <w:autoSpaceDN w:val="0"/>
        <w:adjustRightInd w:val="0"/>
        <w:spacing w:after="60" w:line="240" w:lineRule="auto"/>
        <w:ind w:left="992" w:right="6"/>
        <w:jc w:val="both"/>
        <w:rPr>
          <w:rFonts w:cs="Arial"/>
          <w:bCs/>
          <w:color w:val="003768"/>
          <w:sz w:val="20"/>
          <w:szCs w:val="20"/>
          <w:lang w:val="nl-BE"/>
        </w:rPr>
      </w:pPr>
    </w:p>
    <w:p w:rsidR="00D44ECB" w:rsidRDefault="00D44ECB">
      <w:pPr>
        <w:spacing w:after="0" w:line="240" w:lineRule="auto"/>
        <w:rPr>
          <w:rFonts w:cs="Arial"/>
          <w:bCs/>
          <w:color w:val="003768"/>
          <w:sz w:val="20"/>
          <w:szCs w:val="20"/>
          <w:lang w:val="nl-BE"/>
        </w:rPr>
      </w:pPr>
      <w:r>
        <w:rPr>
          <w:rFonts w:cs="Arial"/>
          <w:bCs/>
          <w:color w:val="003768"/>
          <w:sz w:val="20"/>
          <w:szCs w:val="20"/>
          <w:lang w:val="nl-BE"/>
        </w:rPr>
        <w:br w:type="page"/>
      </w:r>
    </w:p>
    <w:p w:rsidR="00D44ECB" w:rsidRDefault="00D44ECB" w:rsidP="007A2951">
      <w:pPr>
        <w:autoSpaceDE w:val="0"/>
        <w:autoSpaceDN w:val="0"/>
        <w:adjustRightInd w:val="0"/>
        <w:spacing w:after="120" w:line="240" w:lineRule="auto"/>
        <w:ind w:left="992" w:right="6"/>
        <w:jc w:val="both"/>
        <w:rPr>
          <w:rFonts w:cs="Arial"/>
          <w:bCs/>
          <w:color w:val="003768"/>
          <w:sz w:val="20"/>
          <w:szCs w:val="20"/>
          <w:lang w:val="nl-BE"/>
        </w:rPr>
      </w:pPr>
      <w:r>
        <w:rPr>
          <w:rFonts w:cs="Arial"/>
          <w:bCs/>
          <w:noProof/>
          <w:color w:val="003768"/>
          <w:sz w:val="20"/>
          <w:szCs w:val="20"/>
          <w:lang w:val="nl-BE" w:eastAsia="nl-BE"/>
        </w:rPr>
        <w:lastRenderedPageBreak/>
        <w:drawing>
          <wp:inline distT="0" distB="0" distL="0" distR="0" wp14:anchorId="7F9044DC">
            <wp:extent cx="6517005" cy="530225"/>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7005" cy="530225"/>
                    </a:xfrm>
                    <a:prstGeom prst="rect">
                      <a:avLst/>
                    </a:prstGeom>
                    <a:noFill/>
                  </pic:spPr>
                </pic:pic>
              </a:graphicData>
            </a:graphic>
          </wp:inline>
        </w:drawing>
      </w:r>
    </w:p>
    <w:p w:rsidR="00D44ECB" w:rsidRPr="00D44ECB" w:rsidRDefault="00D44ECB" w:rsidP="007A2951">
      <w:pPr>
        <w:autoSpaceDE w:val="0"/>
        <w:autoSpaceDN w:val="0"/>
        <w:adjustRightInd w:val="0"/>
        <w:spacing w:after="120" w:line="240" w:lineRule="auto"/>
        <w:ind w:left="992" w:right="6"/>
        <w:jc w:val="both"/>
        <w:rPr>
          <w:rFonts w:ascii="Rockwell" w:hAnsi="Rockwell" w:cs="Arial"/>
          <w:b/>
          <w:bCs/>
          <w:color w:val="003366"/>
          <w:sz w:val="28"/>
          <w:szCs w:val="28"/>
        </w:rPr>
      </w:pPr>
      <w:proofErr w:type="spellStart"/>
      <w:r w:rsidRPr="00D44ECB">
        <w:rPr>
          <w:rFonts w:ascii="Rockwell" w:hAnsi="Rockwell" w:cs="Arial"/>
          <w:b/>
          <w:bCs/>
          <w:color w:val="003366"/>
          <w:sz w:val="28"/>
          <w:szCs w:val="28"/>
        </w:rPr>
        <w:t>Strategie</w:t>
      </w:r>
      <w:proofErr w:type="spellEnd"/>
      <w:r w:rsidRPr="00D44ECB">
        <w:rPr>
          <w:rFonts w:ascii="Rockwell" w:hAnsi="Rockwell" w:cs="Arial"/>
          <w:b/>
          <w:bCs/>
          <w:color w:val="003366"/>
          <w:sz w:val="28"/>
          <w:szCs w:val="28"/>
        </w:rPr>
        <w:t xml:space="preserve"> en </w:t>
      </w:r>
      <w:proofErr w:type="spellStart"/>
      <w:r w:rsidRPr="00D44ECB">
        <w:rPr>
          <w:rFonts w:ascii="Rockwell" w:hAnsi="Rockwell" w:cs="Arial"/>
          <w:b/>
          <w:bCs/>
          <w:color w:val="003366"/>
          <w:sz w:val="28"/>
          <w:szCs w:val="28"/>
        </w:rPr>
        <w:t>hoofdlijnen</w:t>
      </w:r>
      <w:proofErr w:type="spellEnd"/>
    </w:p>
    <w:p w:rsidR="00D44ECB" w:rsidRPr="00D44ECB" w:rsidRDefault="00D44ECB" w:rsidP="00D44ECB">
      <w:pPr>
        <w:pStyle w:val="ListParagraph"/>
        <w:numPr>
          <w:ilvl w:val="0"/>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 xml:space="preserve">De kernstrategie van KBC blijft gefocust op het aanbieden van bank-verzekeringsproducten en -diensten aan particulieren, </w:t>
      </w:r>
      <w:proofErr w:type="spellStart"/>
      <w:r w:rsidRPr="00D44ECB">
        <w:rPr>
          <w:rFonts w:cs="Arial"/>
          <w:bCs/>
          <w:color w:val="003768"/>
          <w:sz w:val="20"/>
          <w:szCs w:val="20"/>
          <w:lang w:val="nl-BE"/>
        </w:rPr>
        <w:t>kmo's</w:t>
      </w:r>
      <w:proofErr w:type="spellEnd"/>
      <w:r w:rsidRPr="00D44ECB">
        <w:rPr>
          <w:rFonts w:cs="Arial"/>
          <w:bCs/>
          <w:color w:val="003768"/>
          <w:sz w:val="20"/>
          <w:szCs w:val="20"/>
          <w:lang w:val="nl-BE"/>
        </w:rPr>
        <w:t xml:space="preserve"> en </w:t>
      </w:r>
      <w:proofErr w:type="spellStart"/>
      <w:r w:rsidRPr="00D44ECB">
        <w:rPr>
          <w:rFonts w:cs="Arial"/>
          <w:bCs/>
          <w:color w:val="003768"/>
          <w:sz w:val="20"/>
          <w:szCs w:val="20"/>
          <w:lang w:val="nl-BE"/>
        </w:rPr>
        <w:t>mid</w:t>
      </w:r>
      <w:proofErr w:type="spellEnd"/>
      <w:r w:rsidRPr="00D44ECB">
        <w:rPr>
          <w:rFonts w:cs="Arial"/>
          <w:bCs/>
          <w:color w:val="003768"/>
          <w:sz w:val="20"/>
          <w:szCs w:val="20"/>
          <w:lang w:val="nl-BE"/>
        </w:rPr>
        <w:t xml:space="preserve">-caps in België, Tsjechië, Slowakije, Hongarije en Bulgarije. In overeenstemming met zijn strategisch plan is de groep bijna klaar met de verkoop of afbouw van een aantal (niet-kern-) activiteiten (zie verder). </w:t>
      </w:r>
    </w:p>
    <w:p w:rsidR="00D44ECB" w:rsidRPr="00D44ECB" w:rsidRDefault="00D44ECB" w:rsidP="00D44ECB">
      <w:pPr>
        <w:pStyle w:val="ListParagraph"/>
        <w:numPr>
          <w:ilvl w:val="0"/>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Laatste stappen in het desinvesteringsprogramma (vierde kwartaal tot nu toe):</w:t>
      </w:r>
    </w:p>
    <w:p w:rsidR="00D44ECB" w:rsidRPr="00D44ECB" w:rsidRDefault="00D44ECB" w:rsidP="00D44ECB">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 xml:space="preserve">Op 24 september 2013 kondigde KBC aan dat het een akkoord had bereikt over de verkoop van KBC Bank Deutschland AG aan verschillende investeerders, waaronder verbonden vennootschappen van Teacher </w:t>
      </w:r>
      <w:proofErr w:type="spellStart"/>
      <w:r w:rsidRPr="00D44ECB">
        <w:rPr>
          <w:rFonts w:cs="Arial"/>
          <w:bCs/>
          <w:color w:val="003768"/>
          <w:sz w:val="20"/>
          <w:szCs w:val="20"/>
          <w:lang w:val="nl-BE"/>
        </w:rPr>
        <w:t>Retirement</w:t>
      </w:r>
      <w:proofErr w:type="spellEnd"/>
      <w:r w:rsidRPr="00D44ECB">
        <w:rPr>
          <w:rFonts w:cs="Arial"/>
          <w:bCs/>
          <w:color w:val="003768"/>
          <w:sz w:val="20"/>
          <w:szCs w:val="20"/>
          <w:lang w:val="nl-BE"/>
        </w:rPr>
        <w:t xml:space="preserve"> System of Texas, Apollo Global Management, Apollo Commercial Real </w:t>
      </w:r>
      <w:proofErr w:type="spellStart"/>
      <w:r w:rsidRPr="00D44ECB">
        <w:rPr>
          <w:rFonts w:cs="Arial"/>
          <w:bCs/>
          <w:color w:val="003768"/>
          <w:sz w:val="20"/>
          <w:szCs w:val="20"/>
          <w:lang w:val="nl-BE"/>
        </w:rPr>
        <w:t>Estate</w:t>
      </w:r>
      <w:proofErr w:type="spellEnd"/>
      <w:r w:rsidRPr="00D44ECB">
        <w:rPr>
          <w:rFonts w:cs="Arial"/>
          <w:bCs/>
          <w:color w:val="003768"/>
          <w:sz w:val="20"/>
          <w:szCs w:val="20"/>
          <w:lang w:val="nl-BE"/>
        </w:rPr>
        <w:t xml:space="preserve"> Finance en Grovepoint </w:t>
      </w:r>
      <w:proofErr w:type="spellStart"/>
      <w:r w:rsidRPr="00D44ECB">
        <w:rPr>
          <w:rFonts w:cs="Arial"/>
          <w:bCs/>
          <w:color w:val="003768"/>
          <w:sz w:val="20"/>
          <w:szCs w:val="20"/>
          <w:lang w:val="nl-BE"/>
        </w:rPr>
        <w:t>Capital</w:t>
      </w:r>
      <w:proofErr w:type="spellEnd"/>
      <w:r w:rsidRPr="00D44ECB">
        <w:rPr>
          <w:rFonts w:cs="Arial"/>
          <w:bCs/>
          <w:color w:val="003768"/>
          <w:sz w:val="20"/>
          <w:szCs w:val="20"/>
          <w:lang w:val="nl-BE"/>
        </w:rPr>
        <w:t xml:space="preserve">. Die transactie maakt ongeveer 0,1 miljard euro kapitaal vrij voor KBC, voornamelijk door de vermindering van de </w:t>
      </w:r>
      <w:proofErr w:type="spellStart"/>
      <w:r w:rsidRPr="00D44ECB">
        <w:rPr>
          <w:rFonts w:cs="Arial"/>
          <w:bCs/>
          <w:color w:val="003768"/>
          <w:sz w:val="20"/>
          <w:szCs w:val="20"/>
          <w:lang w:val="nl-BE"/>
        </w:rPr>
        <w:t>risicogewogen</w:t>
      </w:r>
      <w:proofErr w:type="spellEnd"/>
      <w:r w:rsidRPr="00D44ECB">
        <w:rPr>
          <w:rFonts w:cs="Arial"/>
          <w:bCs/>
          <w:color w:val="003768"/>
          <w:sz w:val="20"/>
          <w:szCs w:val="20"/>
          <w:lang w:val="nl-BE"/>
        </w:rPr>
        <w:t xml:space="preserve"> activa, en zal geen wezenlijke invloed hebben op de financiële resultaten van KBC. Dat zal de solvabiliteitspositie van KBC met ongeveer 15 basispunten verbeteren.</w:t>
      </w:r>
    </w:p>
    <w:p w:rsidR="00D44ECB" w:rsidRPr="00D44ECB" w:rsidRDefault="00D44ECB" w:rsidP="00D44ECB">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 xml:space="preserve">Op 19 november 2013 betaalden </w:t>
      </w:r>
      <w:proofErr w:type="spellStart"/>
      <w:r w:rsidRPr="00D44ECB">
        <w:rPr>
          <w:rFonts w:cs="Arial"/>
          <w:bCs/>
          <w:color w:val="003768"/>
          <w:sz w:val="20"/>
          <w:szCs w:val="20"/>
          <w:lang w:val="nl-BE"/>
        </w:rPr>
        <w:t>Cera</w:t>
      </w:r>
      <w:proofErr w:type="spellEnd"/>
      <w:r w:rsidRPr="00D44ECB">
        <w:rPr>
          <w:rFonts w:cs="Arial"/>
          <w:bCs/>
          <w:color w:val="003768"/>
          <w:sz w:val="20"/>
          <w:szCs w:val="20"/>
          <w:lang w:val="nl-BE"/>
        </w:rPr>
        <w:t xml:space="preserve"> en KBC </w:t>
      </w:r>
      <w:proofErr w:type="spellStart"/>
      <w:r w:rsidRPr="00D44ECB">
        <w:rPr>
          <w:rFonts w:cs="Arial"/>
          <w:bCs/>
          <w:color w:val="003768"/>
          <w:sz w:val="20"/>
          <w:szCs w:val="20"/>
          <w:lang w:val="nl-BE"/>
        </w:rPr>
        <w:t>Ancora</w:t>
      </w:r>
      <w:proofErr w:type="spellEnd"/>
      <w:r w:rsidRPr="00D44ECB">
        <w:rPr>
          <w:rFonts w:cs="Arial"/>
          <w:bCs/>
          <w:color w:val="003768"/>
          <w:sz w:val="20"/>
          <w:szCs w:val="20"/>
          <w:lang w:val="nl-BE"/>
        </w:rPr>
        <w:t xml:space="preserve"> voor 0,7 miljard euro krediet dat KBC hun had verleend terug. De kost hiervan voor KBC bedroeg 15 miljoen euro na belastingen. Beide entiteiten financierden die operatie met de opbrengsten uit de verkoop van een deel van hun aandelen van KBC Groep. Door die afbouw verbeterde het reglementair kapitaal met 0,7 miljard euro en de common </w:t>
      </w:r>
      <w:proofErr w:type="spellStart"/>
      <w:r w:rsidRPr="00D44ECB">
        <w:rPr>
          <w:rFonts w:cs="Arial"/>
          <w:bCs/>
          <w:color w:val="003768"/>
          <w:sz w:val="20"/>
          <w:szCs w:val="20"/>
          <w:lang w:val="nl-BE"/>
        </w:rPr>
        <w:t>equity</w:t>
      </w:r>
      <w:proofErr w:type="spellEnd"/>
      <w:r w:rsidRPr="00D44ECB">
        <w:rPr>
          <w:rFonts w:cs="Arial"/>
          <w:bCs/>
          <w:color w:val="003768"/>
          <w:sz w:val="20"/>
          <w:szCs w:val="20"/>
          <w:lang w:val="nl-BE"/>
        </w:rPr>
        <w:t xml:space="preserve"> ratio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III, </w:t>
      </w:r>
      <w:proofErr w:type="spellStart"/>
      <w:r w:rsidRPr="00D44ECB">
        <w:rPr>
          <w:rFonts w:cs="Arial"/>
          <w:bCs/>
          <w:color w:val="003768"/>
          <w:sz w:val="20"/>
          <w:szCs w:val="20"/>
          <w:lang w:val="nl-BE"/>
        </w:rPr>
        <w:t>fully</w:t>
      </w:r>
      <w:proofErr w:type="spellEnd"/>
      <w:r w:rsidRPr="00D44ECB">
        <w:rPr>
          <w:rFonts w:cs="Arial"/>
          <w:bCs/>
          <w:color w:val="003768"/>
          <w:sz w:val="20"/>
          <w:szCs w:val="20"/>
          <w:lang w:val="nl-BE"/>
        </w:rPr>
        <w:t xml:space="preserve"> </w:t>
      </w:r>
      <w:proofErr w:type="spellStart"/>
      <w:r w:rsidRPr="00D44ECB">
        <w:rPr>
          <w:rFonts w:cs="Arial"/>
          <w:bCs/>
          <w:color w:val="003768"/>
          <w:sz w:val="20"/>
          <w:szCs w:val="20"/>
          <w:lang w:val="nl-BE"/>
        </w:rPr>
        <w:t>loaded</w:t>
      </w:r>
      <w:proofErr w:type="spellEnd"/>
      <w:r w:rsidRPr="00D44ECB">
        <w:rPr>
          <w:rFonts w:cs="Arial"/>
          <w:bCs/>
          <w:color w:val="003768"/>
          <w:sz w:val="20"/>
          <w:szCs w:val="20"/>
          <w:lang w:val="nl-BE"/>
        </w:rPr>
        <w:t>) met 0,7%.</w:t>
      </w:r>
    </w:p>
    <w:p w:rsidR="00D44ECB" w:rsidRPr="00D44ECB" w:rsidRDefault="00D44ECB" w:rsidP="00D44ECB">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 xml:space="preserve">Op 19 december 2013 rondde KBC de overeenkomsten af die het had gesloten met Société Générale </w:t>
      </w:r>
      <w:proofErr w:type="spellStart"/>
      <w:r w:rsidRPr="00D44ECB">
        <w:rPr>
          <w:rFonts w:cs="Arial"/>
          <w:bCs/>
          <w:color w:val="003768"/>
          <w:sz w:val="20"/>
          <w:szCs w:val="20"/>
          <w:lang w:val="nl-BE"/>
        </w:rPr>
        <w:t>Srbija</w:t>
      </w:r>
      <w:proofErr w:type="spellEnd"/>
      <w:r w:rsidRPr="00D44ECB">
        <w:rPr>
          <w:rFonts w:cs="Arial"/>
          <w:bCs/>
          <w:color w:val="003768"/>
          <w:sz w:val="20"/>
          <w:szCs w:val="20"/>
          <w:lang w:val="nl-BE"/>
        </w:rPr>
        <w:t xml:space="preserve"> en </w:t>
      </w:r>
      <w:proofErr w:type="spellStart"/>
      <w:r w:rsidRPr="00D44ECB">
        <w:rPr>
          <w:rFonts w:cs="Arial"/>
          <w:bCs/>
          <w:color w:val="003768"/>
          <w:sz w:val="20"/>
          <w:szCs w:val="20"/>
          <w:lang w:val="nl-BE"/>
        </w:rPr>
        <w:t>Telenor</w:t>
      </w:r>
      <w:proofErr w:type="spellEnd"/>
      <w:r w:rsidRPr="00D44ECB">
        <w:rPr>
          <w:rFonts w:cs="Arial"/>
          <w:bCs/>
          <w:color w:val="003768"/>
          <w:sz w:val="20"/>
          <w:szCs w:val="20"/>
          <w:lang w:val="nl-BE"/>
        </w:rPr>
        <w:t xml:space="preserve"> </w:t>
      </w:r>
      <w:proofErr w:type="spellStart"/>
      <w:r w:rsidRPr="00D44ECB">
        <w:rPr>
          <w:rFonts w:cs="Arial"/>
          <w:bCs/>
          <w:color w:val="003768"/>
          <w:sz w:val="20"/>
          <w:szCs w:val="20"/>
          <w:lang w:val="nl-BE"/>
        </w:rPr>
        <w:t>Serbia</w:t>
      </w:r>
      <w:proofErr w:type="spellEnd"/>
      <w:r w:rsidRPr="00D44ECB">
        <w:rPr>
          <w:rFonts w:cs="Arial"/>
          <w:bCs/>
          <w:color w:val="003768"/>
          <w:sz w:val="20"/>
          <w:szCs w:val="20"/>
          <w:lang w:val="nl-BE"/>
        </w:rPr>
        <w:t xml:space="preserve"> over de desinvestering van KBC </w:t>
      </w:r>
      <w:proofErr w:type="spellStart"/>
      <w:r w:rsidRPr="00D44ECB">
        <w:rPr>
          <w:rFonts w:cs="Arial"/>
          <w:bCs/>
          <w:color w:val="003768"/>
          <w:sz w:val="20"/>
          <w:szCs w:val="20"/>
          <w:lang w:val="nl-BE"/>
        </w:rPr>
        <w:t>Banka</w:t>
      </w:r>
      <w:proofErr w:type="spellEnd"/>
      <w:r w:rsidRPr="00D44ECB">
        <w:rPr>
          <w:rFonts w:cs="Arial"/>
          <w:bCs/>
          <w:color w:val="003768"/>
          <w:sz w:val="20"/>
          <w:szCs w:val="20"/>
          <w:lang w:val="nl-BE"/>
        </w:rPr>
        <w:t>, de Servische bankpoot van KBC. De invloed daarvan op de financiële resultaten en op het kapitaal is verwaarloosbaar.</w:t>
      </w:r>
    </w:p>
    <w:p w:rsidR="00D44ECB" w:rsidRPr="00D44ECB" w:rsidRDefault="00D44ECB" w:rsidP="00D44ECB">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D44ECB">
        <w:rPr>
          <w:rFonts w:cs="Arial"/>
          <w:bCs/>
          <w:color w:val="003768"/>
          <w:sz w:val="20"/>
          <w:szCs w:val="20"/>
          <w:lang w:val="nl-BE"/>
        </w:rPr>
        <w:t xml:space="preserve">Op 19 december 2013 bereikte KBC met </w:t>
      </w:r>
      <w:proofErr w:type="spellStart"/>
      <w:r w:rsidRPr="00D44ECB">
        <w:rPr>
          <w:rFonts w:cs="Arial"/>
          <w:bCs/>
          <w:color w:val="003768"/>
          <w:sz w:val="20"/>
          <w:szCs w:val="20"/>
          <w:lang w:val="nl-BE"/>
        </w:rPr>
        <w:t>Yinren</w:t>
      </w:r>
      <w:proofErr w:type="spellEnd"/>
      <w:r w:rsidRPr="00D44ECB">
        <w:rPr>
          <w:rFonts w:cs="Arial"/>
          <w:bCs/>
          <w:color w:val="003768"/>
          <w:sz w:val="20"/>
          <w:szCs w:val="20"/>
          <w:lang w:val="nl-BE"/>
        </w:rPr>
        <w:t xml:space="preserve"> Group uit </w:t>
      </w:r>
      <w:proofErr w:type="spellStart"/>
      <w:r w:rsidRPr="00D44ECB">
        <w:rPr>
          <w:rFonts w:cs="Arial"/>
          <w:bCs/>
          <w:color w:val="003768"/>
          <w:sz w:val="20"/>
          <w:szCs w:val="20"/>
          <w:lang w:val="nl-BE"/>
        </w:rPr>
        <w:t>Sjanghai</w:t>
      </w:r>
      <w:proofErr w:type="spellEnd"/>
      <w:r w:rsidRPr="00D44ECB">
        <w:rPr>
          <w:rFonts w:cs="Arial"/>
          <w:bCs/>
          <w:color w:val="003768"/>
          <w:sz w:val="20"/>
          <w:szCs w:val="20"/>
          <w:lang w:val="nl-BE"/>
        </w:rPr>
        <w:t xml:space="preserve"> een akkoord over de verkoop van KBC-dochter Antwerpse Diamantbank. De invloed van die deal op de winst van KBC Groep NV is verwaarloosbaar. De transactie zal ongeveer 0,1 miljard euro kapitaal vrijmaken voor KBC, voornamelijk door de afbouw van </w:t>
      </w:r>
      <w:proofErr w:type="spellStart"/>
      <w:r w:rsidRPr="00D44ECB">
        <w:rPr>
          <w:rFonts w:cs="Arial"/>
          <w:bCs/>
          <w:color w:val="003768"/>
          <w:sz w:val="20"/>
          <w:szCs w:val="20"/>
          <w:lang w:val="nl-BE"/>
        </w:rPr>
        <w:t>risicogewogen</w:t>
      </w:r>
      <w:proofErr w:type="spellEnd"/>
      <w:r w:rsidRPr="00D44ECB">
        <w:rPr>
          <w:rFonts w:cs="Arial"/>
          <w:bCs/>
          <w:color w:val="003768"/>
          <w:sz w:val="20"/>
          <w:szCs w:val="20"/>
          <w:lang w:val="nl-BE"/>
        </w:rPr>
        <w:t xml:space="preserve"> activa. Daardoor zal voor KBC de Tier 1-ratio (</w:t>
      </w:r>
      <w:proofErr w:type="spellStart"/>
      <w:r w:rsidRPr="00D44ECB">
        <w:rPr>
          <w:rFonts w:cs="Arial"/>
          <w:bCs/>
          <w:color w:val="003768"/>
          <w:sz w:val="20"/>
          <w:szCs w:val="20"/>
          <w:lang w:val="nl-BE"/>
        </w:rPr>
        <w:t>Basel</w:t>
      </w:r>
      <w:proofErr w:type="spellEnd"/>
      <w:r w:rsidRPr="00D44ECB">
        <w:rPr>
          <w:rFonts w:cs="Arial"/>
          <w:bCs/>
          <w:color w:val="003768"/>
          <w:sz w:val="20"/>
          <w:szCs w:val="20"/>
          <w:lang w:val="nl-BE"/>
        </w:rPr>
        <w:t xml:space="preserve"> II) verbeteren met bijna 0,2%. </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Op 8 januari 2014 betaalde KBC een tweede schijf terug van de overheidssteun ontvangen van de Vlaamse regering (0,5 miljard euro, 0,33 miljard euro kapitaal plus een premie van 50%). Dat deden we opnieuw vroeger dan we moesten volgens de planning die we met de Europese Commissie waren overeengekomen en was mogelijk dankzij onze stevige kapitaalpositie.</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In januari 2014 werd de </w:t>
      </w:r>
      <w:proofErr w:type="spellStart"/>
      <w:r w:rsidRPr="007A2951">
        <w:rPr>
          <w:rFonts w:cs="Arial"/>
          <w:bCs/>
          <w:color w:val="003768"/>
          <w:sz w:val="20"/>
          <w:szCs w:val="20"/>
          <w:lang w:val="nl-BE"/>
        </w:rPr>
        <w:t>nettorisicopositie</w:t>
      </w:r>
      <w:proofErr w:type="spellEnd"/>
      <w:r w:rsidRPr="007A2951">
        <w:rPr>
          <w:rFonts w:cs="Arial"/>
          <w:bCs/>
          <w:color w:val="003768"/>
          <w:sz w:val="20"/>
          <w:szCs w:val="20"/>
          <w:lang w:val="nl-BE"/>
        </w:rPr>
        <w:t xml:space="preserve"> van de </w:t>
      </w:r>
      <w:proofErr w:type="spellStart"/>
      <w:r w:rsidRPr="007A2951">
        <w:rPr>
          <w:rFonts w:cs="Arial"/>
          <w:bCs/>
          <w:color w:val="003768"/>
          <w:sz w:val="20"/>
          <w:szCs w:val="20"/>
          <w:lang w:val="nl-BE"/>
        </w:rPr>
        <w:t>legacy-CDO's</w:t>
      </w:r>
      <w:proofErr w:type="spellEnd"/>
      <w:r w:rsidRPr="007A2951">
        <w:rPr>
          <w:rFonts w:cs="Arial"/>
          <w:bCs/>
          <w:color w:val="003768"/>
          <w:sz w:val="20"/>
          <w:szCs w:val="20"/>
          <w:lang w:val="nl-BE"/>
        </w:rPr>
        <w:t xml:space="preserve"> verder afgebouwd met ongeveer 2 miljard euro door een verdere '</w:t>
      </w:r>
      <w:proofErr w:type="spellStart"/>
      <w:r w:rsidRPr="007A2951">
        <w:rPr>
          <w:rFonts w:cs="Arial"/>
          <w:bCs/>
          <w:color w:val="003768"/>
          <w:sz w:val="20"/>
          <w:szCs w:val="20"/>
          <w:lang w:val="nl-BE"/>
        </w:rPr>
        <w:t>collapsing</w:t>
      </w:r>
      <w:proofErr w:type="spellEnd"/>
      <w:r w:rsidRPr="007A2951">
        <w:rPr>
          <w:rFonts w:cs="Arial"/>
          <w:bCs/>
          <w:color w:val="003768"/>
          <w:sz w:val="20"/>
          <w:szCs w:val="20"/>
          <w:lang w:val="nl-BE"/>
        </w:rPr>
        <w:t>' van de CDO-posities.</w:t>
      </w:r>
    </w:p>
    <w:p w:rsidR="00D44ECB" w:rsidRPr="007A2951" w:rsidRDefault="00D44ECB" w:rsidP="007A2951">
      <w:pPr>
        <w:pStyle w:val="ListParagraph"/>
        <w:numPr>
          <w:ilvl w:val="0"/>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Ontwikkelingen op het vlak van Maatschappelijk Verantwoord Ondernemen:</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Op 18 oktober 2013 lanceerde KBC België een ‘digitale back-up' voor zijn cliënten: afgedankte computers kregen een tweede leven bij Belgische scholen, verenigingen en projecten. </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Op 25 oktober 2013 kreeg KBC de prijs voor de Beste Financiële Informatie van de Belgische Vereniging van Financiële Analisten.</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Op 2 december 2013 gaf KBC Ireland zijn steun aan ‘The EM Ireland 40 </w:t>
      </w:r>
      <w:proofErr w:type="spellStart"/>
      <w:r w:rsidRPr="007A2951">
        <w:rPr>
          <w:rFonts w:cs="Arial"/>
          <w:bCs/>
          <w:color w:val="003768"/>
          <w:sz w:val="20"/>
          <w:szCs w:val="20"/>
          <w:lang w:val="nl-BE"/>
        </w:rPr>
        <w:t>Years</w:t>
      </w:r>
      <w:proofErr w:type="spellEnd"/>
      <w:r w:rsidRPr="007A2951">
        <w:rPr>
          <w:rFonts w:cs="Arial"/>
          <w:bCs/>
          <w:color w:val="003768"/>
          <w:sz w:val="20"/>
          <w:szCs w:val="20"/>
          <w:lang w:val="nl-BE"/>
        </w:rPr>
        <w:t xml:space="preserve"> of Change </w:t>
      </w:r>
      <w:proofErr w:type="spellStart"/>
      <w:r w:rsidRPr="007A2951">
        <w:rPr>
          <w:rFonts w:cs="Arial"/>
          <w:bCs/>
          <w:color w:val="003768"/>
          <w:sz w:val="20"/>
          <w:szCs w:val="20"/>
          <w:lang w:val="nl-BE"/>
        </w:rPr>
        <w:t>Bursary</w:t>
      </w:r>
      <w:proofErr w:type="spellEnd"/>
      <w:r w:rsidRPr="007A2951">
        <w:rPr>
          <w:rFonts w:cs="Arial"/>
          <w:bCs/>
          <w:color w:val="003768"/>
          <w:sz w:val="20"/>
          <w:szCs w:val="20"/>
          <w:lang w:val="nl-BE"/>
        </w:rPr>
        <w:t xml:space="preserve"> Award’, een essaywedstrijd voor scholieren rond het thema ‘Ireland </w:t>
      </w:r>
      <w:proofErr w:type="spellStart"/>
      <w:r w:rsidRPr="007A2951">
        <w:rPr>
          <w:rFonts w:cs="Arial"/>
          <w:bCs/>
          <w:color w:val="003768"/>
          <w:sz w:val="20"/>
          <w:szCs w:val="20"/>
          <w:lang w:val="nl-BE"/>
        </w:rPr>
        <w:t>and</w:t>
      </w:r>
      <w:proofErr w:type="spellEnd"/>
      <w:r w:rsidRPr="007A2951">
        <w:rPr>
          <w:rFonts w:cs="Arial"/>
          <w:bCs/>
          <w:color w:val="003768"/>
          <w:sz w:val="20"/>
          <w:szCs w:val="20"/>
          <w:lang w:val="nl-BE"/>
        </w:rPr>
        <w:t xml:space="preserve"> the EU: </w:t>
      </w:r>
      <w:proofErr w:type="spellStart"/>
      <w:r w:rsidRPr="007A2951">
        <w:rPr>
          <w:rFonts w:cs="Arial"/>
          <w:bCs/>
          <w:color w:val="003768"/>
          <w:sz w:val="20"/>
          <w:szCs w:val="20"/>
          <w:lang w:val="nl-BE"/>
        </w:rPr>
        <w:t>Forty</w:t>
      </w:r>
      <w:proofErr w:type="spellEnd"/>
      <w:r w:rsidRPr="007A2951">
        <w:rPr>
          <w:rFonts w:cs="Arial"/>
          <w:bCs/>
          <w:color w:val="003768"/>
          <w:sz w:val="20"/>
          <w:szCs w:val="20"/>
          <w:lang w:val="nl-BE"/>
        </w:rPr>
        <w:t xml:space="preserve"> </w:t>
      </w:r>
      <w:proofErr w:type="spellStart"/>
      <w:r w:rsidRPr="007A2951">
        <w:rPr>
          <w:rFonts w:cs="Arial"/>
          <w:bCs/>
          <w:color w:val="003768"/>
          <w:sz w:val="20"/>
          <w:szCs w:val="20"/>
          <w:lang w:val="nl-BE"/>
        </w:rPr>
        <w:t>Years</w:t>
      </w:r>
      <w:proofErr w:type="spellEnd"/>
      <w:r w:rsidRPr="007A2951">
        <w:rPr>
          <w:rFonts w:cs="Arial"/>
          <w:bCs/>
          <w:color w:val="003768"/>
          <w:sz w:val="20"/>
          <w:szCs w:val="20"/>
          <w:lang w:val="nl-BE"/>
        </w:rPr>
        <w:t xml:space="preserve"> of Change’. De opdracht bestond erin kritisch te bekijken hoe Ierland en de EU zich de afgelopen veertig jaar hebben ontwikkeld en hoe zich de relatie tussen Ierland en de EU de komende veertig jaar zou kunnen ontwikkelen.</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Op 2 december 2013 gaf de ČSOB Foundation in het kader van de actie ‘Een bankverrichting kan levens redden' 62 000 euro aan de '</w:t>
      </w:r>
      <w:proofErr w:type="spellStart"/>
      <w:r w:rsidRPr="007A2951">
        <w:rPr>
          <w:rFonts w:cs="Arial"/>
          <w:bCs/>
          <w:color w:val="003768"/>
          <w:sz w:val="20"/>
          <w:szCs w:val="20"/>
          <w:lang w:val="nl-BE"/>
        </w:rPr>
        <w:t>Children’s</w:t>
      </w:r>
      <w:proofErr w:type="spellEnd"/>
      <w:r w:rsidRPr="007A2951">
        <w:rPr>
          <w:rFonts w:cs="Arial"/>
          <w:bCs/>
          <w:color w:val="003768"/>
          <w:sz w:val="20"/>
          <w:szCs w:val="20"/>
          <w:lang w:val="nl-BE"/>
        </w:rPr>
        <w:t xml:space="preserve"> Cardio Centre Foundation' voor de aankoop van een extracorporale circulatiepomp voor een centrum voor kinderen met hartproblemen. Zo'n toestel is onmisbaar bij kinderhartchirurgie.</w:t>
      </w:r>
    </w:p>
    <w:p w:rsid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Op 17 december 2013  behaalde K&amp;H de eerste prijs in de categorie ‘Voorbeeldig CSR-project' van de wedstrijd 'CSR Best </w:t>
      </w:r>
      <w:proofErr w:type="spellStart"/>
      <w:r w:rsidRPr="007A2951">
        <w:rPr>
          <w:rFonts w:cs="Arial"/>
          <w:bCs/>
          <w:color w:val="003768"/>
          <w:sz w:val="20"/>
          <w:szCs w:val="20"/>
          <w:lang w:val="nl-BE"/>
        </w:rPr>
        <w:t>Practice</w:t>
      </w:r>
      <w:proofErr w:type="spellEnd"/>
      <w:r w:rsidRPr="007A2951">
        <w:rPr>
          <w:rFonts w:cs="Arial"/>
          <w:bCs/>
          <w:color w:val="003768"/>
          <w:sz w:val="20"/>
          <w:szCs w:val="20"/>
          <w:lang w:val="nl-BE"/>
        </w:rPr>
        <w:t xml:space="preserve"> 2012' van de Hongaarse 'Public Relations </w:t>
      </w:r>
      <w:proofErr w:type="spellStart"/>
      <w:r w:rsidRPr="007A2951">
        <w:rPr>
          <w:rFonts w:cs="Arial"/>
          <w:bCs/>
          <w:color w:val="003768"/>
          <w:sz w:val="20"/>
          <w:szCs w:val="20"/>
          <w:lang w:val="nl-BE"/>
        </w:rPr>
        <w:t>Association</w:t>
      </w:r>
      <w:proofErr w:type="spellEnd"/>
      <w:r w:rsidRPr="007A2951">
        <w:rPr>
          <w:rFonts w:cs="Arial"/>
          <w:bCs/>
          <w:color w:val="003768"/>
          <w:sz w:val="20"/>
          <w:szCs w:val="20"/>
          <w:lang w:val="nl-BE"/>
        </w:rPr>
        <w:t>'. De jury vond de wedstrijd ‘Ready, Steady, Money!’ van K&amp;H een uitstekend middel om duurzaam en maatschappelijk verantwoord ondernemen in Hongarije te promoten.</w:t>
      </w:r>
    </w:p>
    <w:p w:rsidR="007A2951" w:rsidRDefault="007A2951">
      <w:pPr>
        <w:spacing w:after="0" w:line="240" w:lineRule="auto"/>
        <w:rPr>
          <w:rFonts w:cs="Arial"/>
          <w:bCs/>
          <w:color w:val="003768"/>
          <w:sz w:val="20"/>
          <w:szCs w:val="20"/>
          <w:lang w:val="nl-BE"/>
        </w:rPr>
      </w:pPr>
      <w:r>
        <w:rPr>
          <w:rFonts w:cs="Arial"/>
          <w:bCs/>
          <w:color w:val="003768"/>
          <w:sz w:val="20"/>
          <w:szCs w:val="20"/>
          <w:lang w:val="nl-BE"/>
        </w:rPr>
        <w:br w:type="page"/>
      </w:r>
    </w:p>
    <w:p w:rsidR="00D44ECB" w:rsidRPr="007A2951" w:rsidRDefault="00D44ECB" w:rsidP="007A2951">
      <w:pPr>
        <w:pStyle w:val="ListParagraph"/>
        <w:numPr>
          <w:ilvl w:val="0"/>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lastRenderedPageBreak/>
        <w:t>Verklaring met betrekking tot risico</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De KBC-groep is hoofdzakelijk actief als bank-verzekeraar en vermogensbeheerder en loopt daardoor een aantal typische risico’s, zoals – maar zeker niet uitsluitend – kredietrisico, interestrisico, marktrisico, muntrisico, liquiditeitsrisico, risico van aangegane verzekeringsverplichtingen, operationeel risico, risico ten aanzien van opkomende markten, wijzigingen in regelgeving, betwistingen van cliënten en de economie in het algemeen. Dat zowel de macro-economische omstandigheden als de lopende desinvesteringsplannen een negatieve invloed kunnen hebben op de waarde van activa of bijkomende kosten kunnen genereren boven de verwachte niveaus, maakt deel uit van het bedrijfsrisico. </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U vindt informatie met betrekking tot het risicobeheer in het jaarverslag, de </w:t>
      </w:r>
      <w:proofErr w:type="spellStart"/>
      <w:r w:rsidRPr="007A2951">
        <w:rPr>
          <w:rFonts w:cs="Arial"/>
          <w:bCs/>
          <w:color w:val="003768"/>
          <w:sz w:val="20"/>
          <w:szCs w:val="20"/>
          <w:lang w:val="nl-BE"/>
        </w:rPr>
        <w:t>extended</w:t>
      </w:r>
      <w:proofErr w:type="spellEnd"/>
      <w:r w:rsidRPr="007A2951">
        <w:rPr>
          <w:rFonts w:cs="Arial"/>
          <w:bCs/>
          <w:color w:val="003768"/>
          <w:sz w:val="20"/>
          <w:szCs w:val="20"/>
          <w:lang w:val="nl-BE"/>
        </w:rPr>
        <w:t xml:space="preserve"> </w:t>
      </w:r>
      <w:proofErr w:type="spellStart"/>
      <w:r w:rsidRPr="007A2951">
        <w:rPr>
          <w:rFonts w:cs="Arial"/>
          <w:bCs/>
          <w:color w:val="003768"/>
          <w:sz w:val="20"/>
          <w:szCs w:val="20"/>
          <w:lang w:val="nl-BE"/>
        </w:rPr>
        <w:t>quarterly</w:t>
      </w:r>
      <w:proofErr w:type="spellEnd"/>
      <w:r w:rsidRPr="007A2951">
        <w:rPr>
          <w:rFonts w:cs="Arial"/>
          <w:bCs/>
          <w:color w:val="003768"/>
          <w:sz w:val="20"/>
          <w:szCs w:val="20"/>
          <w:lang w:val="nl-BE"/>
        </w:rPr>
        <w:t xml:space="preserve"> </w:t>
      </w:r>
      <w:proofErr w:type="spellStart"/>
      <w:r w:rsidRPr="007A2951">
        <w:rPr>
          <w:rFonts w:cs="Arial"/>
          <w:bCs/>
          <w:color w:val="003768"/>
          <w:sz w:val="20"/>
          <w:szCs w:val="20"/>
          <w:lang w:val="nl-BE"/>
        </w:rPr>
        <w:t>reports</w:t>
      </w:r>
      <w:proofErr w:type="spellEnd"/>
      <w:r w:rsidRPr="007A2951">
        <w:rPr>
          <w:rFonts w:cs="Arial"/>
          <w:bCs/>
          <w:color w:val="003768"/>
          <w:sz w:val="20"/>
          <w:szCs w:val="20"/>
          <w:lang w:val="nl-BE"/>
        </w:rPr>
        <w:t xml:space="preserve">  en de risk </w:t>
      </w:r>
      <w:proofErr w:type="spellStart"/>
      <w:r w:rsidRPr="007A2951">
        <w:rPr>
          <w:rFonts w:cs="Arial"/>
          <w:bCs/>
          <w:color w:val="003768"/>
          <w:sz w:val="20"/>
          <w:szCs w:val="20"/>
          <w:lang w:val="nl-BE"/>
        </w:rPr>
        <w:t>reports</w:t>
      </w:r>
      <w:proofErr w:type="spellEnd"/>
      <w:r w:rsidRPr="007A2951">
        <w:rPr>
          <w:rFonts w:cs="Arial"/>
          <w:bCs/>
          <w:color w:val="003768"/>
          <w:sz w:val="20"/>
          <w:szCs w:val="20"/>
          <w:lang w:val="nl-BE"/>
        </w:rPr>
        <w:t xml:space="preserve">  van KBC, die beschikbaar zijn op www.kbc.com.</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De wereldwijde economische groei is terug op krachten aan het komen. In de VS wordt de economische groei voornamelijk aangedreven door de consumptie van de gezinnen, die op haar beurt wordt ondersteund door de gezonde dynamiek van de Amerikaanse arbeidsmarkt. Bovendien zullen er in 2014 aanzienlijk minder fiscale belemmeringen zijn dan in 2013 omdat democraten en republikeinen het nu eens zijn over de federale begroting. Ook in Europa zit het economische herstel op het goede spoor. Dat blijkt uit de verdere verbetering van de Duitse IFO-indicator. Ook de meer kwetsbare economieën van de EMU herstellen zich. De indicatoren voor het producentenvertrouwen wijzen in de richting van economische groei.   </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De Chinese economische groei begint te vertragen. Na een geleidelijke versnelling in de eerste drie kwartalen van 2013 nam de </w:t>
      </w:r>
      <w:proofErr w:type="spellStart"/>
      <w:r w:rsidRPr="007A2951">
        <w:rPr>
          <w:rFonts w:cs="Arial"/>
          <w:bCs/>
          <w:color w:val="003768"/>
          <w:sz w:val="20"/>
          <w:szCs w:val="20"/>
          <w:lang w:val="nl-BE"/>
        </w:rPr>
        <w:t>bbp</w:t>
      </w:r>
      <w:proofErr w:type="spellEnd"/>
      <w:r w:rsidRPr="007A2951">
        <w:rPr>
          <w:rFonts w:cs="Arial"/>
          <w:bCs/>
          <w:color w:val="003768"/>
          <w:sz w:val="20"/>
          <w:szCs w:val="20"/>
          <w:lang w:val="nl-BE"/>
        </w:rPr>
        <w:t xml:space="preserve">-groei in het vierde kwartaal wat gas terug. De Chinese beleidsmakers willen vooral de overgang van een </w:t>
      </w:r>
      <w:proofErr w:type="spellStart"/>
      <w:r w:rsidRPr="007A2951">
        <w:rPr>
          <w:rFonts w:cs="Arial"/>
          <w:bCs/>
          <w:color w:val="003768"/>
          <w:sz w:val="20"/>
          <w:szCs w:val="20"/>
          <w:lang w:val="nl-BE"/>
        </w:rPr>
        <w:t>investeringsgedreven</w:t>
      </w:r>
      <w:proofErr w:type="spellEnd"/>
      <w:r w:rsidRPr="007A2951">
        <w:rPr>
          <w:rFonts w:cs="Arial"/>
          <w:bCs/>
          <w:color w:val="003768"/>
          <w:sz w:val="20"/>
          <w:szCs w:val="20"/>
          <w:lang w:val="nl-BE"/>
        </w:rPr>
        <w:t xml:space="preserve"> groeimodel naar een </w:t>
      </w:r>
      <w:proofErr w:type="spellStart"/>
      <w:r w:rsidRPr="007A2951">
        <w:rPr>
          <w:rFonts w:cs="Arial"/>
          <w:bCs/>
          <w:color w:val="003768"/>
          <w:sz w:val="20"/>
          <w:szCs w:val="20"/>
          <w:lang w:val="nl-BE"/>
        </w:rPr>
        <w:t>consumptiegedreven</w:t>
      </w:r>
      <w:proofErr w:type="spellEnd"/>
      <w:r w:rsidRPr="007A2951">
        <w:rPr>
          <w:rFonts w:cs="Arial"/>
          <w:bCs/>
          <w:color w:val="003768"/>
          <w:sz w:val="20"/>
          <w:szCs w:val="20"/>
          <w:lang w:val="nl-BE"/>
        </w:rPr>
        <w:t xml:space="preserve"> model faciliteren. De inspanningen van de Chinese centrale bank om de kredietgroei onder controle te houden stroken dan ook met dat beleid. </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 xml:space="preserve">Voornamelijk ten gevolge van de afbouw van het obligatie-inkoopprogramma van de </w:t>
      </w:r>
      <w:proofErr w:type="spellStart"/>
      <w:r w:rsidRPr="007A2951">
        <w:rPr>
          <w:rFonts w:cs="Arial"/>
          <w:bCs/>
          <w:color w:val="003768"/>
          <w:sz w:val="20"/>
          <w:szCs w:val="20"/>
          <w:lang w:val="nl-BE"/>
        </w:rPr>
        <w:t>Fed</w:t>
      </w:r>
      <w:proofErr w:type="spellEnd"/>
      <w:r w:rsidRPr="007A2951">
        <w:rPr>
          <w:rFonts w:cs="Arial"/>
          <w:bCs/>
          <w:color w:val="003768"/>
          <w:sz w:val="20"/>
          <w:szCs w:val="20"/>
          <w:lang w:val="nl-BE"/>
        </w:rPr>
        <w:t xml:space="preserve"> beginnen de kapitaalstromen uit vele opkomende markten terug te vloeien. Met name in landen met een tekort op de lopende rekening depreciëren de munten en stijgen de obligatierentes. Toch lijkt een crisis als die van 1997 onwaarschijnlijk omdat de interne schuld deze keer veel minder sterk aangroeit en de valutareserves heel wat hoger zijn.   </w:t>
      </w:r>
    </w:p>
    <w:p w:rsidR="00D44ECB"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De ECB heeft aangekondigd dat ze van start gaat met een volledige beoordeling van de banken in de eurozone, inclusief een controle van de activakwaliteit (</w:t>
      </w:r>
      <w:proofErr w:type="spellStart"/>
      <w:r w:rsidRPr="007A2951">
        <w:rPr>
          <w:rFonts w:cs="Arial"/>
          <w:bCs/>
          <w:color w:val="003768"/>
          <w:sz w:val="20"/>
          <w:szCs w:val="20"/>
          <w:lang w:val="nl-BE"/>
        </w:rPr>
        <w:t>asset</w:t>
      </w:r>
      <w:proofErr w:type="spellEnd"/>
      <w:r w:rsidRPr="007A2951">
        <w:rPr>
          <w:rFonts w:cs="Arial"/>
          <w:bCs/>
          <w:color w:val="003768"/>
          <w:sz w:val="20"/>
          <w:szCs w:val="20"/>
          <w:lang w:val="nl-BE"/>
        </w:rPr>
        <w:t xml:space="preserve"> </w:t>
      </w:r>
      <w:proofErr w:type="spellStart"/>
      <w:r w:rsidRPr="007A2951">
        <w:rPr>
          <w:rFonts w:cs="Arial"/>
          <w:bCs/>
          <w:color w:val="003768"/>
          <w:sz w:val="20"/>
          <w:szCs w:val="20"/>
          <w:lang w:val="nl-BE"/>
        </w:rPr>
        <w:t>quality</w:t>
      </w:r>
      <w:proofErr w:type="spellEnd"/>
      <w:r w:rsidRPr="007A2951">
        <w:rPr>
          <w:rFonts w:cs="Arial"/>
          <w:bCs/>
          <w:color w:val="003768"/>
          <w:sz w:val="20"/>
          <w:szCs w:val="20"/>
          <w:lang w:val="nl-BE"/>
        </w:rPr>
        <w:t xml:space="preserve"> review), van de balans en een stresstest. De resultaten worden eind 2014 bekendgemaakt.</w:t>
      </w:r>
    </w:p>
    <w:p w:rsidR="007A2951" w:rsidRPr="007A2951" w:rsidRDefault="007A2951" w:rsidP="007A2951">
      <w:pPr>
        <w:pStyle w:val="ListParagraph"/>
        <w:autoSpaceDE w:val="0"/>
        <w:autoSpaceDN w:val="0"/>
        <w:adjustRightInd w:val="0"/>
        <w:spacing w:after="60" w:line="240" w:lineRule="auto"/>
        <w:ind w:left="2432" w:right="6"/>
        <w:jc w:val="both"/>
        <w:rPr>
          <w:rFonts w:cs="Arial"/>
          <w:bCs/>
          <w:color w:val="003768"/>
          <w:sz w:val="20"/>
          <w:szCs w:val="20"/>
          <w:lang w:val="nl-BE"/>
        </w:rPr>
      </w:pPr>
    </w:p>
    <w:p w:rsidR="00D44ECB" w:rsidRPr="007A2951" w:rsidRDefault="00D44ECB" w:rsidP="007A2951">
      <w:pPr>
        <w:pStyle w:val="ListParagraph"/>
        <w:numPr>
          <w:ilvl w:val="0"/>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Meer informatie:</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De commissaris heeft bevestigd dat zijn controlewerkzaamheden met betrekking tot de geconsolideerde jaarrekening van KBC Groep NV, bepaald in overeenstemming met de International Financial Reporting Standards zoals goedgekeurd voor gebruik in de Europese Unie, ten gronde zijn uitgevoerd en dat die geen wezenlijke correctie aan het licht hebben gebracht die zou moeten worden doorgevoerd in de boekhoudkundige gegevens afgeleid van de geconsolideerde jaarrekening en opgenomen in dit verslag.</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Aan de Algemene Vergadering van Aandeelhouders zal worden voorgesteld dat er in 2014 geen dividend wordt uitbetaald voor het boekjaar 2013.</w:t>
      </w:r>
    </w:p>
    <w:p w:rsidR="00D44ECB" w:rsidRPr="007A2951" w:rsidRDefault="00D44ECB" w:rsidP="007A2951">
      <w:pPr>
        <w:pStyle w:val="ListParagraph"/>
        <w:numPr>
          <w:ilvl w:val="1"/>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Financiële kalender 2014:</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31 maart 2014: Jaarverslag en Risicoverslag voor het boekjaar 2013</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30 april 2014: Algemene Vergadering</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15 mei 2014: KBC Groep – Publicatie van de resultaten voor het eerste kwartaal van 2014</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7 augustus 2014: KBC Groep – Publicatie van de resultaten voor het tweede kwartaal van 2014</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13 november 2014: KBC Groep – Publicatie van de resultaten voor het derde kwartaal van 2014</w:t>
      </w:r>
    </w:p>
    <w:p w:rsidR="00D44ECB" w:rsidRPr="007A2951" w:rsidRDefault="00D44ECB" w:rsidP="007A2951">
      <w:pPr>
        <w:pStyle w:val="ListParagraph"/>
        <w:numPr>
          <w:ilvl w:val="2"/>
          <w:numId w:val="11"/>
        </w:numPr>
        <w:autoSpaceDE w:val="0"/>
        <w:autoSpaceDN w:val="0"/>
        <w:adjustRightInd w:val="0"/>
        <w:spacing w:after="60" w:line="240" w:lineRule="auto"/>
        <w:ind w:right="6"/>
        <w:jc w:val="both"/>
        <w:rPr>
          <w:rFonts w:cs="Arial"/>
          <w:bCs/>
          <w:color w:val="003768"/>
          <w:sz w:val="20"/>
          <w:szCs w:val="20"/>
          <w:lang w:val="nl-BE"/>
        </w:rPr>
      </w:pPr>
      <w:r w:rsidRPr="007A2951">
        <w:rPr>
          <w:rFonts w:cs="Arial"/>
          <w:bCs/>
          <w:color w:val="003768"/>
          <w:sz w:val="20"/>
          <w:szCs w:val="20"/>
          <w:lang w:val="nl-BE"/>
        </w:rPr>
        <w:t>12 februari 2015: KBC Groep – Publicatie van de resultaten voor het vierde kwartaal van 2014</w:t>
      </w:r>
    </w:p>
    <w:p w:rsidR="007A2951" w:rsidRDefault="007A2951">
      <w:pPr>
        <w:spacing w:after="0" w:line="240" w:lineRule="auto"/>
        <w:rPr>
          <w:rFonts w:ascii="Rockwell" w:hAnsi="Rockwell" w:cs="Arial"/>
          <w:b/>
          <w:bCs/>
          <w:color w:val="003768"/>
          <w:sz w:val="24"/>
          <w:szCs w:val="24"/>
          <w:lang w:val="nl-BE" w:eastAsia="nl-BE"/>
        </w:rPr>
      </w:pPr>
      <w:r>
        <w:rPr>
          <w:rFonts w:ascii="Rockwell" w:hAnsi="Rockwell" w:cs="Arial"/>
          <w:b/>
          <w:bCs/>
          <w:color w:val="003768"/>
          <w:sz w:val="24"/>
          <w:szCs w:val="24"/>
          <w:lang w:val="nl-BE" w:eastAsia="nl-BE"/>
        </w:rPr>
        <w:br w:type="page"/>
      </w:r>
    </w:p>
    <w:p w:rsidR="00571370" w:rsidRPr="00571370" w:rsidRDefault="00B91505" w:rsidP="00571370">
      <w:pPr>
        <w:autoSpaceDE w:val="0"/>
        <w:autoSpaceDN w:val="0"/>
        <w:adjustRightInd w:val="0"/>
        <w:spacing w:after="120" w:line="240" w:lineRule="auto"/>
        <w:ind w:left="993" w:right="4"/>
        <w:rPr>
          <w:rFonts w:ascii="Rockwell" w:hAnsi="Rockwell" w:cs="Arial"/>
          <w:b/>
          <w:bCs/>
          <w:color w:val="003768"/>
          <w:sz w:val="24"/>
          <w:szCs w:val="24"/>
          <w:lang w:val="nl-BE" w:eastAsia="nl-BE"/>
        </w:rPr>
      </w:pPr>
      <w:r w:rsidRPr="00571370">
        <w:rPr>
          <w:rFonts w:ascii="Rockwell" w:hAnsi="Rockwell" w:cs="Arial"/>
          <w:b/>
          <w:bCs/>
          <w:color w:val="003768"/>
          <w:sz w:val="24"/>
          <w:szCs w:val="24"/>
          <w:lang w:val="nl-BE" w:eastAsia="nl-BE"/>
        </w:rPr>
        <w:lastRenderedPageBreak/>
        <w:t>Voor meer informatie kunt u contact opnemen met:</w:t>
      </w:r>
    </w:p>
    <w:p w:rsidR="00B91505" w:rsidRPr="00571370" w:rsidRDefault="00B91505" w:rsidP="00571370">
      <w:pPr>
        <w:autoSpaceDE w:val="0"/>
        <w:autoSpaceDN w:val="0"/>
        <w:adjustRightInd w:val="0"/>
        <w:spacing w:after="0" w:line="240" w:lineRule="auto"/>
        <w:ind w:left="993" w:right="4"/>
        <w:rPr>
          <w:rFonts w:ascii="Rockwell" w:hAnsi="Rockwell" w:cs="Arial"/>
          <w:b/>
          <w:bCs/>
          <w:color w:val="003768"/>
          <w:sz w:val="20"/>
          <w:szCs w:val="20"/>
          <w:lang w:val="nl-BE" w:eastAsia="nl-BE"/>
        </w:rPr>
      </w:pPr>
      <w:r w:rsidRPr="00571370">
        <w:rPr>
          <w:color w:val="003768"/>
          <w:sz w:val="20"/>
          <w:szCs w:val="20"/>
          <w:lang w:val="nl-BE" w:eastAsia="nl-BE"/>
        </w:rPr>
        <w:t xml:space="preserve">Wim </w:t>
      </w:r>
      <w:proofErr w:type="spellStart"/>
      <w:r w:rsidRPr="00571370">
        <w:rPr>
          <w:color w:val="003768"/>
          <w:sz w:val="20"/>
          <w:szCs w:val="20"/>
          <w:lang w:val="nl-BE" w:eastAsia="nl-BE"/>
        </w:rPr>
        <w:t>Allegaert</w:t>
      </w:r>
      <w:proofErr w:type="spellEnd"/>
      <w:r w:rsidRPr="00571370">
        <w:rPr>
          <w:color w:val="003768"/>
          <w:sz w:val="20"/>
          <w:szCs w:val="20"/>
          <w:lang w:val="nl-BE" w:eastAsia="nl-BE"/>
        </w:rPr>
        <w:t>, directeur Investor Relations, KBC-groep</w:t>
      </w:r>
    </w:p>
    <w:p w:rsidR="00571370" w:rsidRPr="00571370" w:rsidRDefault="00571370" w:rsidP="00571370">
      <w:pPr>
        <w:pStyle w:val="NoSpacing"/>
        <w:spacing w:after="120"/>
        <w:ind w:left="993"/>
        <w:rPr>
          <w:color w:val="00AEEF"/>
          <w:sz w:val="20"/>
          <w:szCs w:val="20"/>
          <w:lang w:val="de-DE"/>
        </w:rPr>
      </w:pPr>
      <w:r w:rsidRPr="00571370">
        <w:rPr>
          <w:color w:val="003768"/>
          <w:sz w:val="20"/>
          <w:szCs w:val="20"/>
          <w:lang w:val="de-DE"/>
        </w:rPr>
        <w:t xml:space="preserve">Tel +32 2 429 50 51  - </w:t>
      </w:r>
      <w:proofErr w:type="spellStart"/>
      <w:r w:rsidRPr="00571370">
        <w:rPr>
          <w:color w:val="003768"/>
          <w:sz w:val="20"/>
          <w:szCs w:val="20"/>
          <w:lang w:val="de-DE"/>
        </w:rPr>
        <w:t>E-mail</w:t>
      </w:r>
      <w:proofErr w:type="spellEnd"/>
      <w:r w:rsidR="00B91505" w:rsidRPr="00571370">
        <w:rPr>
          <w:color w:val="003768"/>
          <w:sz w:val="20"/>
          <w:szCs w:val="20"/>
          <w:lang w:val="de-DE"/>
        </w:rPr>
        <w:t>:</w:t>
      </w:r>
      <w:r w:rsidR="00B91505" w:rsidRPr="00571370">
        <w:rPr>
          <w:sz w:val="20"/>
          <w:szCs w:val="20"/>
          <w:lang w:val="de-DE"/>
        </w:rPr>
        <w:t xml:space="preserve"> </w:t>
      </w:r>
      <w:hyperlink r:id="rId18" w:history="1">
        <w:r w:rsidR="00B91505" w:rsidRPr="00571370">
          <w:rPr>
            <w:rStyle w:val="Hyperlink"/>
            <w:rFonts w:cs="Arial"/>
            <w:color w:val="00AEEF"/>
            <w:sz w:val="20"/>
            <w:szCs w:val="20"/>
            <w:lang w:val="de-DE"/>
          </w:rPr>
          <w:t>wim.allegaert@kbc.be</w:t>
        </w:r>
      </w:hyperlink>
    </w:p>
    <w:p w:rsidR="00B91505" w:rsidRPr="00571370" w:rsidRDefault="00B91505" w:rsidP="00571370">
      <w:pPr>
        <w:pStyle w:val="NoSpacing"/>
        <w:ind w:left="993"/>
        <w:rPr>
          <w:color w:val="00AEEF"/>
          <w:sz w:val="20"/>
          <w:szCs w:val="20"/>
          <w:lang w:val="nl-BE"/>
        </w:rPr>
      </w:pPr>
      <w:proofErr w:type="spellStart"/>
      <w:r w:rsidRPr="00571370">
        <w:rPr>
          <w:rFonts w:cs="Arial"/>
          <w:color w:val="003768"/>
          <w:sz w:val="20"/>
          <w:szCs w:val="20"/>
          <w:lang w:val="nl-BE" w:eastAsia="nl-BE"/>
        </w:rPr>
        <w:t>Viviane</w:t>
      </w:r>
      <w:proofErr w:type="spellEnd"/>
      <w:r w:rsidRPr="00571370">
        <w:rPr>
          <w:rFonts w:cs="Arial"/>
          <w:color w:val="003768"/>
          <w:sz w:val="20"/>
          <w:szCs w:val="20"/>
          <w:lang w:val="nl-BE" w:eastAsia="nl-BE"/>
        </w:rPr>
        <w:t xml:space="preserve"> </w:t>
      </w:r>
      <w:proofErr w:type="spellStart"/>
      <w:r w:rsidRPr="00571370">
        <w:rPr>
          <w:rFonts w:cs="Arial"/>
          <w:color w:val="003768"/>
          <w:sz w:val="20"/>
          <w:szCs w:val="20"/>
          <w:lang w:val="nl-BE" w:eastAsia="nl-BE"/>
        </w:rPr>
        <w:t>Huybrecht</w:t>
      </w:r>
      <w:proofErr w:type="spellEnd"/>
      <w:r w:rsidRPr="00571370">
        <w:rPr>
          <w:rFonts w:cs="Arial"/>
          <w:color w:val="003768"/>
          <w:sz w:val="20"/>
          <w:szCs w:val="20"/>
          <w:lang w:val="nl-BE" w:eastAsia="nl-BE"/>
        </w:rPr>
        <w:t>, directeur Corporate communicatie/woordvoerster KBC-groep</w:t>
      </w:r>
    </w:p>
    <w:p w:rsidR="00B91505" w:rsidRPr="00571370" w:rsidRDefault="00571370" w:rsidP="00571370">
      <w:pPr>
        <w:autoSpaceDE w:val="0"/>
        <w:autoSpaceDN w:val="0"/>
        <w:adjustRightInd w:val="0"/>
        <w:spacing w:after="0" w:line="240" w:lineRule="auto"/>
        <w:ind w:left="993" w:right="4"/>
        <w:rPr>
          <w:rFonts w:cs="Arial"/>
          <w:sz w:val="20"/>
          <w:szCs w:val="20"/>
          <w:lang w:val="de-DE"/>
        </w:rPr>
      </w:pPr>
      <w:r w:rsidRPr="00571370">
        <w:rPr>
          <w:rFonts w:cs="Arial"/>
          <w:color w:val="003768"/>
          <w:sz w:val="20"/>
          <w:szCs w:val="20"/>
          <w:lang w:val="de-DE"/>
        </w:rPr>
        <w:t xml:space="preserve">Tel +32 2 429 85 45  - </w:t>
      </w:r>
      <w:proofErr w:type="spellStart"/>
      <w:r w:rsidRPr="00571370">
        <w:rPr>
          <w:rFonts w:cs="Arial"/>
          <w:color w:val="003768"/>
          <w:sz w:val="20"/>
          <w:szCs w:val="20"/>
          <w:lang w:val="de-DE"/>
        </w:rPr>
        <w:t>E-mail</w:t>
      </w:r>
      <w:proofErr w:type="spellEnd"/>
      <w:r w:rsidR="00B91505" w:rsidRPr="00571370">
        <w:rPr>
          <w:rFonts w:cs="Arial"/>
          <w:color w:val="003768"/>
          <w:sz w:val="20"/>
          <w:szCs w:val="20"/>
          <w:lang w:val="de-DE"/>
        </w:rPr>
        <w:t>:</w:t>
      </w:r>
      <w:r w:rsidR="00B91505" w:rsidRPr="00571370">
        <w:rPr>
          <w:rFonts w:cs="Arial"/>
          <w:sz w:val="20"/>
          <w:szCs w:val="20"/>
          <w:lang w:val="de-DE"/>
        </w:rPr>
        <w:t xml:space="preserve"> </w:t>
      </w:r>
      <w:hyperlink r:id="rId19" w:history="1">
        <w:r w:rsidR="00B91505" w:rsidRPr="00571370">
          <w:rPr>
            <w:rStyle w:val="Hyperlink"/>
            <w:rFonts w:cs="Arial"/>
            <w:color w:val="00AEEF"/>
            <w:sz w:val="20"/>
            <w:szCs w:val="20"/>
            <w:lang w:val="de-DE"/>
          </w:rPr>
          <w:t>pressofficekbc@kbc.be</w:t>
        </w:r>
      </w:hyperlink>
    </w:p>
    <w:p w:rsidR="00574F3C" w:rsidRPr="00571370" w:rsidRDefault="00574F3C" w:rsidP="002D344C">
      <w:pPr>
        <w:ind w:left="993"/>
        <w:rPr>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F76249"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892218" w:rsidRDefault="00892218" w:rsidP="00892218">
            <w:pPr>
              <w:autoSpaceDE w:val="0"/>
              <w:autoSpaceDN w:val="0"/>
              <w:adjustRightInd w:val="0"/>
              <w:spacing w:after="0" w:line="240" w:lineRule="auto"/>
              <w:rPr>
                <w:b/>
                <w:bCs/>
                <w:color w:val="003768"/>
                <w:sz w:val="18"/>
                <w:szCs w:val="18"/>
                <w:lang w:val="nl-BE"/>
              </w:rPr>
            </w:pPr>
            <w:r w:rsidRPr="00892218">
              <w:rPr>
                <w:rFonts w:ascii="Rockwell" w:hAnsi="Rockwell" w:cs="Rockwell"/>
                <w:color w:val="003768"/>
                <w:sz w:val="18"/>
                <w:szCs w:val="18"/>
                <w:lang w:val="nl-BE" w:eastAsia="nl-BE"/>
              </w:rPr>
              <w:t>* Dit nieuwsbericht bevat informatie waarop de Europese transparantieregelgeving voor beursgenoteerde bedrijven van toepassing is.</w:t>
            </w:r>
          </w:p>
        </w:tc>
      </w:tr>
      <w:tr w:rsidR="00CE168D" w:rsidRPr="00F76249" w:rsidTr="00020337">
        <w:trPr>
          <w:trHeight w:val="913"/>
        </w:trPr>
        <w:tc>
          <w:tcPr>
            <w:tcW w:w="3400" w:type="dxa"/>
            <w:shd w:val="clear" w:color="auto" w:fill="FFFFFF"/>
            <w:tcMar>
              <w:top w:w="15" w:type="dxa"/>
              <w:left w:w="15" w:type="dxa"/>
              <w:bottom w:w="0" w:type="dxa"/>
              <w:right w:w="15" w:type="dxa"/>
            </w:tcMar>
            <w:hideMark/>
          </w:tcPr>
          <w:p w:rsidR="00CE168D" w:rsidRPr="00892218" w:rsidRDefault="00CE168D" w:rsidP="0064576A">
            <w:pPr>
              <w:pStyle w:val="Footer"/>
              <w:tabs>
                <w:tab w:val="bar" w:pos="-2709"/>
              </w:tabs>
              <w:rPr>
                <w:bCs/>
                <w:color w:val="00B0F0"/>
                <w:sz w:val="4"/>
                <w:szCs w:val="4"/>
                <w:lang w:val="nl-BE"/>
              </w:rPr>
            </w:pPr>
          </w:p>
          <w:p w:rsidR="00CE168D" w:rsidRPr="00B5684E" w:rsidRDefault="00CE168D" w:rsidP="0064576A">
            <w:pPr>
              <w:pStyle w:val="Footer"/>
              <w:tabs>
                <w:tab w:val="bar" w:pos="-2709"/>
              </w:tabs>
              <w:rPr>
                <w:rFonts w:ascii="Rockwell" w:hAnsi="Rockwell"/>
                <w:color w:val="00B0F0"/>
                <w:sz w:val="18"/>
                <w:szCs w:val="18"/>
                <w:lang w:val="nl-BE"/>
              </w:rPr>
            </w:pPr>
            <w:r w:rsidRPr="00B5684E">
              <w:rPr>
                <w:rFonts w:ascii="Rockwell" w:hAnsi="Rockwell"/>
                <w:b/>
                <w:bCs/>
                <w:color w:val="00B0F0"/>
                <w:sz w:val="18"/>
                <w:szCs w:val="18"/>
                <w:lang w:val="nl-BE"/>
              </w:rPr>
              <w:t>KBC Group NV</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Havenlaan 2 – 1080 Brussel</w:t>
            </w:r>
          </w:p>
          <w:p w:rsidR="00CE168D" w:rsidRPr="007728B6" w:rsidRDefault="00CE168D" w:rsidP="0064576A">
            <w:pPr>
              <w:pStyle w:val="Footer"/>
              <w:tabs>
                <w:tab w:val="bar" w:pos="-2709"/>
              </w:tabs>
              <w:rPr>
                <w:color w:val="002060"/>
                <w:sz w:val="14"/>
                <w:szCs w:val="14"/>
                <w:lang w:val="nl-BE"/>
              </w:rPr>
            </w:pPr>
            <w:proofErr w:type="spellStart"/>
            <w:r w:rsidRPr="007728B6">
              <w:rPr>
                <w:b/>
                <w:bCs/>
                <w:color w:val="002060"/>
                <w:sz w:val="14"/>
                <w:szCs w:val="14"/>
                <w:lang w:val="nl-BE"/>
              </w:rPr>
              <w:t>Viviane</w:t>
            </w:r>
            <w:proofErr w:type="spellEnd"/>
            <w:r w:rsidRPr="007728B6">
              <w:rPr>
                <w:b/>
                <w:bCs/>
                <w:color w:val="002060"/>
                <w:sz w:val="14"/>
                <w:szCs w:val="14"/>
                <w:lang w:val="nl-BE"/>
              </w:rPr>
              <w:t xml:space="preserve"> </w:t>
            </w:r>
            <w:proofErr w:type="spellStart"/>
            <w:r w:rsidRPr="007728B6">
              <w:rPr>
                <w:b/>
                <w:bCs/>
                <w:color w:val="002060"/>
                <w:sz w:val="14"/>
                <w:szCs w:val="14"/>
                <w:lang w:val="nl-BE"/>
              </w:rPr>
              <w:t>Huybrecht</w:t>
            </w:r>
            <w:proofErr w:type="spellEnd"/>
          </w:p>
          <w:p w:rsidR="00892218" w:rsidRPr="00B5684E" w:rsidRDefault="00892218" w:rsidP="00892218">
            <w:pPr>
              <w:autoSpaceDE w:val="0"/>
              <w:autoSpaceDN w:val="0"/>
              <w:adjustRightInd w:val="0"/>
              <w:spacing w:after="0" w:line="240" w:lineRule="auto"/>
              <w:rPr>
                <w:rFonts w:cs="Arial"/>
                <w:b/>
                <w:color w:val="003768"/>
                <w:sz w:val="14"/>
                <w:szCs w:val="14"/>
                <w:lang w:val="fr-FR" w:eastAsia="nl-BE"/>
              </w:rPr>
            </w:pPr>
            <w:r w:rsidRPr="00B5684E">
              <w:rPr>
                <w:rFonts w:cs="Arial"/>
                <w:b/>
                <w:color w:val="003768"/>
                <w:sz w:val="14"/>
                <w:szCs w:val="14"/>
                <w:lang w:val="fr-FR" w:eastAsia="nl-BE"/>
              </w:rPr>
              <w:t xml:space="preserve">Directeur </w:t>
            </w:r>
            <w:proofErr w:type="spellStart"/>
            <w:r w:rsidRPr="00B5684E">
              <w:rPr>
                <w:rFonts w:cs="Arial"/>
                <w:b/>
                <w:color w:val="003768"/>
                <w:sz w:val="14"/>
                <w:szCs w:val="14"/>
                <w:lang w:val="fr-FR" w:eastAsia="nl-BE"/>
              </w:rPr>
              <w:t>Corporate</w:t>
            </w:r>
            <w:proofErr w:type="spellEnd"/>
          </w:p>
          <w:p w:rsidR="007728B6" w:rsidRPr="00B5684E" w:rsidRDefault="00892218" w:rsidP="007728B6">
            <w:pPr>
              <w:autoSpaceDE w:val="0"/>
              <w:autoSpaceDN w:val="0"/>
              <w:adjustRightInd w:val="0"/>
              <w:spacing w:after="0" w:line="240" w:lineRule="auto"/>
              <w:rPr>
                <w:rFonts w:cs="Arial"/>
                <w:b/>
                <w:color w:val="003768"/>
                <w:sz w:val="14"/>
                <w:szCs w:val="14"/>
                <w:lang w:val="fr-FR" w:eastAsia="nl-BE"/>
              </w:rPr>
            </w:pPr>
            <w:proofErr w:type="spellStart"/>
            <w:r w:rsidRPr="00B5684E">
              <w:rPr>
                <w:rFonts w:cs="Arial"/>
                <w:b/>
                <w:color w:val="003768"/>
                <w:sz w:val="14"/>
                <w:szCs w:val="14"/>
                <w:lang w:val="fr-FR" w:eastAsia="nl-BE"/>
              </w:rPr>
              <w:t>Communicatie</w:t>
            </w:r>
            <w:proofErr w:type="spellEnd"/>
            <w:r w:rsidRPr="00B5684E">
              <w:rPr>
                <w:rFonts w:cs="Arial"/>
                <w:b/>
                <w:color w:val="003768"/>
                <w:sz w:val="14"/>
                <w:szCs w:val="14"/>
                <w:lang w:val="fr-FR" w:eastAsia="nl-BE"/>
              </w:rPr>
              <w:t xml:space="preserve"> /</w:t>
            </w:r>
          </w:p>
          <w:p w:rsidR="00945D83" w:rsidRPr="00945D83" w:rsidRDefault="00892218" w:rsidP="007728B6">
            <w:pPr>
              <w:autoSpaceDE w:val="0"/>
              <w:autoSpaceDN w:val="0"/>
              <w:adjustRightInd w:val="0"/>
              <w:spacing w:after="0" w:line="240" w:lineRule="auto"/>
              <w:rPr>
                <w:rFonts w:cs="Arial"/>
                <w:b/>
                <w:color w:val="003768"/>
                <w:sz w:val="14"/>
                <w:szCs w:val="14"/>
                <w:lang w:val="nl-BE" w:eastAsia="nl-BE"/>
              </w:rPr>
            </w:pPr>
            <w:r w:rsidRPr="00945D83">
              <w:rPr>
                <w:rFonts w:cs="Arial"/>
                <w:b/>
                <w:color w:val="003768"/>
                <w:sz w:val="14"/>
                <w:szCs w:val="14"/>
                <w:lang w:val="nl-BE" w:eastAsia="nl-BE"/>
              </w:rPr>
              <w:t>woordvoerster</w:t>
            </w:r>
          </w:p>
          <w:p w:rsidR="00CE168D" w:rsidRPr="003A10F4" w:rsidRDefault="00945D83" w:rsidP="00892218">
            <w:pPr>
              <w:pStyle w:val="Footer"/>
              <w:tabs>
                <w:tab w:val="bar" w:pos="-2709"/>
              </w:tabs>
              <w:rPr>
                <w:b/>
                <w:bCs/>
                <w:color w:val="002060"/>
                <w:sz w:val="14"/>
                <w:szCs w:val="14"/>
              </w:rPr>
            </w:pPr>
            <w:r>
              <w:rPr>
                <w:b/>
                <w:bCs/>
                <w:color w:val="002060"/>
                <w:sz w:val="14"/>
                <w:szCs w:val="14"/>
              </w:rPr>
              <w:t>Tel. 0</w:t>
            </w:r>
            <w:r w:rsidR="00CE168D" w:rsidRPr="003A10F4">
              <w:rPr>
                <w:b/>
                <w:bCs/>
                <w:color w:val="002060"/>
                <w:sz w:val="14"/>
                <w:szCs w:val="14"/>
              </w:rPr>
              <w:t>2 429 85 45</w:t>
            </w:r>
          </w:p>
          <w:p w:rsidR="00CE168D" w:rsidRPr="003A10F4" w:rsidRDefault="00CE168D" w:rsidP="0064576A">
            <w:pPr>
              <w:pStyle w:val="Footer"/>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B5684E" w:rsidRDefault="00CE168D" w:rsidP="0064576A">
            <w:pPr>
              <w:pStyle w:val="Footer"/>
              <w:tabs>
                <w:tab w:val="bar" w:pos="-2709"/>
              </w:tabs>
              <w:rPr>
                <w:b/>
                <w:bCs/>
                <w:color w:val="002060"/>
                <w:sz w:val="4"/>
                <w:szCs w:val="4"/>
                <w:lang w:val="de-DE"/>
              </w:rPr>
            </w:pPr>
          </w:p>
          <w:p w:rsidR="00CE168D" w:rsidRPr="00B5684E" w:rsidRDefault="00CE168D" w:rsidP="0064576A">
            <w:pPr>
              <w:pStyle w:val="Footer"/>
              <w:tabs>
                <w:tab w:val="bar" w:pos="-2709"/>
              </w:tabs>
              <w:rPr>
                <w:rFonts w:ascii="Rockwell" w:hAnsi="Rockwell"/>
                <w:b/>
                <w:bCs/>
                <w:color w:val="002060"/>
                <w:sz w:val="18"/>
                <w:szCs w:val="18"/>
                <w:lang w:val="de-DE"/>
              </w:rPr>
            </w:pPr>
          </w:p>
          <w:p w:rsidR="00945D83" w:rsidRPr="002F5967" w:rsidRDefault="00945D83" w:rsidP="0064576A">
            <w:pPr>
              <w:pStyle w:val="Footer"/>
              <w:tabs>
                <w:tab w:val="bar" w:pos="-2709"/>
              </w:tabs>
              <w:rPr>
                <w:rFonts w:cs="Arial"/>
                <w:b/>
                <w:color w:val="003768"/>
                <w:sz w:val="14"/>
                <w:szCs w:val="14"/>
                <w:lang w:val="de-DE" w:eastAsia="nl-BE"/>
              </w:rPr>
            </w:pPr>
            <w:proofErr w:type="spellStart"/>
            <w:r w:rsidRPr="002F5967">
              <w:rPr>
                <w:rFonts w:cs="Arial"/>
                <w:b/>
                <w:color w:val="003768"/>
                <w:sz w:val="14"/>
                <w:szCs w:val="14"/>
                <w:lang w:val="de-DE" w:eastAsia="nl-BE"/>
              </w:rPr>
              <w:t>Persdienst</w:t>
            </w:r>
            <w:proofErr w:type="spellEnd"/>
          </w:p>
          <w:p w:rsidR="00CE168D" w:rsidRDefault="00CE168D" w:rsidP="0064576A">
            <w:pPr>
              <w:pStyle w:val="Footer"/>
              <w:tabs>
                <w:tab w:val="bar" w:pos="-2709"/>
              </w:tabs>
              <w:rPr>
                <w:b/>
                <w:bCs/>
                <w:color w:val="002060"/>
                <w:sz w:val="14"/>
                <w:szCs w:val="14"/>
                <w:lang w:val="de-DE"/>
              </w:rPr>
            </w:pPr>
            <w:r w:rsidRPr="002F5967">
              <w:rPr>
                <w:b/>
                <w:bCs/>
                <w:color w:val="002060"/>
                <w:sz w:val="14"/>
                <w:szCs w:val="14"/>
                <w:lang w:val="de-DE"/>
              </w:rPr>
              <w:t xml:space="preserve">Tel. </w:t>
            </w:r>
            <w:r w:rsidR="00945D83" w:rsidRPr="002F5967">
              <w:rPr>
                <w:b/>
                <w:bCs/>
                <w:color w:val="002060"/>
                <w:sz w:val="14"/>
                <w:szCs w:val="14"/>
                <w:lang w:val="de-DE"/>
              </w:rPr>
              <w:t>0</w:t>
            </w:r>
            <w:r w:rsidRPr="002F5967">
              <w:rPr>
                <w:b/>
                <w:bCs/>
                <w:color w:val="002060"/>
                <w:sz w:val="14"/>
                <w:szCs w:val="14"/>
                <w:lang w:val="de-DE"/>
              </w:rPr>
              <w:t>2 429 65 01</w:t>
            </w:r>
          </w:p>
          <w:p w:rsidR="00B5684E" w:rsidRPr="00B5684E" w:rsidRDefault="00B5684E" w:rsidP="0064576A">
            <w:pPr>
              <w:pStyle w:val="Footer"/>
              <w:tabs>
                <w:tab w:val="bar" w:pos="-2709"/>
              </w:tabs>
              <w:rPr>
                <w:b/>
                <w:bCs/>
                <w:color w:val="002060"/>
                <w:sz w:val="14"/>
                <w:szCs w:val="14"/>
              </w:rPr>
            </w:pPr>
            <w:r>
              <w:rPr>
                <w:b/>
                <w:bCs/>
                <w:color w:val="002060"/>
                <w:sz w:val="14"/>
                <w:szCs w:val="14"/>
              </w:rPr>
              <w:t xml:space="preserve">Tel. </w:t>
            </w:r>
            <w:r w:rsidR="002F2F8B">
              <w:rPr>
                <w:b/>
                <w:bCs/>
                <w:color w:val="002060"/>
                <w:sz w:val="14"/>
                <w:szCs w:val="14"/>
              </w:rPr>
              <w:t>0</w:t>
            </w:r>
            <w:r w:rsidRPr="00076661">
              <w:rPr>
                <w:b/>
                <w:bCs/>
                <w:color w:val="002060"/>
                <w:sz w:val="14"/>
                <w:szCs w:val="14"/>
              </w:rPr>
              <w:t>2 429 29 15</w:t>
            </w:r>
          </w:p>
          <w:p w:rsidR="00CE168D" w:rsidRPr="002F5967" w:rsidRDefault="00CE168D" w:rsidP="0064576A">
            <w:pPr>
              <w:pStyle w:val="Footer"/>
              <w:tabs>
                <w:tab w:val="bar" w:pos="-2709"/>
              </w:tabs>
              <w:rPr>
                <w:color w:val="002060"/>
                <w:sz w:val="14"/>
                <w:szCs w:val="14"/>
                <w:lang w:val="de-DE"/>
              </w:rPr>
            </w:pPr>
            <w:r w:rsidRPr="002F5967">
              <w:rPr>
                <w:b/>
                <w:bCs/>
                <w:color w:val="002060"/>
                <w:sz w:val="14"/>
                <w:szCs w:val="14"/>
                <w:lang w:val="de-DE"/>
              </w:rPr>
              <w:t xml:space="preserve">Fax </w:t>
            </w:r>
            <w:r w:rsidR="00945D83" w:rsidRPr="002F5967">
              <w:rPr>
                <w:b/>
                <w:bCs/>
                <w:color w:val="002060"/>
                <w:sz w:val="14"/>
                <w:szCs w:val="14"/>
                <w:lang w:val="de-DE"/>
              </w:rPr>
              <w:t>0</w:t>
            </w:r>
            <w:r w:rsidRPr="002F5967">
              <w:rPr>
                <w:b/>
                <w:bCs/>
                <w:color w:val="002060"/>
                <w:sz w:val="14"/>
                <w:szCs w:val="14"/>
                <w:lang w:val="de-DE"/>
              </w:rPr>
              <w:t>2 429 81 60</w:t>
            </w:r>
          </w:p>
          <w:p w:rsidR="00CE168D" w:rsidRPr="002F5967" w:rsidRDefault="00CE168D" w:rsidP="0064576A">
            <w:pPr>
              <w:pStyle w:val="Footer"/>
              <w:tabs>
                <w:tab w:val="bar" w:pos="-2709"/>
              </w:tabs>
              <w:rPr>
                <w:lang w:val="de-DE"/>
              </w:rPr>
            </w:pPr>
            <w:proofErr w:type="spellStart"/>
            <w:r w:rsidRPr="002F5967">
              <w:rPr>
                <w:b/>
                <w:bCs/>
                <w:color w:val="002060"/>
                <w:sz w:val="14"/>
                <w:szCs w:val="14"/>
                <w:lang w:val="de-DE"/>
              </w:rPr>
              <w:t>E-mail</w:t>
            </w:r>
            <w:proofErr w:type="spellEnd"/>
            <w:r w:rsidRPr="002F5967">
              <w:rPr>
                <w:b/>
                <w:bCs/>
                <w:color w:val="002060"/>
                <w:sz w:val="14"/>
                <w:szCs w:val="14"/>
                <w:lang w:val="de-DE"/>
              </w:rPr>
              <w:t xml:space="preserve">: </w:t>
            </w:r>
            <w:hyperlink r:id="rId20" w:history="1">
              <w:r w:rsidR="002F5967" w:rsidRPr="005C49C4">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AF0348" w:rsidRDefault="00CE168D" w:rsidP="0064576A">
            <w:pPr>
              <w:pStyle w:val="Footer"/>
              <w:tabs>
                <w:tab w:val="bar" w:pos="-2709"/>
              </w:tabs>
              <w:rPr>
                <w:b/>
                <w:bCs/>
                <w:color w:val="002060"/>
                <w:sz w:val="4"/>
                <w:szCs w:val="4"/>
                <w:lang w:val="nl-BE"/>
              </w:rPr>
            </w:pPr>
          </w:p>
          <w:p w:rsidR="00CE168D" w:rsidRPr="00AF0348" w:rsidRDefault="00CE168D" w:rsidP="0064576A">
            <w:pPr>
              <w:pStyle w:val="Footer"/>
              <w:tabs>
                <w:tab w:val="bar" w:pos="-2709"/>
              </w:tabs>
              <w:rPr>
                <w:b/>
                <w:bCs/>
                <w:color w:val="002060"/>
                <w:sz w:val="18"/>
                <w:szCs w:val="18"/>
                <w:lang w:val="nl-BE"/>
              </w:rPr>
            </w:pPr>
          </w:p>
          <w:p w:rsidR="00CE168D" w:rsidRPr="00945D83" w:rsidRDefault="00945D83" w:rsidP="00945D83">
            <w:pPr>
              <w:autoSpaceDE w:val="0"/>
              <w:autoSpaceDN w:val="0"/>
              <w:adjustRightInd w:val="0"/>
              <w:spacing w:after="0" w:line="240" w:lineRule="auto"/>
              <w:rPr>
                <w:rFonts w:cs="Arial"/>
                <w:color w:val="003768"/>
                <w:sz w:val="14"/>
                <w:szCs w:val="14"/>
                <w:lang w:val="nl-BE" w:eastAsia="nl-BE"/>
              </w:rPr>
            </w:pPr>
            <w:r w:rsidRPr="00945D83">
              <w:rPr>
                <w:rFonts w:cs="Arial"/>
                <w:b/>
                <w:color w:val="003768"/>
                <w:sz w:val="14"/>
                <w:szCs w:val="14"/>
                <w:lang w:val="nl-BE" w:eastAsia="nl-BE"/>
              </w:rPr>
              <w:t xml:space="preserve">KBC persberichten zijn beschikbaar op </w:t>
            </w:r>
            <w:hyperlink r:id="rId21" w:history="1">
              <w:r w:rsidR="00CE168D" w:rsidRPr="00945D83">
                <w:rPr>
                  <w:rStyle w:val="Hyperlink"/>
                  <w:b/>
                  <w:bCs/>
                  <w:color w:val="00B0F0"/>
                  <w:sz w:val="14"/>
                  <w:szCs w:val="14"/>
                  <w:lang w:val="nl-BE"/>
                </w:rPr>
                <w:t>www.kbc.com</w:t>
              </w:r>
            </w:hyperlink>
            <w:r w:rsidR="00CE168D" w:rsidRPr="00945D83">
              <w:rPr>
                <w:b/>
                <w:bCs/>
                <w:color w:val="002060"/>
                <w:sz w:val="14"/>
                <w:szCs w:val="14"/>
                <w:lang w:val="nl-BE"/>
              </w:rPr>
              <w:t xml:space="preserve"> </w:t>
            </w:r>
            <w:r w:rsidRPr="00945D83">
              <w:rPr>
                <w:rFonts w:cs="Arial"/>
                <w:b/>
                <w:color w:val="003768"/>
                <w:sz w:val="14"/>
                <w:szCs w:val="14"/>
                <w:lang w:val="nl-BE" w:eastAsia="nl-BE"/>
              </w:rPr>
              <w:t>of kunnen verkregen worden door een mail te zenden naar</w:t>
            </w:r>
            <w:r w:rsidR="00CE168D" w:rsidRPr="00945D83">
              <w:rPr>
                <w:b/>
                <w:bCs/>
                <w:color w:val="003768"/>
                <w:sz w:val="14"/>
                <w:szCs w:val="14"/>
                <w:lang w:val="nl-BE"/>
              </w:rPr>
              <w:t xml:space="preserve"> </w:t>
            </w:r>
            <w:hyperlink r:id="rId22" w:history="1">
              <w:r w:rsidR="00CE168D" w:rsidRPr="00945D83">
                <w:rPr>
                  <w:rStyle w:val="Hyperlink"/>
                  <w:b/>
                  <w:bCs/>
                  <w:color w:val="00B0F0"/>
                  <w:sz w:val="14"/>
                  <w:szCs w:val="14"/>
                  <w:lang w:val="nl-BE"/>
                </w:rPr>
                <w:t>pressofficekbc@kbc.be</w:t>
              </w:r>
            </w:hyperlink>
          </w:p>
          <w:p w:rsidR="00945D83" w:rsidRPr="00B5684E" w:rsidRDefault="00945D83" w:rsidP="0064576A">
            <w:pPr>
              <w:pStyle w:val="Footer"/>
              <w:tabs>
                <w:tab w:val="bar" w:pos="-2709"/>
              </w:tabs>
              <w:spacing w:after="120"/>
              <w:rPr>
                <w:b/>
                <w:bCs/>
                <w:color w:val="002060"/>
                <w:sz w:val="14"/>
                <w:szCs w:val="14"/>
                <w:lang w:val="nl-BE"/>
              </w:rPr>
            </w:pPr>
          </w:p>
          <w:p w:rsidR="00CE168D" w:rsidRPr="00945D83" w:rsidRDefault="00945D83" w:rsidP="0064576A">
            <w:pPr>
              <w:pStyle w:val="Footer"/>
              <w:tabs>
                <w:tab w:val="bar" w:pos="-2709"/>
              </w:tabs>
              <w:spacing w:after="120"/>
              <w:rPr>
                <w:color w:val="002060"/>
                <w:lang w:val="nl-BE"/>
              </w:rPr>
            </w:pPr>
            <w:r w:rsidRPr="00945D83">
              <w:rPr>
                <w:rFonts w:cs="Calibri"/>
                <w:b/>
                <w:color w:val="003768"/>
                <w:sz w:val="14"/>
                <w:szCs w:val="14"/>
                <w:lang w:val="nl-BE" w:eastAsia="nl-BE"/>
              </w:rPr>
              <w:t>Volg ons op</w:t>
            </w:r>
            <w:r w:rsidRPr="00945D83">
              <w:rPr>
                <w:lang w:val="nl-BE"/>
              </w:rPr>
              <w:t xml:space="preserve"> </w:t>
            </w:r>
            <w:hyperlink r:id="rId23" w:history="1">
              <w:r w:rsidR="00CE168D" w:rsidRPr="00945D83">
                <w:rPr>
                  <w:rStyle w:val="Hyperlink"/>
                  <w:b/>
                  <w:bCs/>
                  <w:color w:val="00B0F0"/>
                  <w:sz w:val="14"/>
                  <w:szCs w:val="14"/>
                  <w:lang w:val="nl-BE"/>
                </w:rPr>
                <w:t>www.twitter.com/kbc_group</w:t>
              </w:r>
            </w:hyperlink>
          </w:p>
        </w:tc>
      </w:tr>
    </w:tbl>
    <w:p w:rsidR="004278B1" w:rsidRDefault="001546BA" w:rsidP="00020337">
      <w:pPr>
        <w:pStyle w:val="NoSpacing"/>
        <w:ind w:left="993" w:right="664"/>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377" w:rsidRDefault="000603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060377" w:rsidRDefault="00060377"/>
                  </w:txbxContent>
                </v:textbox>
              </v:shape>
            </w:pict>
          </mc:Fallback>
        </mc:AlternateContent>
      </w:r>
    </w:p>
    <w:sectPr w:rsidR="004278B1" w:rsidSect="00020337">
      <w:footerReference w:type="default" r:id="rId24"/>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77" w:rsidRDefault="00060377" w:rsidP="00B91505">
      <w:pPr>
        <w:spacing w:after="0" w:line="240" w:lineRule="auto"/>
      </w:pPr>
      <w:r>
        <w:separator/>
      </w:r>
    </w:p>
  </w:endnote>
  <w:endnote w:type="continuationSeparator" w:id="0">
    <w:p w:rsidR="00060377" w:rsidRDefault="00060377"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77" w:rsidRDefault="000603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26F1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6F13">
      <w:rPr>
        <w:b/>
        <w:noProof/>
      </w:rPr>
      <w:t>15</w:t>
    </w:r>
    <w:r>
      <w:rPr>
        <w:b/>
        <w:sz w:val="24"/>
        <w:szCs w:val="24"/>
      </w:rPr>
      <w:fldChar w:fldCharType="end"/>
    </w:r>
  </w:p>
  <w:p w:rsidR="00060377" w:rsidRDefault="00060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77" w:rsidRDefault="00060377" w:rsidP="00B91505">
      <w:pPr>
        <w:spacing w:after="0" w:line="240" w:lineRule="auto"/>
      </w:pPr>
      <w:r>
        <w:separator/>
      </w:r>
    </w:p>
  </w:footnote>
  <w:footnote w:type="continuationSeparator" w:id="0">
    <w:p w:rsidR="00060377" w:rsidRDefault="00060377"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064"/>
    <w:multiLevelType w:val="hybridMultilevel"/>
    <w:tmpl w:val="8B56F72E"/>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
    <w:nsid w:val="30FF732A"/>
    <w:multiLevelType w:val="hybridMultilevel"/>
    <w:tmpl w:val="DC24FE76"/>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2">
    <w:nsid w:val="3106015B"/>
    <w:multiLevelType w:val="hybridMultilevel"/>
    <w:tmpl w:val="AF2E2C62"/>
    <w:lvl w:ilvl="0" w:tplc="08130001">
      <w:start w:val="1"/>
      <w:numFmt w:val="bullet"/>
      <w:lvlText w:val=""/>
      <w:lvlJc w:val="left"/>
      <w:pPr>
        <w:ind w:left="1712" w:hanging="360"/>
      </w:pPr>
      <w:rPr>
        <w:rFonts w:ascii="Symbol" w:hAnsi="Symbol" w:hint="default"/>
      </w:rPr>
    </w:lvl>
    <w:lvl w:ilvl="1" w:tplc="08130003">
      <w:start w:val="1"/>
      <w:numFmt w:val="bullet"/>
      <w:lvlText w:val="o"/>
      <w:lvlJc w:val="left"/>
      <w:pPr>
        <w:ind w:left="2432" w:hanging="360"/>
      </w:pPr>
      <w:rPr>
        <w:rFonts w:ascii="Courier New" w:hAnsi="Courier New" w:cs="Courier New" w:hint="default"/>
      </w:rPr>
    </w:lvl>
    <w:lvl w:ilvl="2" w:tplc="08130005">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336C7F45"/>
    <w:multiLevelType w:val="hybridMultilevel"/>
    <w:tmpl w:val="19A655E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4">
    <w:nsid w:val="34E02A6B"/>
    <w:multiLevelType w:val="hybridMultilevel"/>
    <w:tmpl w:val="3EDA9B4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5">
    <w:nsid w:val="3FE3244B"/>
    <w:multiLevelType w:val="hybridMultilevel"/>
    <w:tmpl w:val="02D86048"/>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6">
    <w:nsid w:val="4E9C72B3"/>
    <w:multiLevelType w:val="hybridMultilevel"/>
    <w:tmpl w:val="03D6A230"/>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7">
    <w:nsid w:val="5CB137CA"/>
    <w:multiLevelType w:val="hybridMultilevel"/>
    <w:tmpl w:val="10C0D5A6"/>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8">
    <w:nsid w:val="615B2CD2"/>
    <w:multiLevelType w:val="hybridMultilevel"/>
    <w:tmpl w:val="444ECA6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9">
    <w:nsid w:val="76E04111"/>
    <w:multiLevelType w:val="hybridMultilevel"/>
    <w:tmpl w:val="55225EA8"/>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0">
    <w:nsid w:val="7B694B04"/>
    <w:multiLevelType w:val="hybridMultilevel"/>
    <w:tmpl w:val="16BECFF0"/>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1"/>
  </w:num>
  <w:num w:numId="6">
    <w:abstractNumId w:val="10"/>
  </w:num>
  <w:num w:numId="7">
    <w:abstractNumId w:val="6"/>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0377"/>
    <w:rsid w:val="00067351"/>
    <w:rsid w:val="00075B32"/>
    <w:rsid w:val="0007720A"/>
    <w:rsid w:val="001044FC"/>
    <w:rsid w:val="00136A6C"/>
    <w:rsid w:val="00145E8E"/>
    <w:rsid w:val="001546BA"/>
    <w:rsid w:val="001572F2"/>
    <w:rsid w:val="00210DB3"/>
    <w:rsid w:val="00262D1E"/>
    <w:rsid w:val="00286C63"/>
    <w:rsid w:val="002D344C"/>
    <w:rsid w:val="002F2F8B"/>
    <w:rsid w:val="002F5967"/>
    <w:rsid w:val="00306541"/>
    <w:rsid w:val="00326CB0"/>
    <w:rsid w:val="003346EA"/>
    <w:rsid w:val="003540FC"/>
    <w:rsid w:val="0038517C"/>
    <w:rsid w:val="003915CA"/>
    <w:rsid w:val="003A10F4"/>
    <w:rsid w:val="003C3F4A"/>
    <w:rsid w:val="00410A43"/>
    <w:rsid w:val="004278B1"/>
    <w:rsid w:val="0047091F"/>
    <w:rsid w:val="004F7511"/>
    <w:rsid w:val="0052230C"/>
    <w:rsid w:val="005235E3"/>
    <w:rsid w:val="00571370"/>
    <w:rsid w:val="00574F3C"/>
    <w:rsid w:val="005A3C31"/>
    <w:rsid w:val="005B005E"/>
    <w:rsid w:val="005C49C4"/>
    <w:rsid w:val="0064576A"/>
    <w:rsid w:val="00673D3E"/>
    <w:rsid w:val="006917E1"/>
    <w:rsid w:val="006A6C5E"/>
    <w:rsid w:val="006A73EA"/>
    <w:rsid w:val="007571D2"/>
    <w:rsid w:val="00761F3D"/>
    <w:rsid w:val="00762A35"/>
    <w:rsid w:val="00766427"/>
    <w:rsid w:val="007728B6"/>
    <w:rsid w:val="00775C2F"/>
    <w:rsid w:val="00777C89"/>
    <w:rsid w:val="007A2951"/>
    <w:rsid w:val="007E4B18"/>
    <w:rsid w:val="00856602"/>
    <w:rsid w:val="00875B4B"/>
    <w:rsid w:val="00892218"/>
    <w:rsid w:val="008B4296"/>
    <w:rsid w:val="008C760D"/>
    <w:rsid w:val="0091565F"/>
    <w:rsid w:val="00945D83"/>
    <w:rsid w:val="009C4391"/>
    <w:rsid w:val="00A20B2F"/>
    <w:rsid w:val="00A26F13"/>
    <w:rsid w:val="00A34954"/>
    <w:rsid w:val="00A73521"/>
    <w:rsid w:val="00AC7A25"/>
    <w:rsid w:val="00AF0348"/>
    <w:rsid w:val="00B2276E"/>
    <w:rsid w:val="00B31F65"/>
    <w:rsid w:val="00B42C83"/>
    <w:rsid w:val="00B5684E"/>
    <w:rsid w:val="00B7736D"/>
    <w:rsid w:val="00B91505"/>
    <w:rsid w:val="00B97593"/>
    <w:rsid w:val="00BB5732"/>
    <w:rsid w:val="00BE46FD"/>
    <w:rsid w:val="00BE652F"/>
    <w:rsid w:val="00C74E56"/>
    <w:rsid w:val="00C90C1D"/>
    <w:rsid w:val="00CC467E"/>
    <w:rsid w:val="00CD63AD"/>
    <w:rsid w:val="00CE168D"/>
    <w:rsid w:val="00D41F39"/>
    <w:rsid w:val="00D44ECB"/>
    <w:rsid w:val="00D61FE6"/>
    <w:rsid w:val="00D651BD"/>
    <w:rsid w:val="00DB3994"/>
    <w:rsid w:val="00E65043"/>
    <w:rsid w:val="00EA7DF4"/>
    <w:rsid w:val="00F5543C"/>
    <w:rsid w:val="00F56CC4"/>
    <w:rsid w:val="00F76249"/>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761F3D"/>
    <w:pPr>
      <w:ind w:left="720"/>
      <w:contextualSpacing/>
    </w:pPr>
  </w:style>
  <w:style w:type="paragraph" w:customStyle="1" w:styleId="Intro">
    <w:name w:val="Intro"/>
    <w:basedOn w:val="Normal"/>
    <w:rsid w:val="00761F3D"/>
    <w:pPr>
      <w:spacing w:after="0" w:line="240" w:lineRule="auto"/>
      <w:jc w:val="both"/>
    </w:pPr>
    <w:rPr>
      <w:rFonts w:ascii="Arial" w:eastAsia="Times New Roman" w:hAnsi="Arial"/>
      <w:b/>
      <w:bCs/>
      <w:snapToGrid w:val="0"/>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761F3D"/>
    <w:pPr>
      <w:ind w:left="720"/>
      <w:contextualSpacing/>
    </w:pPr>
  </w:style>
  <w:style w:type="paragraph" w:customStyle="1" w:styleId="Intro">
    <w:name w:val="Intro"/>
    <w:basedOn w:val="Normal"/>
    <w:rsid w:val="00761F3D"/>
    <w:pPr>
      <w:spacing w:after="0" w:line="240" w:lineRule="auto"/>
      <w:jc w:val="both"/>
    </w:pPr>
    <w:rPr>
      <w:rFonts w:ascii="Arial" w:eastAsia="Times New Roman" w:hAnsi="Arial"/>
      <w:b/>
      <w:bCs/>
      <w:snapToGrid w:val="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7176">
      <w:bodyDiv w:val="1"/>
      <w:marLeft w:val="0"/>
      <w:marRight w:val="0"/>
      <w:marTop w:val="0"/>
      <w:marBottom w:val="0"/>
      <w:divBdr>
        <w:top w:val="none" w:sz="0" w:space="0" w:color="auto"/>
        <w:left w:val="none" w:sz="0" w:space="0" w:color="auto"/>
        <w:bottom w:val="none" w:sz="0" w:space="0" w:color="auto"/>
        <w:right w:val="none" w:sz="0" w:space="0" w:color="auto"/>
      </w:divBdr>
      <w:divsChild>
        <w:div w:id="1013650011">
          <w:marLeft w:val="547"/>
          <w:marRight w:val="0"/>
          <w:marTop w:val="0"/>
          <w:marBottom w:val="0"/>
          <w:divBdr>
            <w:top w:val="none" w:sz="0" w:space="0" w:color="auto"/>
            <w:left w:val="none" w:sz="0" w:space="0" w:color="auto"/>
            <w:bottom w:val="none" w:sz="0" w:space="0" w:color="auto"/>
            <w:right w:val="none" w:sz="0" w:space="0" w:color="auto"/>
          </w:divBdr>
        </w:div>
      </w:divsChild>
    </w:div>
    <w:div w:id="1298293069">
      <w:bodyDiv w:val="1"/>
      <w:marLeft w:val="0"/>
      <w:marRight w:val="0"/>
      <w:marTop w:val="0"/>
      <w:marBottom w:val="0"/>
      <w:divBdr>
        <w:top w:val="none" w:sz="0" w:space="0" w:color="auto"/>
        <w:left w:val="none" w:sz="0" w:space="0" w:color="auto"/>
        <w:bottom w:val="none" w:sz="0" w:space="0" w:color="auto"/>
        <w:right w:val="none" w:sz="0" w:space="0" w:color="auto"/>
      </w:divBdr>
      <w:divsChild>
        <w:div w:id="2127115667">
          <w:marLeft w:val="547"/>
          <w:marRight w:val="0"/>
          <w:marTop w:val="0"/>
          <w:marBottom w:val="0"/>
          <w:divBdr>
            <w:top w:val="none" w:sz="0" w:space="0" w:color="auto"/>
            <w:left w:val="none" w:sz="0" w:space="0" w:color="auto"/>
            <w:bottom w:val="none" w:sz="0" w:space="0" w:color="auto"/>
            <w:right w:val="none" w:sz="0" w:space="0" w:color="auto"/>
          </w:divBdr>
        </w:div>
      </w:divsChild>
    </w:div>
    <w:div w:id="1445921882">
      <w:bodyDiv w:val="1"/>
      <w:marLeft w:val="0"/>
      <w:marRight w:val="0"/>
      <w:marTop w:val="0"/>
      <w:marBottom w:val="0"/>
      <w:divBdr>
        <w:top w:val="none" w:sz="0" w:space="0" w:color="auto"/>
        <w:left w:val="none" w:sz="0" w:space="0" w:color="auto"/>
        <w:bottom w:val="none" w:sz="0" w:space="0" w:color="auto"/>
        <w:right w:val="none" w:sz="0" w:space="0" w:color="auto"/>
      </w:divBdr>
      <w:divsChild>
        <w:div w:id="137110379">
          <w:marLeft w:val="547"/>
          <w:marRight w:val="0"/>
          <w:marTop w:val="0"/>
          <w:marBottom w:val="0"/>
          <w:divBdr>
            <w:top w:val="none" w:sz="0" w:space="0" w:color="auto"/>
            <w:left w:val="none" w:sz="0" w:space="0" w:color="auto"/>
            <w:bottom w:val="none" w:sz="0" w:space="0" w:color="auto"/>
            <w:right w:val="none" w:sz="0" w:space="0" w:color="auto"/>
          </w:divBdr>
        </w:div>
      </w:divsChild>
    </w:div>
    <w:div w:id="1619995003">
      <w:bodyDiv w:val="1"/>
      <w:marLeft w:val="0"/>
      <w:marRight w:val="0"/>
      <w:marTop w:val="0"/>
      <w:marBottom w:val="0"/>
      <w:divBdr>
        <w:top w:val="none" w:sz="0" w:space="0" w:color="auto"/>
        <w:left w:val="none" w:sz="0" w:space="0" w:color="auto"/>
        <w:bottom w:val="none" w:sz="0" w:space="0" w:color="auto"/>
        <w:right w:val="none" w:sz="0" w:space="0" w:color="auto"/>
      </w:divBdr>
      <w:divsChild>
        <w:div w:id="665288115">
          <w:marLeft w:val="547"/>
          <w:marRight w:val="0"/>
          <w:marTop w:val="0"/>
          <w:marBottom w:val="0"/>
          <w:divBdr>
            <w:top w:val="none" w:sz="0" w:space="0" w:color="auto"/>
            <w:left w:val="none" w:sz="0" w:space="0" w:color="auto"/>
            <w:bottom w:val="none" w:sz="0" w:space="0" w:color="auto"/>
            <w:right w:val="none" w:sz="0" w:space="0" w:color="auto"/>
          </w:divBdr>
        </w:div>
      </w:divsChild>
    </w:div>
    <w:div w:id="1667780983">
      <w:bodyDiv w:val="1"/>
      <w:marLeft w:val="0"/>
      <w:marRight w:val="0"/>
      <w:marTop w:val="0"/>
      <w:marBottom w:val="0"/>
      <w:divBdr>
        <w:top w:val="none" w:sz="0" w:space="0" w:color="auto"/>
        <w:left w:val="none" w:sz="0" w:space="0" w:color="auto"/>
        <w:bottom w:val="none" w:sz="0" w:space="0" w:color="auto"/>
        <w:right w:val="none" w:sz="0" w:space="0" w:color="auto"/>
      </w:divBdr>
      <w:divsChild>
        <w:div w:id="363529732">
          <w:marLeft w:val="547"/>
          <w:marRight w:val="0"/>
          <w:marTop w:val="0"/>
          <w:marBottom w:val="0"/>
          <w:divBdr>
            <w:top w:val="none" w:sz="0" w:space="0" w:color="auto"/>
            <w:left w:val="none" w:sz="0" w:space="0" w:color="auto"/>
            <w:bottom w:val="none" w:sz="0" w:space="0" w:color="auto"/>
            <w:right w:val="none" w:sz="0" w:space="0" w:color="auto"/>
          </w:divBdr>
        </w:div>
      </w:divsChild>
    </w:div>
    <w:div w:id="2143231160">
      <w:bodyDiv w:val="1"/>
      <w:marLeft w:val="0"/>
      <w:marRight w:val="0"/>
      <w:marTop w:val="0"/>
      <w:marBottom w:val="0"/>
      <w:divBdr>
        <w:top w:val="none" w:sz="0" w:space="0" w:color="auto"/>
        <w:left w:val="none" w:sz="0" w:space="0" w:color="auto"/>
        <w:bottom w:val="none" w:sz="0" w:space="0" w:color="auto"/>
        <w:right w:val="none" w:sz="0" w:space="0" w:color="auto"/>
      </w:divBdr>
      <w:divsChild>
        <w:div w:id="9909807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wim.allegaert@kbc.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b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pressofficekbc@kbc.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witter.com/kbc_group" TargetMode="External"/><Relationship Id="rId10" Type="http://schemas.openxmlformats.org/officeDocument/2006/relationships/image" Target="media/image3.jpeg"/><Relationship Id="rId19" Type="http://schemas.openxmlformats.org/officeDocument/2006/relationships/hyperlink" Target="mailto:pressofficekbc@kbc.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8424</Words>
  <Characters>46336</Characters>
  <Application>Microsoft Office Word</Application>
  <DocSecurity>0</DocSecurity>
  <Lines>386</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54651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15</cp:revision>
  <cp:lastPrinted>2013-03-07T08:47:00Z</cp:lastPrinted>
  <dcterms:created xsi:type="dcterms:W3CDTF">2014-02-12T10:12:00Z</dcterms:created>
  <dcterms:modified xsi:type="dcterms:W3CDTF">2014-02-13T07:27:00Z</dcterms:modified>
</cp:coreProperties>
</file>