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32C6C" w14:textId="52D9562E" w:rsidR="00605C1E" w:rsidRPr="00605C1E" w:rsidRDefault="00446615" w:rsidP="00605C1E">
      <w:pPr>
        <w:pStyle w:val="Body"/>
        <w:spacing w:after="0" w:line="360" w:lineRule="auto"/>
        <w:rPr>
          <w:rFonts w:ascii="Verdana" w:hAnsi="Verdana"/>
          <w:color w:val="auto"/>
          <w:sz w:val="20"/>
          <w:szCs w:val="20"/>
          <w:lang w:val="nl-BE"/>
        </w:rPr>
      </w:pPr>
      <w:r w:rsidRPr="00605C1E">
        <w:rPr>
          <w:rFonts w:ascii="Verdana" w:hAnsi="Verdana"/>
          <w:noProof/>
          <w:sz w:val="20"/>
          <w:szCs w:val="20"/>
          <w:lang w:val="nl-NL" w:eastAsia="nl-NL"/>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605C1E" w:rsidRDefault="00605C1E" w:rsidP="00605C1E">
      <w:pPr>
        <w:pStyle w:val="Body"/>
        <w:spacing w:after="0" w:line="360" w:lineRule="auto"/>
        <w:rPr>
          <w:rFonts w:ascii="Verdana" w:hAnsi="Verdana"/>
          <w:color w:val="auto"/>
          <w:sz w:val="20"/>
          <w:szCs w:val="20"/>
          <w:lang w:val="nl-BE"/>
        </w:rPr>
      </w:pPr>
    </w:p>
    <w:p w14:paraId="79272DCC" w14:textId="71F93E78" w:rsidR="00605C1E" w:rsidRPr="00605C1E" w:rsidRDefault="00605C1E" w:rsidP="00605C1E">
      <w:pPr>
        <w:pStyle w:val="Body"/>
        <w:spacing w:after="0" w:line="360" w:lineRule="auto"/>
        <w:rPr>
          <w:rFonts w:ascii="Verdana" w:hAnsi="Verdana"/>
          <w:color w:val="auto"/>
          <w:sz w:val="20"/>
          <w:szCs w:val="20"/>
          <w:lang w:val="nl-BE"/>
        </w:rPr>
      </w:pPr>
    </w:p>
    <w:p w14:paraId="6ECBC580" w14:textId="77777777" w:rsidR="00605C1E" w:rsidRPr="00605C1E" w:rsidRDefault="00605C1E" w:rsidP="00605C1E">
      <w:pPr>
        <w:pStyle w:val="Body"/>
        <w:spacing w:after="0" w:line="360" w:lineRule="auto"/>
        <w:rPr>
          <w:rFonts w:ascii="Verdana" w:hAnsi="Verdana"/>
          <w:color w:val="auto"/>
          <w:sz w:val="20"/>
          <w:szCs w:val="20"/>
          <w:lang w:val="nl-BE"/>
        </w:rPr>
      </w:pPr>
    </w:p>
    <w:p w14:paraId="223E5AA1" w14:textId="77777777" w:rsidR="00605C1E" w:rsidRPr="00605C1E" w:rsidRDefault="00605C1E" w:rsidP="00605C1E">
      <w:pPr>
        <w:pStyle w:val="Body"/>
        <w:spacing w:after="0" w:line="360" w:lineRule="auto"/>
        <w:rPr>
          <w:rFonts w:ascii="Verdana" w:hAnsi="Verdana"/>
          <w:color w:val="auto"/>
          <w:sz w:val="20"/>
          <w:szCs w:val="20"/>
          <w:lang w:val="nl-BE"/>
        </w:rPr>
      </w:pPr>
    </w:p>
    <w:p w14:paraId="30892EA1" w14:textId="1F6C9F32" w:rsidR="00B10CC6" w:rsidRPr="00CD1984" w:rsidRDefault="00735934" w:rsidP="00605C1E">
      <w:pPr>
        <w:pStyle w:val="Body"/>
        <w:spacing w:after="0" w:line="360" w:lineRule="auto"/>
        <w:rPr>
          <w:rFonts w:ascii="Verdana" w:hAnsi="Verdana"/>
          <w:b/>
          <w:bCs/>
          <w:color w:val="auto"/>
          <w:sz w:val="32"/>
          <w:szCs w:val="32"/>
          <w:lang w:val="fr-FR"/>
        </w:rPr>
      </w:pPr>
      <w:proofErr w:type="spellStart"/>
      <w:r w:rsidRPr="00CD1984">
        <w:rPr>
          <w:rFonts w:ascii="Verdana" w:hAnsi="Verdana"/>
          <w:b/>
          <w:bCs/>
          <w:color w:val="auto"/>
          <w:sz w:val="32"/>
          <w:szCs w:val="32"/>
          <w:lang w:val="fr-FR"/>
        </w:rPr>
        <w:t>Basware</w:t>
      </w:r>
      <w:proofErr w:type="spellEnd"/>
      <w:r w:rsidRPr="00CD1984">
        <w:rPr>
          <w:rFonts w:ascii="Verdana" w:hAnsi="Verdana"/>
          <w:b/>
          <w:bCs/>
          <w:color w:val="auto"/>
          <w:sz w:val="32"/>
          <w:szCs w:val="32"/>
          <w:lang w:val="fr-FR"/>
        </w:rPr>
        <w:t xml:space="preserve"> </w:t>
      </w:r>
      <w:r w:rsidR="00B10CC6" w:rsidRPr="00CD1984">
        <w:rPr>
          <w:rFonts w:ascii="Verdana" w:hAnsi="Verdana"/>
          <w:b/>
          <w:bCs/>
          <w:color w:val="auto"/>
          <w:sz w:val="32"/>
          <w:szCs w:val="32"/>
          <w:lang w:val="fr-FR"/>
        </w:rPr>
        <w:t xml:space="preserve">améliore la solution d’achat et adapte l’interface </w:t>
      </w:r>
      <w:r w:rsidR="004E27E2" w:rsidRPr="00CD1984">
        <w:rPr>
          <w:rFonts w:ascii="Verdana" w:hAnsi="Verdana"/>
          <w:b/>
          <w:bCs/>
          <w:color w:val="auto"/>
          <w:sz w:val="32"/>
          <w:szCs w:val="32"/>
          <w:lang w:val="fr-FR"/>
        </w:rPr>
        <w:t>pour</w:t>
      </w:r>
      <w:r w:rsidR="00B10CC6" w:rsidRPr="00CD1984">
        <w:rPr>
          <w:rFonts w:ascii="Verdana" w:hAnsi="Verdana"/>
          <w:b/>
          <w:bCs/>
          <w:color w:val="auto"/>
          <w:sz w:val="32"/>
          <w:szCs w:val="32"/>
          <w:lang w:val="fr-FR"/>
        </w:rPr>
        <w:t xml:space="preserve"> différents types d’utilisateur</w:t>
      </w:r>
    </w:p>
    <w:p w14:paraId="2FBD5191" w14:textId="1AC36ED9" w:rsidR="00B10CC6" w:rsidRPr="007553CC" w:rsidRDefault="00774318" w:rsidP="00605C1E">
      <w:pPr>
        <w:pStyle w:val="Body"/>
        <w:spacing w:after="0" w:line="360" w:lineRule="auto"/>
        <w:rPr>
          <w:rFonts w:ascii="Verdana" w:hAnsi="Verdana"/>
          <w:i/>
          <w:iCs/>
          <w:color w:val="auto"/>
          <w:sz w:val="20"/>
          <w:szCs w:val="20"/>
          <w:lang w:val="fr-FR"/>
        </w:rPr>
      </w:pPr>
      <w:r w:rsidRPr="007553CC">
        <w:rPr>
          <w:rFonts w:ascii="Verdana" w:hAnsi="Verdana"/>
          <w:i/>
          <w:iCs/>
          <w:color w:val="auto"/>
          <w:sz w:val="20"/>
          <w:szCs w:val="20"/>
          <w:lang w:val="fr-FR"/>
        </w:rPr>
        <w:t>Elle</w:t>
      </w:r>
      <w:r w:rsidR="00B10CC6" w:rsidRPr="007553CC">
        <w:rPr>
          <w:rFonts w:ascii="Verdana" w:hAnsi="Verdana"/>
          <w:i/>
          <w:iCs/>
          <w:color w:val="auto"/>
          <w:sz w:val="20"/>
          <w:szCs w:val="20"/>
          <w:lang w:val="fr-FR"/>
        </w:rPr>
        <w:t xml:space="preserve"> offre en outre 100% d’acceptation d’utilisateurs et 100% de visibilité des dépenses.</w:t>
      </w:r>
    </w:p>
    <w:p w14:paraId="4612CA43" w14:textId="77777777" w:rsidR="00735934" w:rsidRPr="007553CC" w:rsidRDefault="00735934" w:rsidP="00605C1E">
      <w:pPr>
        <w:pStyle w:val="Body"/>
        <w:spacing w:after="0" w:line="360" w:lineRule="auto"/>
        <w:rPr>
          <w:rFonts w:ascii="Verdana" w:hAnsi="Verdana"/>
          <w:i/>
          <w:iCs/>
          <w:color w:val="auto"/>
          <w:sz w:val="20"/>
          <w:szCs w:val="20"/>
          <w:lang w:val="fr-FR"/>
        </w:rPr>
      </w:pPr>
    </w:p>
    <w:p w14:paraId="6ACC3A98" w14:textId="7DA5E8C5" w:rsidR="000F6CB7" w:rsidRPr="00CD1984" w:rsidRDefault="00436A92" w:rsidP="00605C1E">
      <w:pPr>
        <w:spacing w:line="360" w:lineRule="auto"/>
        <w:rPr>
          <w:rFonts w:ascii="Verdana" w:hAnsi="Verdana" w:cs="Calibri"/>
          <w:b/>
          <w:bCs/>
          <w:sz w:val="20"/>
          <w:szCs w:val="20"/>
        </w:rPr>
      </w:pPr>
      <w:r w:rsidRPr="00CD1984">
        <w:rPr>
          <w:rFonts w:ascii="Verdana" w:hAnsi="Verdana" w:cs="Calibri"/>
          <w:sz w:val="20"/>
          <w:szCs w:val="20"/>
        </w:rPr>
        <w:t>Espoo</w:t>
      </w:r>
      <w:r w:rsidR="006912C4" w:rsidRPr="00CD1984">
        <w:rPr>
          <w:rFonts w:ascii="Verdana" w:hAnsi="Verdana" w:cs="Calibri"/>
          <w:sz w:val="20"/>
          <w:szCs w:val="20"/>
        </w:rPr>
        <w:t xml:space="preserve">, </w:t>
      </w:r>
      <w:r w:rsidRPr="00CD1984">
        <w:rPr>
          <w:rFonts w:ascii="Verdana" w:hAnsi="Verdana" w:cs="Calibri"/>
          <w:sz w:val="20"/>
          <w:szCs w:val="20"/>
        </w:rPr>
        <w:t>Finland</w:t>
      </w:r>
      <w:r w:rsidR="000F6CB7" w:rsidRPr="00CD1984">
        <w:rPr>
          <w:rFonts w:ascii="Verdana" w:hAnsi="Verdana" w:cs="Calibri"/>
          <w:sz w:val="20"/>
          <w:szCs w:val="20"/>
        </w:rPr>
        <w:t>e</w:t>
      </w:r>
      <w:r w:rsidRPr="00CD1984">
        <w:rPr>
          <w:rFonts w:ascii="Verdana" w:hAnsi="Verdana" w:cs="Calibri"/>
          <w:sz w:val="20"/>
          <w:szCs w:val="20"/>
        </w:rPr>
        <w:t xml:space="preserve"> </w:t>
      </w:r>
      <w:r w:rsidR="006912C4" w:rsidRPr="00CD1984">
        <w:rPr>
          <w:rFonts w:ascii="Verdana" w:hAnsi="Verdana" w:cs="Calibri"/>
          <w:sz w:val="20"/>
          <w:szCs w:val="20"/>
        </w:rPr>
        <w:t xml:space="preserve">- </w:t>
      </w:r>
      <w:bookmarkStart w:id="0" w:name="_GoBack"/>
      <w:bookmarkEnd w:id="0"/>
      <w:r w:rsidR="007553CC">
        <w:rPr>
          <w:rFonts w:ascii="Verdana" w:hAnsi="Verdana" w:cs="Calibri"/>
          <w:sz w:val="20"/>
          <w:szCs w:val="20"/>
        </w:rPr>
        <w:t>l</w:t>
      </w:r>
      <w:r w:rsidR="000F6CB7" w:rsidRPr="00CD1984">
        <w:rPr>
          <w:rFonts w:ascii="Verdana" w:hAnsi="Verdana" w:cs="Calibri"/>
          <w:sz w:val="20"/>
          <w:szCs w:val="20"/>
        </w:rPr>
        <w:t xml:space="preserve">e </w:t>
      </w:r>
      <w:r w:rsidR="007553CC">
        <w:rPr>
          <w:rFonts w:ascii="Verdana" w:hAnsi="Verdana" w:cs="Calibri"/>
          <w:sz w:val="20"/>
          <w:szCs w:val="20"/>
        </w:rPr>
        <w:t>4 février</w:t>
      </w:r>
      <w:r w:rsidR="003304CB" w:rsidRPr="00CD1984">
        <w:rPr>
          <w:rFonts w:ascii="Verdana" w:hAnsi="Verdana" w:cs="Calibri"/>
          <w:sz w:val="20"/>
          <w:szCs w:val="20"/>
        </w:rPr>
        <w:t xml:space="preserve"> 20</w:t>
      </w:r>
      <w:r w:rsidR="004F4179" w:rsidRPr="00CD1984">
        <w:rPr>
          <w:rFonts w:ascii="Verdana" w:hAnsi="Verdana" w:cs="Calibri"/>
          <w:sz w:val="20"/>
          <w:szCs w:val="20"/>
        </w:rPr>
        <w:t>20</w:t>
      </w:r>
      <w:r w:rsidR="003304CB" w:rsidRPr="00CD1984">
        <w:rPr>
          <w:rFonts w:ascii="Verdana" w:hAnsi="Verdana" w:cs="Calibri"/>
          <w:sz w:val="20"/>
          <w:szCs w:val="20"/>
        </w:rPr>
        <w:t xml:space="preserve"> – </w:t>
      </w:r>
      <w:proofErr w:type="spellStart"/>
      <w:r w:rsidR="00735934" w:rsidRPr="00CD1984">
        <w:rPr>
          <w:rFonts w:ascii="Verdana" w:hAnsi="Verdana" w:cs="Calibri"/>
          <w:b/>
          <w:bCs/>
          <w:sz w:val="20"/>
          <w:szCs w:val="20"/>
        </w:rPr>
        <w:t>Basware</w:t>
      </w:r>
      <w:proofErr w:type="spellEnd"/>
      <w:r w:rsidR="00735934" w:rsidRPr="00CD1984">
        <w:rPr>
          <w:rFonts w:ascii="Verdana" w:hAnsi="Verdana" w:cs="Calibri"/>
          <w:b/>
          <w:bCs/>
          <w:sz w:val="20"/>
          <w:szCs w:val="20"/>
        </w:rPr>
        <w:t xml:space="preserve"> </w:t>
      </w:r>
      <w:r w:rsidR="000F6CB7" w:rsidRPr="00CD1984">
        <w:rPr>
          <w:rFonts w:ascii="Verdana" w:hAnsi="Verdana" w:cs="Calibri"/>
          <w:b/>
          <w:bCs/>
          <w:sz w:val="20"/>
          <w:szCs w:val="20"/>
        </w:rPr>
        <w:t xml:space="preserve">a introduit une nouvelle version de </w:t>
      </w:r>
      <w:proofErr w:type="spellStart"/>
      <w:r w:rsidR="000F6CB7" w:rsidRPr="00CD1984">
        <w:rPr>
          <w:rFonts w:ascii="Verdana" w:hAnsi="Verdana" w:cs="Calibri"/>
          <w:b/>
          <w:bCs/>
          <w:sz w:val="20"/>
          <w:szCs w:val="20"/>
        </w:rPr>
        <w:t>Basware</w:t>
      </w:r>
      <w:proofErr w:type="spellEnd"/>
      <w:r w:rsidR="000F6CB7" w:rsidRPr="00CD1984">
        <w:rPr>
          <w:rFonts w:ascii="Verdana" w:hAnsi="Verdana" w:cs="Calibri"/>
          <w:b/>
          <w:bCs/>
          <w:sz w:val="20"/>
          <w:szCs w:val="20"/>
        </w:rPr>
        <w:t xml:space="preserve"> </w:t>
      </w:r>
      <w:proofErr w:type="spellStart"/>
      <w:r w:rsidR="000F6CB7" w:rsidRPr="00CD1984">
        <w:rPr>
          <w:rFonts w:ascii="Verdana" w:hAnsi="Verdana" w:cs="Calibri"/>
          <w:b/>
          <w:bCs/>
          <w:sz w:val="20"/>
          <w:szCs w:val="20"/>
        </w:rPr>
        <w:t>Purchase</w:t>
      </w:r>
      <w:proofErr w:type="spellEnd"/>
      <w:r w:rsidR="000F6CB7" w:rsidRPr="00CD1984">
        <w:rPr>
          <w:rFonts w:ascii="Verdana" w:hAnsi="Verdana" w:cs="Calibri"/>
          <w:b/>
          <w:bCs/>
          <w:sz w:val="20"/>
          <w:szCs w:val="20"/>
        </w:rPr>
        <w:t xml:space="preserve"> </w:t>
      </w:r>
      <w:proofErr w:type="spellStart"/>
      <w:r w:rsidR="000F6CB7" w:rsidRPr="00CD1984">
        <w:rPr>
          <w:rFonts w:ascii="Verdana" w:hAnsi="Verdana" w:cs="Calibri"/>
          <w:b/>
          <w:bCs/>
          <w:sz w:val="20"/>
          <w:szCs w:val="20"/>
        </w:rPr>
        <w:t xml:space="preserve">pour </w:t>
      </w:r>
      <w:proofErr w:type="spellEnd"/>
      <w:r w:rsidR="000F6CB7" w:rsidRPr="00CD1984">
        <w:rPr>
          <w:rFonts w:ascii="Verdana" w:hAnsi="Verdana" w:cs="Calibri"/>
          <w:b/>
          <w:bCs/>
          <w:sz w:val="20"/>
          <w:szCs w:val="20"/>
        </w:rPr>
        <w:t xml:space="preserve">aider les clients à augmenter l’acceptation d’utilisateurs, </w:t>
      </w:r>
      <w:r w:rsidR="00440F8E" w:rsidRPr="00CD1984">
        <w:rPr>
          <w:rFonts w:ascii="Verdana" w:hAnsi="Verdana" w:cs="Calibri"/>
          <w:b/>
          <w:bCs/>
          <w:sz w:val="20"/>
          <w:szCs w:val="20"/>
        </w:rPr>
        <w:t xml:space="preserve">pour </w:t>
      </w:r>
      <w:r w:rsidR="000F6CB7" w:rsidRPr="00CD1984">
        <w:rPr>
          <w:rFonts w:ascii="Verdana" w:hAnsi="Verdana" w:cs="Calibri"/>
          <w:b/>
          <w:bCs/>
          <w:sz w:val="20"/>
          <w:szCs w:val="20"/>
        </w:rPr>
        <w:t>obtenir 100% de visibilité de leurs dépenses et maximiser le rendement sur leurs investissements.</w:t>
      </w:r>
      <w:r w:rsidR="007E4926" w:rsidRPr="00CD1984">
        <w:rPr>
          <w:rFonts w:ascii="Verdana" w:hAnsi="Verdana" w:cs="Calibri"/>
          <w:b/>
          <w:bCs/>
          <w:sz w:val="20"/>
          <w:szCs w:val="20"/>
        </w:rPr>
        <w:t xml:space="preserve"> Cette version amélioré</w:t>
      </w:r>
      <w:r w:rsidR="00440F8E" w:rsidRPr="00CD1984">
        <w:rPr>
          <w:rFonts w:ascii="Verdana" w:hAnsi="Verdana" w:cs="Calibri"/>
          <w:b/>
          <w:bCs/>
          <w:sz w:val="20"/>
          <w:szCs w:val="20"/>
        </w:rPr>
        <w:t>e ajoute deux niveaux</w:t>
      </w:r>
      <w:r w:rsidR="007E4926" w:rsidRPr="00CD1984">
        <w:rPr>
          <w:rFonts w:ascii="Verdana" w:hAnsi="Verdana" w:cs="Calibri"/>
          <w:b/>
          <w:bCs/>
          <w:sz w:val="20"/>
          <w:szCs w:val="20"/>
        </w:rPr>
        <w:t xml:space="preserve"> d’accès d’utilisateur – de façon simplifiée et limitée -, conçus spécialement pour les utilisateurs finaux qui ne sont pas des professionnels d’</w:t>
      </w:r>
      <w:r w:rsidR="00440F8E" w:rsidRPr="00CD1984">
        <w:rPr>
          <w:rFonts w:ascii="Verdana" w:hAnsi="Verdana" w:cs="Calibri"/>
          <w:b/>
          <w:bCs/>
          <w:sz w:val="20"/>
          <w:szCs w:val="20"/>
        </w:rPr>
        <w:t>achat et qui n’utilisent probablement</w:t>
      </w:r>
      <w:r w:rsidR="007E4926" w:rsidRPr="00CD1984">
        <w:rPr>
          <w:rFonts w:ascii="Verdana" w:hAnsi="Verdana" w:cs="Calibri"/>
          <w:b/>
          <w:bCs/>
          <w:sz w:val="20"/>
          <w:szCs w:val="20"/>
        </w:rPr>
        <w:t xml:space="preserve"> la solution que rarement. Chaque catégorie d’utilisateur profite d’une expérience sur mesure qui est en même temps intuitive et simple. </w:t>
      </w:r>
      <w:r w:rsidR="000F6CB7" w:rsidRPr="00CD1984">
        <w:rPr>
          <w:rFonts w:ascii="Verdana" w:hAnsi="Verdana" w:cs="Calibri"/>
          <w:b/>
          <w:bCs/>
          <w:sz w:val="20"/>
          <w:szCs w:val="20"/>
        </w:rPr>
        <w:t xml:space="preserve"> </w:t>
      </w:r>
    </w:p>
    <w:p w14:paraId="62721279" w14:textId="4D3B89D7" w:rsidR="00605C1E" w:rsidRPr="007553CC" w:rsidRDefault="00605C1E" w:rsidP="00605C1E">
      <w:pPr>
        <w:pStyle w:val="Body"/>
        <w:spacing w:after="0" w:line="360" w:lineRule="auto"/>
        <w:rPr>
          <w:rFonts w:ascii="Verdana" w:hAnsi="Verdana"/>
          <w:sz w:val="20"/>
          <w:szCs w:val="20"/>
        </w:rPr>
      </w:pPr>
    </w:p>
    <w:p w14:paraId="3FC27EEB" w14:textId="78E07F1D" w:rsidR="007E4926" w:rsidRPr="00CD1984" w:rsidRDefault="00605C1E" w:rsidP="00605C1E">
      <w:pPr>
        <w:pStyle w:val="Body"/>
        <w:spacing w:after="0" w:line="360" w:lineRule="auto"/>
        <w:rPr>
          <w:rFonts w:ascii="Verdana" w:hAnsi="Verdana"/>
          <w:color w:val="auto"/>
          <w:sz w:val="20"/>
          <w:szCs w:val="20"/>
          <w:lang w:val="fr-FR"/>
        </w:rPr>
      </w:pPr>
      <w:r w:rsidRPr="007553CC">
        <w:rPr>
          <w:rFonts w:ascii="Verdana" w:hAnsi="Verdana"/>
          <w:color w:val="auto"/>
          <w:sz w:val="20"/>
          <w:szCs w:val="20"/>
        </w:rPr>
        <w:t>“</w:t>
      </w:r>
      <w:r w:rsidR="007E4926" w:rsidRPr="007553CC">
        <w:rPr>
          <w:rFonts w:ascii="Verdana" w:hAnsi="Verdana"/>
          <w:color w:val="auto"/>
          <w:sz w:val="20"/>
          <w:szCs w:val="20"/>
        </w:rPr>
        <w:t xml:space="preserve">Il </w:t>
      </w:r>
      <w:proofErr w:type="spellStart"/>
      <w:r w:rsidR="007E4926" w:rsidRPr="007553CC">
        <w:rPr>
          <w:rFonts w:ascii="Verdana" w:hAnsi="Verdana"/>
          <w:color w:val="auto"/>
          <w:sz w:val="20"/>
          <w:szCs w:val="20"/>
        </w:rPr>
        <w:t>est</w:t>
      </w:r>
      <w:proofErr w:type="spellEnd"/>
      <w:r w:rsidR="007E4926" w:rsidRPr="007553CC">
        <w:rPr>
          <w:rFonts w:ascii="Verdana" w:hAnsi="Verdana"/>
          <w:color w:val="auto"/>
          <w:sz w:val="20"/>
          <w:szCs w:val="20"/>
        </w:rPr>
        <w:t xml:space="preserve"> crucial que les </w:t>
      </w:r>
      <w:proofErr w:type="spellStart"/>
      <w:r w:rsidR="007E4926" w:rsidRPr="007553CC">
        <w:rPr>
          <w:rFonts w:ascii="Verdana" w:hAnsi="Verdana"/>
          <w:color w:val="auto"/>
          <w:sz w:val="20"/>
          <w:szCs w:val="20"/>
        </w:rPr>
        <w:t>entreprise</w:t>
      </w:r>
      <w:r w:rsidR="00E34445" w:rsidRPr="007553CC">
        <w:rPr>
          <w:rFonts w:ascii="Verdana" w:hAnsi="Verdana"/>
          <w:color w:val="auto"/>
          <w:sz w:val="20"/>
          <w:szCs w:val="20"/>
        </w:rPr>
        <w:t>s</w:t>
      </w:r>
      <w:proofErr w:type="spellEnd"/>
      <w:r w:rsidR="00E34445" w:rsidRPr="007553CC">
        <w:rPr>
          <w:rFonts w:ascii="Verdana" w:hAnsi="Verdana"/>
          <w:color w:val="auto"/>
          <w:sz w:val="20"/>
          <w:szCs w:val="20"/>
        </w:rPr>
        <w:t xml:space="preserve"> </w:t>
      </w:r>
      <w:proofErr w:type="spellStart"/>
      <w:r w:rsidR="00E34445" w:rsidRPr="007553CC">
        <w:rPr>
          <w:rFonts w:ascii="Verdana" w:hAnsi="Verdana"/>
          <w:color w:val="auto"/>
          <w:sz w:val="20"/>
          <w:szCs w:val="20"/>
        </w:rPr>
        <w:t>rendent</w:t>
      </w:r>
      <w:proofErr w:type="spellEnd"/>
      <w:r w:rsidR="00E34445" w:rsidRPr="007553CC">
        <w:rPr>
          <w:rFonts w:ascii="Verdana" w:hAnsi="Verdana"/>
          <w:color w:val="auto"/>
          <w:sz w:val="20"/>
          <w:szCs w:val="20"/>
        </w:rPr>
        <w:t xml:space="preserve"> la vie de </w:t>
      </w:r>
      <w:proofErr w:type="spellStart"/>
      <w:r w:rsidR="00E34445" w:rsidRPr="007553CC">
        <w:rPr>
          <w:rFonts w:ascii="Verdana" w:hAnsi="Verdana"/>
          <w:color w:val="auto"/>
          <w:sz w:val="20"/>
          <w:szCs w:val="20"/>
        </w:rPr>
        <w:t>leurs</w:t>
      </w:r>
      <w:proofErr w:type="spellEnd"/>
      <w:r w:rsidR="00E34445" w:rsidRPr="007553CC">
        <w:rPr>
          <w:rFonts w:ascii="Verdana" w:hAnsi="Verdana"/>
          <w:color w:val="auto"/>
          <w:sz w:val="20"/>
          <w:szCs w:val="20"/>
        </w:rPr>
        <w:t xml:space="preserve"> </w:t>
      </w:r>
      <w:proofErr w:type="spellStart"/>
      <w:r w:rsidR="00440F8E" w:rsidRPr="007553CC">
        <w:rPr>
          <w:rFonts w:ascii="Verdana" w:hAnsi="Verdana"/>
          <w:color w:val="auto"/>
          <w:sz w:val="20"/>
          <w:szCs w:val="20"/>
        </w:rPr>
        <w:t>travailleurs</w:t>
      </w:r>
      <w:proofErr w:type="spellEnd"/>
      <w:r w:rsidR="00E34445" w:rsidRPr="007553CC">
        <w:rPr>
          <w:rFonts w:ascii="Verdana" w:hAnsi="Verdana"/>
          <w:color w:val="auto"/>
          <w:sz w:val="20"/>
          <w:szCs w:val="20"/>
        </w:rPr>
        <w:t xml:space="preserve"> la plus facile possible </w:t>
      </w:r>
      <w:proofErr w:type="spellStart"/>
      <w:r w:rsidR="00E34445" w:rsidRPr="007553CC">
        <w:rPr>
          <w:rFonts w:ascii="Verdana" w:hAnsi="Verdana"/>
          <w:color w:val="auto"/>
          <w:sz w:val="20"/>
          <w:szCs w:val="20"/>
        </w:rPr>
        <w:t>en</w:t>
      </w:r>
      <w:proofErr w:type="spellEnd"/>
      <w:r w:rsidR="00E34445" w:rsidRPr="007553CC">
        <w:rPr>
          <w:rFonts w:ascii="Verdana" w:hAnsi="Verdana"/>
          <w:color w:val="auto"/>
          <w:sz w:val="20"/>
          <w:szCs w:val="20"/>
        </w:rPr>
        <w:t xml:space="preserve"> </w:t>
      </w:r>
      <w:proofErr w:type="spellStart"/>
      <w:r w:rsidR="00E34445" w:rsidRPr="007553CC">
        <w:rPr>
          <w:rFonts w:ascii="Verdana" w:hAnsi="Verdana"/>
          <w:color w:val="auto"/>
          <w:sz w:val="20"/>
          <w:szCs w:val="20"/>
        </w:rPr>
        <w:t>leur</w:t>
      </w:r>
      <w:proofErr w:type="spellEnd"/>
      <w:r w:rsidR="00E34445" w:rsidRPr="007553CC">
        <w:rPr>
          <w:rFonts w:ascii="Verdana" w:hAnsi="Verdana"/>
          <w:color w:val="auto"/>
          <w:sz w:val="20"/>
          <w:szCs w:val="20"/>
        </w:rPr>
        <w:t xml:space="preserve"> </w:t>
      </w:r>
      <w:proofErr w:type="spellStart"/>
      <w:r w:rsidR="00E34445" w:rsidRPr="007553CC">
        <w:rPr>
          <w:rFonts w:ascii="Verdana" w:hAnsi="Verdana"/>
          <w:color w:val="auto"/>
          <w:sz w:val="20"/>
          <w:szCs w:val="20"/>
        </w:rPr>
        <w:t>permettant</w:t>
      </w:r>
      <w:proofErr w:type="spellEnd"/>
      <w:r w:rsidR="00E34445" w:rsidRPr="007553CC">
        <w:rPr>
          <w:rFonts w:ascii="Verdana" w:hAnsi="Verdana"/>
          <w:color w:val="auto"/>
          <w:sz w:val="20"/>
          <w:szCs w:val="20"/>
        </w:rPr>
        <w:t xml:space="preserve"> </w:t>
      </w:r>
      <w:proofErr w:type="spellStart"/>
      <w:r w:rsidR="00E34445" w:rsidRPr="007553CC">
        <w:rPr>
          <w:rFonts w:ascii="Verdana" w:hAnsi="Verdana"/>
          <w:color w:val="auto"/>
          <w:sz w:val="20"/>
          <w:szCs w:val="20"/>
        </w:rPr>
        <w:t>d’ac</w:t>
      </w:r>
      <w:r w:rsidR="00612342" w:rsidRPr="007553CC">
        <w:rPr>
          <w:rFonts w:ascii="Verdana" w:hAnsi="Verdana"/>
          <w:color w:val="auto"/>
          <w:sz w:val="20"/>
          <w:szCs w:val="20"/>
        </w:rPr>
        <w:t>heter</w:t>
      </w:r>
      <w:proofErr w:type="spellEnd"/>
      <w:r w:rsidR="00612342" w:rsidRPr="007553CC">
        <w:rPr>
          <w:rFonts w:ascii="Verdana" w:hAnsi="Verdana"/>
          <w:color w:val="auto"/>
          <w:sz w:val="20"/>
          <w:szCs w:val="20"/>
        </w:rPr>
        <w:t xml:space="preserve"> des </w:t>
      </w:r>
      <w:proofErr w:type="spellStart"/>
      <w:r w:rsidR="00612342" w:rsidRPr="007553CC">
        <w:rPr>
          <w:rFonts w:ascii="Verdana" w:hAnsi="Verdana"/>
          <w:color w:val="auto"/>
          <w:sz w:val="20"/>
          <w:szCs w:val="20"/>
        </w:rPr>
        <w:t>biens</w:t>
      </w:r>
      <w:proofErr w:type="spellEnd"/>
      <w:r w:rsidR="00612342" w:rsidRPr="007553CC">
        <w:rPr>
          <w:rFonts w:ascii="Verdana" w:hAnsi="Verdana"/>
          <w:color w:val="auto"/>
          <w:sz w:val="20"/>
          <w:szCs w:val="20"/>
        </w:rPr>
        <w:t xml:space="preserve"> et des services</w:t>
      </w:r>
      <w:r w:rsidR="00DA70FF" w:rsidRPr="007553CC">
        <w:rPr>
          <w:rFonts w:ascii="Verdana" w:hAnsi="Verdana"/>
          <w:color w:val="auto"/>
          <w:sz w:val="20"/>
          <w:szCs w:val="20"/>
        </w:rPr>
        <w:t xml:space="preserve"> par le </w:t>
      </w:r>
      <w:proofErr w:type="spellStart"/>
      <w:r w:rsidR="00DA70FF" w:rsidRPr="007553CC">
        <w:rPr>
          <w:rFonts w:ascii="Verdana" w:hAnsi="Verdana"/>
          <w:color w:val="auto"/>
          <w:sz w:val="20"/>
          <w:szCs w:val="20"/>
        </w:rPr>
        <w:t>biais</w:t>
      </w:r>
      <w:proofErr w:type="spellEnd"/>
      <w:r w:rsidR="00DA70FF" w:rsidRPr="007553CC">
        <w:rPr>
          <w:rFonts w:ascii="Verdana" w:hAnsi="Verdana"/>
          <w:color w:val="auto"/>
          <w:sz w:val="20"/>
          <w:szCs w:val="20"/>
        </w:rPr>
        <w:t xml:space="preserve"> de </w:t>
      </w:r>
      <w:proofErr w:type="spellStart"/>
      <w:r w:rsidR="00DA70FF" w:rsidRPr="007553CC">
        <w:rPr>
          <w:rFonts w:ascii="Verdana" w:hAnsi="Verdana"/>
          <w:color w:val="auto"/>
          <w:sz w:val="20"/>
          <w:szCs w:val="20"/>
        </w:rPr>
        <w:t>leur</w:t>
      </w:r>
      <w:proofErr w:type="spellEnd"/>
      <w:r w:rsidR="00DA70FF" w:rsidRPr="007553CC">
        <w:rPr>
          <w:rFonts w:ascii="Verdana" w:hAnsi="Verdana"/>
          <w:color w:val="auto"/>
          <w:sz w:val="20"/>
          <w:szCs w:val="20"/>
        </w:rPr>
        <w:t xml:space="preserve"> </w:t>
      </w:r>
      <w:proofErr w:type="spellStart"/>
      <w:r w:rsidR="00DA70FF" w:rsidRPr="007553CC">
        <w:rPr>
          <w:rFonts w:ascii="Verdana" w:hAnsi="Verdana"/>
          <w:color w:val="auto"/>
          <w:sz w:val="20"/>
          <w:szCs w:val="20"/>
        </w:rPr>
        <w:t>outil</w:t>
      </w:r>
      <w:proofErr w:type="spellEnd"/>
      <w:r w:rsidR="00DA70FF" w:rsidRPr="007553CC">
        <w:rPr>
          <w:rFonts w:ascii="Verdana" w:hAnsi="Verdana"/>
          <w:color w:val="auto"/>
          <w:sz w:val="20"/>
          <w:szCs w:val="20"/>
        </w:rPr>
        <w:t xml:space="preserve"> </w:t>
      </w:r>
      <w:proofErr w:type="spellStart"/>
      <w:r w:rsidR="00DA70FF" w:rsidRPr="007553CC">
        <w:rPr>
          <w:rFonts w:ascii="Verdana" w:hAnsi="Verdana"/>
          <w:color w:val="auto"/>
          <w:sz w:val="20"/>
          <w:szCs w:val="20"/>
        </w:rPr>
        <w:t>d’achat</w:t>
      </w:r>
      <w:proofErr w:type="spellEnd"/>
      <w:r w:rsidR="00DA70FF" w:rsidRPr="007553CC">
        <w:rPr>
          <w:rFonts w:ascii="Verdana" w:hAnsi="Verdana"/>
          <w:color w:val="auto"/>
          <w:sz w:val="20"/>
          <w:szCs w:val="20"/>
        </w:rPr>
        <w:t xml:space="preserve">”, </w:t>
      </w:r>
      <w:proofErr w:type="spellStart"/>
      <w:r w:rsidR="00DA70FF" w:rsidRPr="007553CC">
        <w:rPr>
          <w:rFonts w:ascii="Verdana" w:hAnsi="Verdana"/>
          <w:color w:val="auto"/>
          <w:sz w:val="20"/>
          <w:szCs w:val="20"/>
        </w:rPr>
        <w:t>dit</w:t>
      </w:r>
      <w:proofErr w:type="spellEnd"/>
      <w:r w:rsidR="00DA70FF" w:rsidRPr="007553CC">
        <w:rPr>
          <w:rFonts w:ascii="Verdana" w:hAnsi="Verdana"/>
          <w:color w:val="auto"/>
          <w:sz w:val="20"/>
          <w:szCs w:val="20"/>
        </w:rPr>
        <w:t xml:space="preserve"> Dany De </w:t>
      </w:r>
      <w:proofErr w:type="spellStart"/>
      <w:r w:rsidR="00DA70FF" w:rsidRPr="007553CC">
        <w:rPr>
          <w:rFonts w:ascii="Verdana" w:hAnsi="Verdana"/>
          <w:color w:val="auto"/>
          <w:sz w:val="20"/>
          <w:szCs w:val="20"/>
        </w:rPr>
        <w:t>Budt</w:t>
      </w:r>
      <w:proofErr w:type="spellEnd"/>
      <w:r w:rsidR="00DA70FF" w:rsidRPr="007553CC">
        <w:rPr>
          <w:rFonts w:ascii="Verdana" w:hAnsi="Verdana"/>
          <w:color w:val="auto"/>
          <w:sz w:val="20"/>
          <w:szCs w:val="20"/>
        </w:rPr>
        <w:t xml:space="preserve">, Manager Pays chez Basware. </w:t>
      </w:r>
      <w:r w:rsidR="00DA70FF" w:rsidRPr="00CD1984">
        <w:rPr>
          <w:rFonts w:ascii="Verdana" w:hAnsi="Verdana"/>
          <w:color w:val="auto"/>
          <w:sz w:val="20"/>
          <w:szCs w:val="20"/>
          <w:lang w:val="fr-FR"/>
        </w:rPr>
        <w:t>“Plus l’outil et l’</w:t>
      </w:r>
      <w:r w:rsidR="00440F8E" w:rsidRPr="00CD1984">
        <w:rPr>
          <w:rFonts w:ascii="Verdana" w:hAnsi="Verdana"/>
          <w:color w:val="auto"/>
          <w:sz w:val="20"/>
          <w:szCs w:val="20"/>
          <w:lang w:val="fr-FR"/>
        </w:rPr>
        <w:t>expérience sont pertinent</w:t>
      </w:r>
      <w:r w:rsidR="00DA70FF" w:rsidRPr="00CD1984">
        <w:rPr>
          <w:rFonts w:ascii="Verdana" w:hAnsi="Verdana"/>
          <w:color w:val="auto"/>
          <w:sz w:val="20"/>
          <w:szCs w:val="20"/>
          <w:lang w:val="fr-FR"/>
        </w:rPr>
        <w:t xml:space="preserve">s et adaptés pour les différents types d’utilisateurs, plus la chance est grande que les utilisateurs feront appel </w:t>
      </w:r>
      <w:r w:rsidR="00D97A25" w:rsidRPr="00CD1984">
        <w:rPr>
          <w:rFonts w:ascii="Verdana" w:hAnsi="Verdana"/>
          <w:color w:val="auto"/>
          <w:sz w:val="20"/>
          <w:szCs w:val="20"/>
          <w:lang w:val="fr-FR"/>
        </w:rPr>
        <w:t>au système et se tiendront à la politique et le processus d’achat de l’entreprise. Sans 100% d’acceptation d’ut</w:t>
      </w:r>
      <w:r w:rsidR="00440F8E" w:rsidRPr="00CD1984">
        <w:rPr>
          <w:rFonts w:ascii="Verdana" w:hAnsi="Verdana"/>
          <w:color w:val="auto"/>
          <w:sz w:val="20"/>
          <w:szCs w:val="20"/>
          <w:lang w:val="fr-FR"/>
        </w:rPr>
        <w:t>i</w:t>
      </w:r>
      <w:r w:rsidR="00D97A25" w:rsidRPr="00CD1984">
        <w:rPr>
          <w:rFonts w:ascii="Verdana" w:hAnsi="Verdana"/>
          <w:color w:val="auto"/>
          <w:sz w:val="20"/>
          <w:szCs w:val="20"/>
          <w:lang w:val="fr-FR"/>
        </w:rPr>
        <w:t>lisateur les organisations n’ont pas la possibilité d’obtenir une enti</w:t>
      </w:r>
      <w:r w:rsidR="007236A2" w:rsidRPr="00CD1984">
        <w:rPr>
          <w:rFonts w:ascii="Verdana" w:hAnsi="Verdana"/>
          <w:color w:val="auto"/>
          <w:sz w:val="20"/>
          <w:szCs w:val="20"/>
          <w:lang w:val="fr-FR"/>
        </w:rPr>
        <w:t>è</w:t>
      </w:r>
      <w:r w:rsidR="00D97A25" w:rsidRPr="00CD1984">
        <w:rPr>
          <w:rFonts w:ascii="Verdana" w:hAnsi="Verdana"/>
          <w:color w:val="auto"/>
          <w:sz w:val="20"/>
          <w:szCs w:val="20"/>
          <w:lang w:val="fr-FR"/>
        </w:rPr>
        <w:t xml:space="preserve">re </w:t>
      </w:r>
      <w:r w:rsidR="00440F8E" w:rsidRPr="00CD1984">
        <w:rPr>
          <w:rFonts w:ascii="Verdana" w:hAnsi="Verdana"/>
          <w:color w:val="auto"/>
          <w:sz w:val="20"/>
          <w:szCs w:val="20"/>
          <w:lang w:val="fr-FR"/>
        </w:rPr>
        <w:t>visibilité des dépense</w:t>
      </w:r>
      <w:r w:rsidR="00D97A25" w:rsidRPr="00CD1984">
        <w:rPr>
          <w:rFonts w:ascii="Verdana" w:hAnsi="Verdana"/>
          <w:color w:val="auto"/>
          <w:sz w:val="20"/>
          <w:szCs w:val="20"/>
          <w:lang w:val="fr-FR"/>
        </w:rPr>
        <w:t xml:space="preserve">s, parce que les transactions plutôt anormales ne peuvent pas être tracées. </w:t>
      </w:r>
      <w:r w:rsidR="007236A2" w:rsidRPr="00CD1984">
        <w:rPr>
          <w:rFonts w:ascii="Verdana" w:hAnsi="Verdana"/>
          <w:color w:val="auto"/>
          <w:sz w:val="20"/>
          <w:szCs w:val="20"/>
          <w:lang w:val="fr-FR"/>
        </w:rPr>
        <w:t>En outre, cette visibilité complète signifie un énorme avantage concurrentiel. A cet e</w:t>
      </w:r>
      <w:r w:rsidR="00440F8E" w:rsidRPr="00CD1984">
        <w:rPr>
          <w:rFonts w:ascii="Verdana" w:hAnsi="Verdana"/>
          <w:color w:val="auto"/>
          <w:sz w:val="20"/>
          <w:szCs w:val="20"/>
          <w:lang w:val="fr-FR"/>
        </w:rPr>
        <w:t>ffet nous avons créé des niveaux</w:t>
      </w:r>
      <w:r w:rsidR="007236A2" w:rsidRPr="00CD1984">
        <w:rPr>
          <w:rFonts w:ascii="Verdana" w:hAnsi="Verdana"/>
          <w:color w:val="auto"/>
          <w:sz w:val="20"/>
          <w:szCs w:val="20"/>
          <w:lang w:val="fr-FR"/>
        </w:rPr>
        <w:t xml:space="preserve"> d’accès supplémentaires pour les utilisateurs dans notre solution d’achat.</w:t>
      </w:r>
      <w:r w:rsidR="00440F8E" w:rsidRPr="00CD1984">
        <w:rPr>
          <w:rFonts w:ascii="Verdana" w:hAnsi="Verdana"/>
          <w:color w:val="auto"/>
          <w:sz w:val="20"/>
          <w:szCs w:val="20"/>
          <w:lang w:val="fr-FR"/>
        </w:rPr>
        <w:t> »</w:t>
      </w:r>
    </w:p>
    <w:p w14:paraId="1F2708C1" w14:textId="37879454" w:rsidR="00605C1E" w:rsidRPr="007553CC" w:rsidRDefault="00605C1E" w:rsidP="00605C1E">
      <w:pPr>
        <w:spacing w:line="360" w:lineRule="auto"/>
        <w:rPr>
          <w:rFonts w:ascii="Verdana" w:eastAsia="Calibri" w:hAnsi="Verdana" w:cs="Calibri"/>
          <w:color w:val="000000"/>
          <w:sz w:val="20"/>
          <w:szCs w:val="20"/>
          <w:u w:color="000000"/>
        </w:rPr>
      </w:pPr>
    </w:p>
    <w:p w14:paraId="55F5B4DD" w14:textId="01F90868" w:rsidR="00AA3BA1" w:rsidRPr="00CD1984" w:rsidRDefault="00605C1E" w:rsidP="00605C1E">
      <w:pPr>
        <w:spacing w:line="360" w:lineRule="auto"/>
        <w:rPr>
          <w:rFonts w:ascii="Verdana" w:eastAsia="Calibri" w:hAnsi="Verdana" w:cs="Calibri"/>
          <w:sz w:val="20"/>
          <w:szCs w:val="20"/>
          <w:u w:color="000000"/>
        </w:rPr>
      </w:pPr>
      <w:proofErr w:type="spellStart"/>
      <w:r w:rsidRPr="00CD1984">
        <w:rPr>
          <w:rFonts w:ascii="Verdana" w:eastAsia="Calibri" w:hAnsi="Verdana" w:cs="Calibri"/>
          <w:sz w:val="20"/>
          <w:szCs w:val="20"/>
          <w:u w:color="000000"/>
        </w:rPr>
        <w:t>Basware</w:t>
      </w:r>
      <w:proofErr w:type="spellEnd"/>
      <w:r w:rsidRPr="00CD1984">
        <w:rPr>
          <w:rFonts w:ascii="Verdana" w:eastAsia="Calibri" w:hAnsi="Verdana" w:cs="Calibri"/>
          <w:sz w:val="20"/>
          <w:szCs w:val="20"/>
          <w:u w:color="000000"/>
        </w:rPr>
        <w:t xml:space="preserve"> </w:t>
      </w:r>
      <w:proofErr w:type="spellStart"/>
      <w:r w:rsidRPr="00CD1984">
        <w:rPr>
          <w:rFonts w:ascii="Verdana" w:eastAsia="Calibri" w:hAnsi="Verdana" w:cs="Calibri"/>
          <w:sz w:val="20"/>
          <w:szCs w:val="20"/>
          <w:u w:color="000000"/>
        </w:rPr>
        <w:t>Purchase</w:t>
      </w:r>
      <w:proofErr w:type="spellEnd"/>
      <w:r w:rsidRPr="00CD1984">
        <w:rPr>
          <w:rFonts w:ascii="Verdana" w:eastAsia="Calibri" w:hAnsi="Verdana" w:cs="Calibri"/>
          <w:sz w:val="20"/>
          <w:szCs w:val="20"/>
          <w:u w:color="000000"/>
        </w:rPr>
        <w:t xml:space="preserve"> </w:t>
      </w:r>
      <w:r w:rsidR="00AA3BA1" w:rsidRPr="00CD1984">
        <w:rPr>
          <w:rFonts w:ascii="Verdana" w:eastAsia="Calibri" w:hAnsi="Verdana" w:cs="Calibri"/>
          <w:sz w:val="20"/>
          <w:szCs w:val="20"/>
          <w:u w:color="000000"/>
        </w:rPr>
        <w:t xml:space="preserve">a simplifié également les démarches que les utilisateurs occasionnels souhaitant acheter quelque chose doivent suivre pour naviguer dans le système. Les utilisateurs occasionnels sont des utilisateurs finaux qui ne doivent pas souvent commander des services ou des produits et qui ne sont donc pas nécessairement </w:t>
      </w:r>
      <w:r w:rsidR="00A94199" w:rsidRPr="00CD1984">
        <w:rPr>
          <w:rFonts w:ascii="Verdana" w:eastAsia="Calibri" w:hAnsi="Verdana" w:cs="Calibri"/>
          <w:sz w:val="20"/>
          <w:szCs w:val="20"/>
          <w:u w:color="000000"/>
        </w:rPr>
        <w:t>familiarisé</w:t>
      </w:r>
      <w:r w:rsidR="00AA3BA1" w:rsidRPr="00CD1984">
        <w:rPr>
          <w:rFonts w:ascii="Verdana" w:eastAsia="Calibri" w:hAnsi="Verdana" w:cs="Calibri"/>
          <w:sz w:val="20"/>
          <w:szCs w:val="20"/>
          <w:u w:color="000000"/>
        </w:rPr>
        <w:t>s avec toutes les fonctionnalités disponibles, ou ils n’en ont pas besoin.</w:t>
      </w:r>
      <w:r w:rsidR="00A94199" w:rsidRPr="00CD1984">
        <w:rPr>
          <w:rFonts w:ascii="Verdana" w:eastAsia="Calibri" w:hAnsi="Verdana" w:cs="Calibri"/>
          <w:sz w:val="20"/>
          <w:szCs w:val="20"/>
          <w:u w:color="000000"/>
        </w:rPr>
        <w:t xml:space="preserve"> Avec la nouvelle fonction </w:t>
      </w:r>
      <w:r w:rsidR="00A94199" w:rsidRPr="00CD1984">
        <w:rPr>
          <w:rFonts w:ascii="Verdana" w:eastAsia="Calibri" w:hAnsi="Verdana" w:cs="Calibri"/>
          <w:sz w:val="20"/>
          <w:szCs w:val="20"/>
          <w:u w:color="000000"/>
        </w:rPr>
        <w:lastRenderedPageBreak/>
        <w:t xml:space="preserve">d’achat ils peuvent commander des articles de chaque canal, obtenir l’approbation </w:t>
      </w:r>
      <w:proofErr w:type="gramStart"/>
      <w:r w:rsidR="00A94199" w:rsidRPr="00CD1984">
        <w:rPr>
          <w:rFonts w:ascii="Verdana" w:eastAsia="Calibri" w:hAnsi="Verdana" w:cs="Calibri"/>
          <w:sz w:val="20"/>
          <w:szCs w:val="20"/>
          <w:u w:color="000000"/>
        </w:rPr>
        <w:t xml:space="preserve">et </w:t>
      </w:r>
      <w:r w:rsidR="00AA3BA1" w:rsidRPr="00CD1984">
        <w:rPr>
          <w:rFonts w:ascii="Verdana" w:eastAsia="Calibri" w:hAnsi="Verdana" w:cs="Calibri"/>
          <w:sz w:val="20"/>
          <w:szCs w:val="20"/>
          <w:u w:color="000000"/>
        </w:rPr>
        <w:t xml:space="preserve"> </w:t>
      </w:r>
      <w:r w:rsidR="00A94199" w:rsidRPr="00CD1984">
        <w:rPr>
          <w:rFonts w:ascii="Verdana" w:eastAsia="Calibri" w:hAnsi="Verdana" w:cs="Calibri"/>
          <w:sz w:val="20"/>
          <w:szCs w:val="20"/>
          <w:u w:color="000000"/>
        </w:rPr>
        <w:t>recevoir</w:t>
      </w:r>
      <w:proofErr w:type="gramEnd"/>
      <w:r w:rsidR="00A94199" w:rsidRPr="00CD1984">
        <w:rPr>
          <w:rFonts w:ascii="Verdana" w:eastAsia="Calibri" w:hAnsi="Verdana" w:cs="Calibri"/>
          <w:sz w:val="20"/>
          <w:szCs w:val="20"/>
          <w:u w:color="000000"/>
        </w:rPr>
        <w:t xml:space="preserve"> les articles plus facilement. Ainsi l’acceptation client est stimulée davantage encore. </w:t>
      </w:r>
      <w:r w:rsidR="00AA3BA1" w:rsidRPr="00CD1984">
        <w:rPr>
          <w:rFonts w:ascii="Verdana" w:eastAsia="Calibri" w:hAnsi="Verdana" w:cs="Calibri"/>
          <w:sz w:val="20"/>
          <w:szCs w:val="20"/>
          <w:u w:color="000000"/>
        </w:rPr>
        <w:t xml:space="preserve"> </w:t>
      </w:r>
    </w:p>
    <w:p w14:paraId="63BC6B63" w14:textId="4E708F2E" w:rsidR="00605C1E" w:rsidRPr="007553CC" w:rsidRDefault="00605C1E" w:rsidP="00605C1E">
      <w:pPr>
        <w:spacing w:line="360" w:lineRule="auto"/>
        <w:rPr>
          <w:rFonts w:ascii="Verdana" w:eastAsia="Calibri" w:hAnsi="Verdana" w:cs="Calibri"/>
          <w:sz w:val="20"/>
          <w:szCs w:val="20"/>
          <w:u w:color="000000"/>
          <w:lang w:val="en-US"/>
        </w:rPr>
      </w:pPr>
    </w:p>
    <w:p w14:paraId="49C43022" w14:textId="626BA769" w:rsidR="00A94199" w:rsidRPr="00CD1984" w:rsidRDefault="00A94199" w:rsidP="00605C1E">
      <w:pPr>
        <w:spacing w:line="360" w:lineRule="auto"/>
        <w:rPr>
          <w:rFonts w:ascii="Verdana" w:eastAsia="Calibri" w:hAnsi="Verdana" w:cs="Calibri"/>
          <w:sz w:val="20"/>
          <w:szCs w:val="20"/>
          <w:u w:color="000000"/>
        </w:rPr>
      </w:pPr>
      <w:r w:rsidRPr="00CD1984">
        <w:rPr>
          <w:rFonts w:ascii="Verdana" w:eastAsia="Calibri" w:hAnsi="Verdana" w:cs="Calibri"/>
          <w:sz w:val="20"/>
          <w:szCs w:val="20"/>
          <w:u w:color="000000"/>
        </w:rPr>
        <w:t xml:space="preserve">La fonction d’achat limitée par contre est destinée à des entrepreneurs et des sous-traitants qui ne sont pas clients de </w:t>
      </w:r>
      <w:proofErr w:type="spellStart"/>
      <w:r w:rsidRPr="00CD1984">
        <w:rPr>
          <w:rFonts w:ascii="Verdana" w:eastAsia="Calibri" w:hAnsi="Verdana" w:cs="Calibri"/>
          <w:sz w:val="20"/>
          <w:szCs w:val="20"/>
          <w:u w:color="000000"/>
        </w:rPr>
        <w:t>Basware</w:t>
      </w:r>
      <w:proofErr w:type="spellEnd"/>
      <w:r w:rsidRPr="00CD1984">
        <w:rPr>
          <w:rFonts w:ascii="Verdana" w:eastAsia="Calibri" w:hAnsi="Verdana" w:cs="Calibri"/>
          <w:sz w:val="20"/>
          <w:szCs w:val="20"/>
          <w:u w:color="000000"/>
        </w:rPr>
        <w:t xml:space="preserve">, mais qui doivent bel et bien acheter des articles. Le plus grand avantage d’achats limités est que même ces clients peuvent parcourir les mêmes canaux préférentiels que les employés, mais qu’ils ne peuvent pas voir d’informations de prix pendant chaque étape de la procédure d’achat. </w:t>
      </w:r>
    </w:p>
    <w:p w14:paraId="3744C4C4" w14:textId="643D6672" w:rsidR="00605C1E" w:rsidRPr="007553CC" w:rsidRDefault="00605C1E" w:rsidP="00605C1E">
      <w:pPr>
        <w:spacing w:line="360" w:lineRule="auto"/>
        <w:rPr>
          <w:rFonts w:ascii="Verdana" w:eastAsia="Calibri" w:hAnsi="Verdana" w:cs="Calibri"/>
          <w:sz w:val="20"/>
          <w:szCs w:val="20"/>
          <w:u w:color="000000"/>
          <w:lang w:val="en-US"/>
        </w:rPr>
      </w:pPr>
    </w:p>
    <w:p w14:paraId="57025F07" w14:textId="7C81C482" w:rsidR="00A94199" w:rsidRPr="00CD1984" w:rsidRDefault="00A94199" w:rsidP="00605C1E">
      <w:pPr>
        <w:spacing w:line="360" w:lineRule="auto"/>
        <w:rPr>
          <w:rFonts w:ascii="Verdana" w:eastAsia="Calibri" w:hAnsi="Verdana" w:cs="Calibri"/>
          <w:sz w:val="20"/>
          <w:szCs w:val="20"/>
          <w:u w:color="000000"/>
        </w:rPr>
      </w:pPr>
      <w:r w:rsidRPr="00CD1984">
        <w:rPr>
          <w:rFonts w:ascii="Verdana" w:eastAsia="Calibri" w:hAnsi="Verdana" w:cs="Calibri"/>
          <w:sz w:val="20"/>
          <w:szCs w:val="20"/>
          <w:u w:color="000000"/>
        </w:rPr>
        <w:t xml:space="preserve">Avec cette nouvelle fonctionnalité </w:t>
      </w:r>
      <w:proofErr w:type="spellStart"/>
      <w:r w:rsidRPr="00CD1984">
        <w:rPr>
          <w:rFonts w:ascii="Verdana" w:eastAsia="Calibri" w:hAnsi="Verdana" w:cs="Calibri"/>
          <w:sz w:val="20"/>
          <w:szCs w:val="20"/>
          <w:u w:color="000000"/>
        </w:rPr>
        <w:t>Basware</w:t>
      </w:r>
      <w:proofErr w:type="spellEnd"/>
      <w:r w:rsidRPr="00CD1984">
        <w:rPr>
          <w:rFonts w:ascii="Verdana" w:eastAsia="Calibri" w:hAnsi="Verdana" w:cs="Calibri"/>
          <w:sz w:val="20"/>
          <w:szCs w:val="20"/>
          <w:u w:color="000000"/>
        </w:rPr>
        <w:t xml:space="preserve"> permet à ses clients de réduire leurs dépenses et de stimuler 100% </w:t>
      </w:r>
      <w:r w:rsidR="001928D5" w:rsidRPr="00CD1984">
        <w:rPr>
          <w:rFonts w:ascii="Verdana" w:eastAsia="Calibri" w:hAnsi="Verdana" w:cs="Calibri"/>
          <w:sz w:val="20"/>
          <w:szCs w:val="20"/>
          <w:u w:color="000000"/>
        </w:rPr>
        <w:t xml:space="preserve">d’acceptation client qui garantit une entière visibilité des dépenses. En même temps les fixations de prix, négociées par l’entreprise et confidentielles, sont protégées. </w:t>
      </w:r>
    </w:p>
    <w:p w14:paraId="0E91F62D" w14:textId="0ABED941" w:rsidR="00B65703" w:rsidRPr="00CD1984" w:rsidRDefault="00B65703" w:rsidP="00605C1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Calibri" w:hAnsi="Verdana" w:cs="Calibri"/>
          <w:sz w:val="20"/>
          <w:szCs w:val="20"/>
          <w:u w:color="000000"/>
        </w:rPr>
      </w:pPr>
    </w:p>
    <w:p w14:paraId="195CBAAC" w14:textId="67D739C0" w:rsidR="001928D5" w:rsidRPr="00CD1984" w:rsidRDefault="001928D5" w:rsidP="00605C1E">
      <w:pPr>
        <w:pStyle w:val="Body"/>
        <w:spacing w:after="0" w:line="360" w:lineRule="auto"/>
        <w:rPr>
          <w:rFonts w:ascii="Verdana" w:hAnsi="Verdana"/>
          <w:color w:val="auto"/>
          <w:sz w:val="20"/>
          <w:szCs w:val="20"/>
          <w:lang w:val="fr-FR"/>
        </w:rPr>
      </w:pPr>
      <w:r w:rsidRPr="00CD1984">
        <w:rPr>
          <w:rFonts w:ascii="Verdana" w:hAnsi="Verdana"/>
          <w:color w:val="auto"/>
          <w:sz w:val="20"/>
          <w:szCs w:val="20"/>
          <w:lang w:val="fr-FR"/>
        </w:rPr>
        <w:t xml:space="preserve">Pour de plus amples informations, visitez notre blog concernant ces améliorations. </w:t>
      </w:r>
    </w:p>
    <w:p w14:paraId="545D9DA9" w14:textId="1A588621" w:rsidR="00E201F7" w:rsidRDefault="00E201F7" w:rsidP="00605C1E">
      <w:pPr>
        <w:pStyle w:val="Body"/>
        <w:spacing w:after="0" w:line="360" w:lineRule="auto"/>
        <w:rPr>
          <w:rFonts w:ascii="Verdana" w:hAnsi="Verdana"/>
          <w:color w:val="auto"/>
          <w:sz w:val="20"/>
          <w:szCs w:val="20"/>
        </w:rPr>
      </w:pPr>
    </w:p>
    <w:p w14:paraId="17F57A0C" w14:textId="77777777" w:rsidR="007553CC" w:rsidRPr="00B73FEF" w:rsidRDefault="007553CC" w:rsidP="007553CC">
      <w:pPr>
        <w:pStyle w:val="Normaalweb"/>
        <w:suppressAutoHyphens/>
        <w:spacing w:before="0" w:beforeAutospacing="0" w:after="0" w:afterAutospacing="0" w:line="360" w:lineRule="auto"/>
        <w:rPr>
          <w:rStyle w:val="Hyperlink"/>
          <w:rFonts w:ascii="Calibri" w:hAnsi="Calibri" w:cs="Calibri"/>
        </w:rPr>
      </w:pPr>
      <w:r w:rsidRPr="00B73FEF">
        <w:rPr>
          <w:rFonts w:ascii="Calibri" w:hAnsi="Calibri" w:cs="Calibri"/>
          <w:b/>
        </w:rPr>
        <w:t xml:space="preserve">À propos de </w:t>
      </w:r>
      <w:proofErr w:type="spellStart"/>
      <w:r w:rsidRPr="00B73FEF">
        <w:rPr>
          <w:rFonts w:ascii="Calibri" w:hAnsi="Calibri" w:cs="Calibri"/>
          <w:b/>
        </w:rPr>
        <w:t>Basware</w:t>
      </w:r>
      <w:proofErr w:type="spellEnd"/>
      <w:r w:rsidRPr="00B73FEF">
        <w:rPr>
          <w:rFonts w:ascii="Calibri" w:hAnsi="Calibri" w:cs="Calibri"/>
          <w:b/>
        </w:rPr>
        <w:br/>
      </w:r>
      <w:proofErr w:type="spellStart"/>
      <w:r w:rsidRPr="00B73FEF">
        <w:rPr>
          <w:rFonts w:ascii="Calibri" w:hAnsi="Calibri" w:cs="Calibri"/>
        </w:rPr>
        <w:t>Basware</w:t>
      </w:r>
      <w:proofErr w:type="spellEnd"/>
      <w:r w:rsidRPr="00B73FEF">
        <w:rPr>
          <w:rFonts w:ascii="Calibri" w:hAnsi="Calibri" w:cs="Calibri"/>
        </w:rPr>
        <w:t xml:space="preserve"> est un fournisseur influent de solutions P2P en réseaux, de e-facturation et de services financiers innovants. Le réseau commercial et financier de </w:t>
      </w:r>
      <w:proofErr w:type="spellStart"/>
      <w:r w:rsidRPr="00B73FEF">
        <w:rPr>
          <w:rFonts w:ascii="Calibri" w:hAnsi="Calibri" w:cs="Calibri"/>
        </w:rPr>
        <w:t>Basware</w:t>
      </w:r>
      <w:proofErr w:type="spellEnd"/>
      <w:r w:rsidRPr="00B73FEF">
        <w:rPr>
          <w:rFonts w:ascii="Calibri" w:hAnsi="Calibri" w:cs="Calibri"/>
        </w:rPr>
        <w:t xml:space="preserve"> et présent dans plus de 100 pays et relie des entreprises dans le monde entier. </w:t>
      </w:r>
      <w:proofErr w:type="spellStart"/>
      <w:r w:rsidRPr="00B73FEF">
        <w:rPr>
          <w:rFonts w:ascii="Calibri" w:hAnsi="Calibri" w:cs="Calibri"/>
        </w:rPr>
        <w:t>Basware</w:t>
      </w:r>
      <w:proofErr w:type="spellEnd"/>
      <w:r w:rsidRPr="00B73FEF">
        <w:rPr>
          <w:rFonts w:ascii="Calibri" w:hAnsi="Calibri" w:cs="Calibri"/>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8" w:history="1">
        <w:r w:rsidRPr="002423A5">
          <w:rPr>
            <w:rStyle w:val="Hyperlink"/>
            <w:rFonts w:ascii="Calibri" w:hAnsi="Calibri" w:cs="Calibri"/>
          </w:rPr>
          <w:t>www.basware.be</w:t>
        </w:r>
      </w:hyperlink>
    </w:p>
    <w:p w14:paraId="511E7182" w14:textId="77777777" w:rsidR="007553CC" w:rsidRPr="007553CC" w:rsidRDefault="007553CC" w:rsidP="00605C1E">
      <w:pPr>
        <w:pStyle w:val="Body"/>
        <w:spacing w:after="0" w:line="360" w:lineRule="auto"/>
        <w:rPr>
          <w:rFonts w:ascii="Verdana" w:hAnsi="Verdana"/>
          <w:color w:val="auto"/>
          <w:sz w:val="20"/>
          <w:szCs w:val="20"/>
        </w:rPr>
      </w:pPr>
    </w:p>
    <w:p w14:paraId="019D7A95" w14:textId="77777777" w:rsidR="00605C1E" w:rsidRPr="007553CC" w:rsidRDefault="00605C1E" w:rsidP="00605C1E">
      <w:pPr>
        <w:pStyle w:val="Body"/>
        <w:spacing w:after="0" w:line="360" w:lineRule="auto"/>
        <w:rPr>
          <w:rFonts w:ascii="Verdana" w:hAnsi="Verdana"/>
          <w:sz w:val="20"/>
          <w:szCs w:val="20"/>
        </w:rPr>
      </w:pPr>
    </w:p>
    <w:p w14:paraId="5F677E63" w14:textId="1DCCD56C" w:rsidR="00605C1E" w:rsidRPr="004E27E2" w:rsidRDefault="001928D5" w:rsidP="00605C1E">
      <w:pPr>
        <w:suppressAutoHyphens/>
        <w:spacing w:line="360" w:lineRule="auto"/>
        <w:rPr>
          <w:rFonts w:ascii="Verdana" w:hAnsi="Verdana" w:cs="Calibri"/>
          <w:b/>
          <w:sz w:val="20"/>
          <w:szCs w:val="20"/>
          <w:lang w:val="en-US"/>
        </w:rPr>
      </w:pPr>
      <w:proofErr w:type="spellStart"/>
      <w:r w:rsidRPr="00CD1984">
        <w:rPr>
          <w:rFonts w:ascii="Verdana" w:hAnsi="Verdana" w:cs="Calibri"/>
          <w:b/>
          <w:sz w:val="20"/>
          <w:szCs w:val="20"/>
          <w:lang w:val="en-US"/>
        </w:rPr>
        <w:t>Informations</w:t>
      </w:r>
      <w:proofErr w:type="spellEnd"/>
      <w:r w:rsidRPr="00CD1984">
        <w:rPr>
          <w:rFonts w:ascii="Verdana" w:hAnsi="Verdana" w:cs="Calibri"/>
          <w:b/>
          <w:sz w:val="20"/>
          <w:szCs w:val="20"/>
          <w:lang w:val="en-US"/>
        </w:rPr>
        <w:t xml:space="preserve"> pour la </w:t>
      </w:r>
      <w:proofErr w:type="spellStart"/>
      <w:r w:rsidRPr="00CD1984">
        <w:rPr>
          <w:rFonts w:ascii="Verdana" w:hAnsi="Verdana" w:cs="Calibri"/>
          <w:b/>
          <w:sz w:val="20"/>
          <w:szCs w:val="20"/>
          <w:lang w:val="en-US"/>
        </w:rPr>
        <w:t>presse</w:t>
      </w:r>
      <w:proofErr w:type="spellEnd"/>
      <w:r w:rsidR="00605C1E" w:rsidRPr="00CD1984">
        <w:rPr>
          <w:rFonts w:ascii="Verdana" w:hAnsi="Verdana" w:cs="Calibri"/>
          <w:b/>
          <w:sz w:val="20"/>
          <w:szCs w:val="20"/>
          <w:lang w:val="en-US"/>
        </w:rPr>
        <w:br/>
      </w:r>
      <w:r w:rsidR="00605C1E" w:rsidRPr="00CD1984">
        <w:rPr>
          <w:rFonts w:ascii="Verdana" w:hAnsi="Verdana" w:cs="Calibri"/>
          <w:sz w:val="20"/>
          <w:szCs w:val="20"/>
          <w:lang w:val="en-US"/>
        </w:rPr>
        <w:t xml:space="preserve">Square Egg Communications, Sandra Van Hauwaert, </w:t>
      </w:r>
      <w:hyperlink r:id="rId9" w:history="1">
        <w:r w:rsidR="00605C1E" w:rsidRPr="00CD1984">
          <w:rPr>
            <w:rStyle w:val="Hyperlink"/>
            <w:rFonts w:ascii="Verdana" w:hAnsi="Verdana" w:cs="Calibri"/>
            <w:sz w:val="20"/>
            <w:szCs w:val="20"/>
            <w:lang w:val="en-US"/>
          </w:rPr>
          <w:t>sandra@square-egg.be</w:t>
        </w:r>
      </w:hyperlink>
      <w:r w:rsidR="00605C1E" w:rsidRPr="00CD1984">
        <w:rPr>
          <w:rFonts w:ascii="Verdana" w:hAnsi="Verdana" w:cs="Calibri"/>
          <w:sz w:val="20"/>
          <w:szCs w:val="20"/>
          <w:lang w:val="en-US"/>
        </w:rPr>
        <w:t>, GSM 0497251816</w:t>
      </w:r>
    </w:p>
    <w:p w14:paraId="73992871" w14:textId="77777777" w:rsidR="00E10901" w:rsidRPr="004E27E2" w:rsidRDefault="00E10901" w:rsidP="00605C1E">
      <w:pPr>
        <w:pStyle w:val="Body"/>
        <w:spacing w:after="0" w:line="360" w:lineRule="auto"/>
        <w:rPr>
          <w:rFonts w:ascii="Verdana" w:hAnsi="Verdana"/>
          <w:sz w:val="20"/>
          <w:szCs w:val="20"/>
        </w:rPr>
      </w:pPr>
    </w:p>
    <w:sectPr w:rsidR="00E10901" w:rsidRPr="004E27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DAFC" w14:textId="77777777" w:rsidR="007977E9" w:rsidRDefault="007977E9">
      <w:r>
        <w:separator/>
      </w:r>
    </w:p>
  </w:endnote>
  <w:endnote w:type="continuationSeparator" w:id="0">
    <w:p w14:paraId="69DD52F3" w14:textId="77777777" w:rsidR="007977E9" w:rsidRDefault="0079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0952" w14:textId="77777777" w:rsidR="007977E9" w:rsidRDefault="007977E9">
      <w:r>
        <w:separator/>
      </w:r>
    </w:p>
  </w:footnote>
  <w:footnote w:type="continuationSeparator" w:id="0">
    <w:p w14:paraId="637D8988" w14:textId="77777777" w:rsidR="007977E9" w:rsidRDefault="0079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825"/>
    <w:rsid w:val="00076B45"/>
    <w:rsid w:val="0007773B"/>
    <w:rsid w:val="00080E02"/>
    <w:rsid w:val="00086092"/>
    <w:rsid w:val="00086F7D"/>
    <w:rsid w:val="000920B7"/>
    <w:rsid w:val="000921EA"/>
    <w:rsid w:val="00092B9C"/>
    <w:rsid w:val="00095191"/>
    <w:rsid w:val="00096F9C"/>
    <w:rsid w:val="00097589"/>
    <w:rsid w:val="000A08DC"/>
    <w:rsid w:val="000A0CDC"/>
    <w:rsid w:val="000A1281"/>
    <w:rsid w:val="000A1473"/>
    <w:rsid w:val="000A1F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0F6CB7"/>
    <w:rsid w:val="001008A7"/>
    <w:rsid w:val="00100D1E"/>
    <w:rsid w:val="0010108C"/>
    <w:rsid w:val="00101350"/>
    <w:rsid w:val="001016B1"/>
    <w:rsid w:val="00106A6F"/>
    <w:rsid w:val="00110311"/>
    <w:rsid w:val="0011034A"/>
    <w:rsid w:val="00111CB6"/>
    <w:rsid w:val="0011200D"/>
    <w:rsid w:val="001134D4"/>
    <w:rsid w:val="00120C57"/>
    <w:rsid w:val="00121275"/>
    <w:rsid w:val="00132E89"/>
    <w:rsid w:val="00133B96"/>
    <w:rsid w:val="00134D76"/>
    <w:rsid w:val="00137154"/>
    <w:rsid w:val="00137AF5"/>
    <w:rsid w:val="0014150C"/>
    <w:rsid w:val="00141AE9"/>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28D5"/>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7D0D"/>
    <w:rsid w:val="002C0575"/>
    <w:rsid w:val="002C0976"/>
    <w:rsid w:val="002C0B4C"/>
    <w:rsid w:val="002C6F67"/>
    <w:rsid w:val="002D0193"/>
    <w:rsid w:val="002D2EA2"/>
    <w:rsid w:val="002D5724"/>
    <w:rsid w:val="002E09B7"/>
    <w:rsid w:val="002E2B6A"/>
    <w:rsid w:val="002E391E"/>
    <w:rsid w:val="002E4313"/>
    <w:rsid w:val="002E5862"/>
    <w:rsid w:val="002E6312"/>
    <w:rsid w:val="002E6358"/>
    <w:rsid w:val="002E682F"/>
    <w:rsid w:val="002E700F"/>
    <w:rsid w:val="002F04F4"/>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217B8"/>
    <w:rsid w:val="00323340"/>
    <w:rsid w:val="00327EF0"/>
    <w:rsid w:val="003304CB"/>
    <w:rsid w:val="00330AB8"/>
    <w:rsid w:val="00330D38"/>
    <w:rsid w:val="00330DEC"/>
    <w:rsid w:val="00333968"/>
    <w:rsid w:val="00334E5D"/>
    <w:rsid w:val="003351E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6DE"/>
    <w:rsid w:val="003C4730"/>
    <w:rsid w:val="003C6A21"/>
    <w:rsid w:val="003C71C2"/>
    <w:rsid w:val="003D15BC"/>
    <w:rsid w:val="003D5BE8"/>
    <w:rsid w:val="003E1803"/>
    <w:rsid w:val="003E2178"/>
    <w:rsid w:val="003E22F2"/>
    <w:rsid w:val="003E7F0E"/>
    <w:rsid w:val="00400C1E"/>
    <w:rsid w:val="00404BF5"/>
    <w:rsid w:val="00404D35"/>
    <w:rsid w:val="004108B9"/>
    <w:rsid w:val="00416C02"/>
    <w:rsid w:val="00417B21"/>
    <w:rsid w:val="00417CE6"/>
    <w:rsid w:val="004227C9"/>
    <w:rsid w:val="00427E4D"/>
    <w:rsid w:val="00430BD7"/>
    <w:rsid w:val="004331DE"/>
    <w:rsid w:val="00433D92"/>
    <w:rsid w:val="00436A92"/>
    <w:rsid w:val="00436BA0"/>
    <w:rsid w:val="00437EF8"/>
    <w:rsid w:val="00437F35"/>
    <w:rsid w:val="00440F8E"/>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27E2"/>
    <w:rsid w:val="004E40A2"/>
    <w:rsid w:val="004E577D"/>
    <w:rsid w:val="004F1580"/>
    <w:rsid w:val="004F2D8A"/>
    <w:rsid w:val="004F2EB4"/>
    <w:rsid w:val="004F4179"/>
    <w:rsid w:val="00500C40"/>
    <w:rsid w:val="005013B9"/>
    <w:rsid w:val="00502533"/>
    <w:rsid w:val="005037DD"/>
    <w:rsid w:val="00505179"/>
    <w:rsid w:val="005076F5"/>
    <w:rsid w:val="00512EE4"/>
    <w:rsid w:val="005143B1"/>
    <w:rsid w:val="00520707"/>
    <w:rsid w:val="0052175E"/>
    <w:rsid w:val="005219D6"/>
    <w:rsid w:val="00522008"/>
    <w:rsid w:val="00522A30"/>
    <w:rsid w:val="00527150"/>
    <w:rsid w:val="005272DE"/>
    <w:rsid w:val="00527AA0"/>
    <w:rsid w:val="00527B88"/>
    <w:rsid w:val="00530471"/>
    <w:rsid w:val="0053121B"/>
    <w:rsid w:val="0053257C"/>
    <w:rsid w:val="00533B13"/>
    <w:rsid w:val="00534EB4"/>
    <w:rsid w:val="0053624C"/>
    <w:rsid w:val="0054294A"/>
    <w:rsid w:val="00544615"/>
    <w:rsid w:val="005516B0"/>
    <w:rsid w:val="00552BE5"/>
    <w:rsid w:val="00556740"/>
    <w:rsid w:val="00566E2F"/>
    <w:rsid w:val="00567F4E"/>
    <w:rsid w:val="00570E54"/>
    <w:rsid w:val="005720C4"/>
    <w:rsid w:val="0057214F"/>
    <w:rsid w:val="0058283E"/>
    <w:rsid w:val="00582A08"/>
    <w:rsid w:val="0058748F"/>
    <w:rsid w:val="005875E0"/>
    <w:rsid w:val="0059001E"/>
    <w:rsid w:val="00591CD8"/>
    <w:rsid w:val="005925A2"/>
    <w:rsid w:val="0059784A"/>
    <w:rsid w:val="005A2095"/>
    <w:rsid w:val="005A3A06"/>
    <w:rsid w:val="005A7B20"/>
    <w:rsid w:val="005B2229"/>
    <w:rsid w:val="005B30C3"/>
    <w:rsid w:val="005B6247"/>
    <w:rsid w:val="005B66D1"/>
    <w:rsid w:val="005C096D"/>
    <w:rsid w:val="005C1AB4"/>
    <w:rsid w:val="005C2C33"/>
    <w:rsid w:val="005D115C"/>
    <w:rsid w:val="005D2D87"/>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4FA8"/>
    <w:rsid w:val="0060558B"/>
    <w:rsid w:val="00605C1E"/>
    <w:rsid w:val="00606B99"/>
    <w:rsid w:val="00611248"/>
    <w:rsid w:val="00612342"/>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39A3"/>
    <w:rsid w:val="006B3C64"/>
    <w:rsid w:val="006B60EB"/>
    <w:rsid w:val="006C09FD"/>
    <w:rsid w:val="006C1163"/>
    <w:rsid w:val="006C55BF"/>
    <w:rsid w:val="006C74E6"/>
    <w:rsid w:val="006C7A4E"/>
    <w:rsid w:val="006D0910"/>
    <w:rsid w:val="006D354F"/>
    <w:rsid w:val="006E7A7B"/>
    <w:rsid w:val="006E7CF6"/>
    <w:rsid w:val="006F43DD"/>
    <w:rsid w:val="006F7962"/>
    <w:rsid w:val="00703DE7"/>
    <w:rsid w:val="00707374"/>
    <w:rsid w:val="00707BF5"/>
    <w:rsid w:val="0071019E"/>
    <w:rsid w:val="00712C50"/>
    <w:rsid w:val="007147F1"/>
    <w:rsid w:val="0071527B"/>
    <w:rsid w:val="00722B44"/>
    <w:rsid w:val="007236A2"/>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53CC"/>
    <w:rsid w:val="00757D07"/>
    <w:rsid w:val="00757E53"/>
    <w:rsid w:val="0076105B"/>
    <w:rsid w:val="007647A5"/>
    <w:rsid w:val="00764B5B"/>
    <w:rsid w:val="00771268"/>
    <w:rsid w:val="007723BA"/>
    <w:rsid w:val="00774002"/>
    <w:rsid w:val="00774318"/>
    <w:rsid w:val="00775B03"/>
    <w:rsid w:val="00780F85"/>
    <w:rsid w:val="0078204C"/>
    <w:rsid w:val="0078326A"/>
    <w:rsid w:val="007866FB"/>
    <w:rsid w:val="00790A4E"/>
    <w:rsid w:val="0079142E"/>
    <w:rsid w:val="007922A6"/>
    <w:rsid w:val="00792860"/>
    <w:rsid w:val="007929DF"/>
    <w:rsid w:val="00795EBC"/>
    <w:rsid w:val="007977E9"/>
    <w:rsid w:val="007A052A"/>
    <w:rsid w:val="007A31DB"/>
    <w:rsid w:val="007C0F95"/>
    <w:rsid w:val="007C1224"/>
    <w:rsid w:val="007C138D"/>
    <w:rsid w:val="007C27FC"/>
    <w:rsid w:val="007C3D5B"/>
    <w:rsid w:val="007C488B"/>
    <w:rsid w:val="007C5A6B"/>
    <w:rsid w:val="007D1872"/>
    <w:rsid w:val="007D1C68"/>
    <w:rsid w:val="007D3581"/>
    <w:rsid w:val="007D70DE"/>
    <w:rsid w:val="007E3D68"/>
    <w:rsid w:val="007E4926"/>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9D8"/>
    <w:rsid w:val="008D779A"/>
    <w:rsid w:val="008E2280"/>
    <w:rsid w:val="008E7B6F"/>
    <w:rsid w:val="008F0082"/>
    <w:rsid w:val="008F26EA"/>
    <w:rsid w:val="008F67F2"/>
    <w:rsid w:val="008F687B"/>
    <w:rsid w:val="00906012"/>
    <w:rsid w:val="00906137"/>
    <w:rsid w:val="00906C8F"/>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4A83"/>
    <w:rsid w:val="00981BA5"/>
    <w:rsid w:val="00981FFF"/>
    <w:rsid w:val="00985DE1"/>
    <w:rsid w:val="00987837"/>
    <w:rsid w:val="00995F85"/>
    <w:rsid w:val="009A3D6C"/>
    <w:rsid w:val="009A461E"/>
    <w:rsid w:val="009A5593"/>
    <w:rsid w:val="009A560D"/>
    <w:rsid w:val="009B1906"/>
    <w:rsid w:val="009B29B0"/>
    <w:rsid w:val="009B33C6"/>
    <w:rsid w:val="009B3937"/>
    <w:rsid w:val="009B4DFD"/>
    <w:rsid w:val="009B7995"/>
    <w:rsid w:val="009C3952"/>
    <w:rsid w:val="009C5642"/>
    <w:rsid w:val="009C7363"/>
    <w:rsid w:val="009D02EF"/>
    <w:rsid w:val="009D2977"/>
    <w:rsid w:val="009D45A2"/>
    <w:rsid w:val="009D48DA"/>
    <w:rsid w:val="009D70CD"/>
    <w:rsid w:val="009D7303"/>
    <w:rsid w:val="009E2F01"/>
    <w:rsid w:val="009E333E"/>
    <w:rsid w:val="009E455A"/>
    <w:rsid w:val="009E57AA"/>
    <w:rsid w:val="009E6911"/>
    <w:rsid w:val="009F0375"/>
    <w:rsid w:val="009F0B9C"/>
    <w:rsid w:val="009F0F4F"/>
    <w:rsid w:val="009F1904"/>
    <w:rsid w:val="009F27D0"/>
    <w:rsid w:val="009F40F3"/>
    <w:rsid w:val="009F681B"/>
    <w:rsid w:val="00A0071C"/>
    <w:rsid w:val="00A02D8F"/>
    <w:rsid w:val="00A03634"/>
    <w:rsid w:val="00A07248"/>
    <w:rsid w:val="00A07D6F"/>
    <w:rsid w:val="00A101DC"/>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528"/>
    <w:rsid w:val="00A51A4C"/>
    <w:rsid w:val="00A54274"/>
    <w:rsid w:val="00A56DD1"/>
    <w:rsid w:val="00A5761E"/>
    <w:rsid w:val="00A6417C"/>
    <w:rsid w:val="00A6517D"/>
    <w:rsid w:val="00A720E0"/>
    <w:rsid w:val="00A721B0"/>
    <w:rsid w:val="00A72972"/>
    <w:rsid w:val="00A76D17"/>
    <w:rsid w:val="00A77BD7"/>
    <w:rsid w:val="00A813B7"/>
    <w:rsid w:val="00A84207"/>
    <w:rsid w:val="00A8463A"/>
    <w:rsid w:val="00A85361"/>
    <w:rsid w:val="00A90329"/>
    <w:rsid w:val="00A93A2B"/>
    <w:rsid w:val="00A94199"/>
    <w:rsid w:val="00A97BE3"/>
    <w:rsid w:val="00AA023A"/>
    <w:rsid w:val="00AA0340"/>
    <w:rsid w:val="00AA222D"/>
    <w:rsid w:val="00AA23D0"/>
    <w:rsid w:val="00AA3BA1"/>
    <w:rsid w:val="00AA504A"/>
    <w:rsid w:val="00AA5DAC"/>
    <w:rsid w:val="00AB01AA"/>
    <w:rsid w:val="00AB198B"/>
    <w:rsid w:val="00AC1A09"/>
    <w:rsid w:val="00AC254E"/>
    <w:rsid w:val="00AC4485"/>
    <w:rsid w:val="00AC590C"/>
    <w:rsid w:val="00AD3A5B"/>
    <w:rsid w:val="00AD678C"/>
    <w:rsid w:val="00AE45F6"/>
    <w:rsid w:val="00AE4EF5"/>
    <w:rsid w:val="00AE7341"/>
    <w:rsid w:val="00AF2281"/>
    <w:rsid w:val="00AF3E94"/>
    <w:rsid w:val="00AF4795"/>
    <w:rsid w:val="00AF6487"/>
    <w:rsid w:val="00B007BE"/>
    <w:rsid w:val="00B00C4F"/>
    <w:rsid w:val="00B02FD3"/>
    <w:rsid w:val="00B03FB6"/>
    <w:rsid w:val="00B04274"/>
    <w:rsid w:val="00B04AF8"/>
    <w:rsid w:val="00B10CC6"/>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68D2"/>
    <w:rsid w:val="00B8724B"/>
    <w:rsid w:val="00B90390"/>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4BF4"/>
    <w:rsid w:val="00C65831"/>
    <w:rsid w:val="00C706F0"/>
    <w:rsid w:val="00C71EA8"/>
    <w:rsid w:val="00C72B2D"/>
    <w:rsid w:val="00C76237"/>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1984"/>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59E1"/>
    <w:rsid w:val="00D3127F"/>
    <w:rsid w:val="00D33738"/>
    <w:rsid w:val="00D34AEA"/>
    <w:rsid w:val="00D357E2"/>
    <w:rsid w:val="00D36740"/>
    <w:rsid w:val="00D37C8C"/>
    <w:rsid w:val="00D426A8"/>
    <w:rsid w:val="00D4740D"/>
    <w:rsid w:val="00D477AC"/>
    <w:rsid w:val="00D51597"/>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C71"/>
    <w:rsid w:val="00D97A25"/>
    <w:rsid w:val="00DA3601"/>
    <w:rsid w:val="00DA5FCA"/>
    <w:rsid w:val="00DA70FF"/>
    <w:rsid w:val="00DA73D5"/>
    <w:rsid w:val="00DA7F90"/>
    <w:rsid w:val="00DB08BE"/>
    <w:rsid w:val="00DB361E"/>
    <w:rsid w:val="00DB6E03"/>
    <w:rsid w:val="00DC0CF3"/>
    <w:rsid w:val="00DC27AD"/>
    <w:rsid w:val="00DC740E"/>
    <w:rsid w:val="00DD16F9"/>
    <w:rsid w:val="00DD196A"/>
    <w:rsid w:val="00DD2114"/>
    <w:rsid w:val="00DD773E"/>
    <w:rsid w:val="00DE58C5"/>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4445"/>
    <w:rsid w:val="00E35AC0"/>
    <w:rsid w:val="00E35AF1"/>
    <w:rsid w:val="00E40618"/>
    <w:rsid w:val="00E40AD3"/>
    <w:rsid w:val="00E41483"/>
    <w:rsid w:val="00E4283C"/>
    <w:rsid w:val="00E43012"/>
    <w:rsid w:val="00E44605"/>
    <w:rsid w:val="00E44D50"/>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8F"/>
    <w:rsid w:val="00ED5094"/>
    <w:rsid w:val="00ED586A"/>
    <w:rsid w:val="00ED58DF"/>
    <w:rsid w:val="00ED746A"/>
    <w:rsid w:val="00ED7D95"/>
    <w:rsid w:val="00EE0977"/>
    <w:rsid w:val="00EE1604"/>
    <w:rsid w:val="00EE3E8D"/>
    <w:rsid w:val="00EE5148"/>
    <w:rsid w:val="00EE5815"/>
    <w:rsid w:val="00F01770"/>
    <w:rsid w:val="00F01D4F"/>
    <w:rsid w:val="00F0250A"/>
    <w:rsid w:val="00F02CD9"/>
    <w:rsid w:val="00F06930"/>
    <w:rsid w:val="00F0778B"/>
    <w:rsid w:val="00F07DC9"/>
    <w:rsid w:val="00F114FB"/>
    <w:rsid w:val="00F12411"/>
    <w:rsid w:val="00F13710"/>
    <w:rsid w:val="00F13884"/>
    <w:rsid w:val="00F13C3C"/>
    <w:rsid w:val="00F146F4"/>
    <w:rsid w:val="00F159D1"/>
    <w:rsid w:val="00F220D0"/>
    <w:rsid w:val="00F25F66"/>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3B70"/>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val="fr-FR"/>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war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2</cp:revision>
  <dcterms:created xsi:type="dcterms:W3CDTF">2020-02-03T19:30:00Z</dcterms:created>
  <dcterms:modified xsi:type="dcterms:W3CDTF">2020-02-03T19:30:00Z</dcterms:modified>
</cp:coreProperties>
</file>