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C665BB" w:rsidRDefault="00C67A5A" w:rsidP="00B44FE6">
      <w:pPr>
        <w:pStyle w:val="BodyAudi"/>
        <w:ind w:right="-46"/>
        <w:jc w:val="right"/>
        <w:rPr>
          <w:lang w:val="fr-BE"/>
        </w:rPr>
      </w:pPr>
      <w:r w:rsidRPr="00C665BB">
        <w:rPr>
          <w:lang w:val="fr-BE"/>
        </w:rPr>
        <w:t>14</w:t>
      </w:r>
      <w:r w:rsidR="00B44FE6" w:rsidRPr="00C665BB">
        <w:rPr>
          <w:lang w:val="fr-BE"/>
        </w:rPr>
        <w:t xml:space="preserve"> </w:t>
      </w:r>
      <w:r w:rsidRPr="00C665BB">
        <w:rPr>
          <w:lang w:val="fr-BE"/>
        </w:rPr>
        <w:t>janvier</w:t>
      </w:r>
      <w:r w:rsidR="00B44FE6" w:rsidRPr="00C665BB">
        <w:rPr>
          <w:lang w:val="fr-BE"/>
        </w:rPr>
        <w:t xml:space="preserve"> 20</w:t>
      </w:r>
      <w:r w:rsidR="007A7496" w:rsidRPr="00C665BB">
        <w:rPr>
          <w:lang w:val="fr-BE"/>
        </w:rPr>
        <w:t>2</w:t>
      </w:r>
      <w:r w:rsidRPr="00C665BB">
        <w:rPr>
          <w:lang w:val="fr-BE"/>
        </w:rPr>
        <w:t>1</w:t>
      </w:r>
    </w:p>
    <w:p w:rsidR="00B44FE6" w:rsidRPr="00C665BB" w:rsidRDefault="00B44FE6" w:rsidP="00B44FE6">
      <w:pPr>
        <w:pStyle w:val="BodyAudi"/>
        <w:ind w:right="-46"/>
        <w:jc w:val="right"/>
        <w:rPr>
          <w:lang w:val="fr-BE"/>
        </w:rPr>
      </w:pPr>
      <w:r w:rsidRPr="00C665BB">
        <w:rPr>
          <w:lang w:val="fr-BE"/>
        </w:rPr>
        <w:t>A</w:t>
      </w:r>
      <w:r w:rsidR="007A7496" w:rsidRPr="00C665BB">
        <w:rPr>
          <w:lang w:val="fr-BE"/>
        </w:rPr>
        <w:t>2</w:t>
      </w:r>
      <w:r w:rsidR="00C67A5A" w:rsidRPr="00C665BB">
        <w:rPr>
          <w:lang w:val="fr-BE"/>
        </w:rPr>
        <w:t>1</w:t>
      </w:r>
      <w:r w:rsidRPr="00C665BB">
        <w:rPr>
          <w:lang w:val="fr-BE"/>
        </w:rPr>
        <w:t>/</w:t>
      </w:r>
      <w:r w:rsidR="00C67A5A" w:rsidRPr="00C665BB">
        <w:rPr>
          <w:lang w:val="fr-BE"/>
        </w:rPr>
        <w:t>02</w:t>
      </w:r>
      <w:r w:rsidR="00F942FF" w:rsidRPr="00C665BB">
        <w:rPr>
          <w:lang w:val="fr-BE"/>
        </w:rPr>
        <w:t>F</w:t>
      </w:r>
    </w:p>
    <w:p w:rsidR="00B44FE6" w:rsidRPr="00C665BB" w:rsidRDefault="00B44FE6" w:rsidP="00B40F6C">
      <w:pPr>
        <w:pStyle w:val="BodyAudi"/>
        <w:rPr>
          <w:lang w:val="fr-BE"/>
        </w:rPr>
      </w:pPr>
      <w:bookmarkStart w:id="0" w:name="_GoBack"/>
      <w:bookmarkEnd w:id="0"/>
    </w:p>
    <w:p w:rsidR="00C665BB" w:rsidRPr="00C665BB" w:rsidRDefault="00C665BB" w:rsidP="00C665BB">
      <w:pPr>
        <w:pStyle w:val="HeadlineAudi"/>
        <w:rPr>
          <w:lang w:val="fr-BE"/>
        </w:rPr>
      </w:pPr>
      <w:r w:rsidRPr="00C665BB">
        <w:rPr>
          <w:lang w:val="fr-BE"/>
        </w:rPr>
        <w:t>Audi termine 2020 avec le meilleur trimestre de son histoire</w:t>
      </w:r>
    </w:p>
    <w:p w:rsidR="00C665BB" w:rsidRPr="00C665BB" w:rsidRDefault="00C665BB" w:rsidP="008A0500">
      <w:pPr>
        <w:rPr>
          <w:lang w:val="fr-BE"/>
        </w:rPr>
      </w:pPr>
    </w:p>
    <w:p w:rsidR="00C665BB" w:rsidRPr="00C665BB" w:rsidRDefault="00C665BB" w:rsidP="00C665BB">
      <w:pPr>
        <w:pStyle w:val="DeckAudi"/>
        <w:numPr>
          <w:ilvl w:val="0"/>
          <w:numId w:val="5"/>
        </w:numPr>
        <w:ind w:left="357" w:hanging="357"/>
        <w:rPr>
          <w:lang w:val="fr-BE"/>
        </w:rPr>
      </w:pPr>
      <w:r w:rsidRPr="00C665BB">
        <w:rPr>
          <w:lang w:val="fr-BE"/>
        </w:rPr>
        <w:t>Plus de 500 000 voitures livrées entre octobre et décembre</w:t>
      </w:r>
    </w:p>
    <w:p w:rsidR="00C665BB" w:rsidRPr="00C665BB" w:rsidRDefault="00C665BB" w:rsidP="00C665BB">
      <w:pPr>
        <w:pStyle w:val="DeckAudi"/>
        <w:numPr>
          <w:ilvl w:val="0"/>
          <w:numId w:val="5"/>
        </w:numPr>
        <w:ind w:left="357" w:hanging="357"/>
        <w:rPr>
          <w:lang w:val="fr-BE"/>
        </w:rPr>
      </w:pPr>
      <w:r w:rsidRPr="00C665BB">
        <w:rPr>
          <w:lang w:val="fr-BE"/>
        </w:rPr>
        <w:t>Au total, 1,69 million d’unités livrées dans le monde au cours d’une année compliquée</w:t>
      </w:r>
    </w:p>
    <w:p w:rsidR="00C665BB" w:rsidRPr="00C665BB" w:rsidRDefault="00C665BB" w:rsidP="00C665BB">
      <w:pPr>
        <w:pStyle w:val="DeckAudi"/>
        <w:numPr>
          <w:ilvl w:val="0"/>
          <w:numId w:val="5"/>
        </w:numPr>
        <w:ind w:left="357" w:hanging="357"/>
        <w:rPr>
          <w:lang w:val="fr-BE"/>
        </w:rPr>
      </w:pPr>
      <w:r w:rsidRPr="00C665BB">
        <w:rPr>
          <w:lang w:val="fr-BE"/>
        </w:rPr>
        <w:t>Nouveaux meilleurs chiffres en Chine : 727 358 véhicules (+5,4 %)</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AUDI AG a terminé 2020 avec les meilleurs chiffres de livraison trimestriels de l’histoire de l’entreprise : entre octobre et décembre, elle a livré 505 583 véhicules à ses clients, soit plus d’un demi-million en un trimestre pour la toute première fois. Pendant une année compliquée, marquée dans l’ensemble par les restrictions dues à la pandémie de coronavirus, Audi a livré 1 692 773 modèles au total, soit un chiffre en baisse de 8,3 pour cent par rapport à l’année précédente. En Chine toutefois, l’entreprise a enregistré les nouveaux meilleurs chiffres, en totalisant 727 358 véhicules livrés (+5,4 %).</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La progression de la numérisation des ventes et l’expérience acquise pendant la première vague de l’épidémie au coronavirus au printemps 2020 ont fortement contribué à la fin d’année en beauté d’Audi, qui enregistre le meilleur trimestre de son histoire.</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AUDI AG poursuit sa transformation en un fournisseur de mobilité durable haut de gamme et est, de loin, le plus important constructeur de véhicules électriques parmi les trois marques premium allemandes. Le modèle e-tron d’Audi a connu un véritable succès, faisant l’objet d’une demande accrue l’année dernière, avec une croissance de 79,5 pour cent (47 324 véhicules) par rapport à l’année précédente. L’Audi e-tron est la meilleure vente mondiale parmi les véhicules électriques produits par les constructeurs allemands haut de gamme. En Norvège, il s’agit même du véhicule le plus vendu tous modèles confondus. En Belgique, l’Audi e-tron monte sur la deuxième place du podium dans la catégorie des voitures électriques, avec 1 253 unités vendues.</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lastRenderedPageBreak/>
        <w:t>En ce qui concerne les autres modèles de la gamme, Audi a surtout amélioré les ventes de l’Audi Q3 (+18,1 % par rapport à l’année précédente) et de l’Audi A6 (+11,8 %). Les modèles hautes performances d’Audi Sport ont aussi rencontré un très franc succès auprès des clients : plus de 29 300 voitures ont été livrées en 2020, ce qui fixe une nouvelle référence et représente une augmentation notable de 16,1 pour cent comparé à l’année précédente.</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En Chine, Audi a atteint des volumes de livraison inédits l’année dernière. Un total de 727 358 véhicules correspond à une augmentation de 5,4 pour cent. Sur le plus vaste marché de la marque aux quatre anneaux, la reprise économique rapide et la forte demande de mobilité individuelle ont entraîné de nouveaux chiffres record. L'évolution a été particulièrement positive pour l’Audi Q2 (+33,8 %), l’Audi A6 (+41,1 %), l’Audi A7 (+142,1 %) et l’Audi A8 (+13,8 %).</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Aux États-Unis, 186 620 véhicules neufs ont été livrés, ce qui représente un recul de 16,7 pour cent par rapport à l’année précédente. La forte demande et la tendance à la hausse vers la fin de l’année laissent toutefois augurer des perspectives positives pour 2021. La demande croissante est particulièrement visible dans le segment des SUV : en 2020, la part de SUV s’élevait à 66 pour cent. Au cours de l’année complète, l’Audi Q3 et l’Audi e-tron ont donné des élans significatifs (+83,9 % et +10 %). Au dernier trimestre, les résultats des ventes de l’Audi Q5 (+15 %) et de l’Audi Q8 (+11 %) ont été particulièrement impressionnants.</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L’Europe a accusé une baisse de 19,5 pour cent, le nombre de véhicules livrés en 2020 tombant à 619 723 unités. Néanmoins, les Audi e-tron et Audi Q7 ont montré une tendance positive (+80,6 % et +6,3 %). Le quatrième trimestre a déjà laissé apparaître une tendance à la hausse, malgré le renforcement des restrictions liées à la pandémie de coronavirus : la livraison de 178 891 véhicules entre octobre et décembre représente une augmentation de 2,5 pour cent par rapport à l’année précédente.</w:t>
      </w:r>
    </w:p>
    <w:p w:rsidR="00C665BB" w:rsidRPr="00C665BB" w:rsidRDefault="00C665BB" w:rsidP="00C665BB">
      <w:pPr>
        <w:pStyle w:val="BodyAudi"/>
        <w:rPr>
          <w:lang w:val="fr-BE"/>
        </w:rPr>
      </w:pPr>
    </w:p>
    <w:p w:rsidR="00C665BB" w:rsidRPr="00C665BB" w:rsidRDefault="00C665BB" w:rsidP="00C665BB">
      <w:pPr>
        <w:pStyle w:val="BodyAudi"/>
        <w:rPr>
          <w:lang w:val="fr-BE"/>
        </w:rPr>
      </w:pPr>
      <w:r w:rsidRPr="00C665BB">
        <w:rPr>
          <w:lang w:val="fr-BE"/>
        </w:rPr>
        <w:t>En Belgique, l’année s’est clôturée avec 28 053 immatriculations (-10,0 % par rapport à 2019), sur un marché global qui a reculé de 21,5 %. Les modèles Audi les plus populaires en Belgique ont été l’Audi Q3 (avec 5 495 immatriculations), suivie par l’Audi A3 (4 523) et l’Audi Q2 (3 399). Le segment des SUV reste particulièrement apprécié, puisqu’il a représenté 46,5 % de l’ensemble des ventes d’Audi. Les plus fortes progressions sont celles du Q5, avec 2 370 immatriculations au total (+77,1 %), et de l’Audi A7 avec 429 immatriculations (+34,9 %). Ces hausses sont surtout le résultat de l’introduction des versions hybrides rechargeables fiscalement intéressantes. Avec 1 253 immatriculations, l’Audi e-tron a quant à elle enregistré une augmentation de 26,6 %.</w:t>
      </w:r>
    </w:p>
    <w:p w:rsidR="00C665BB" w:rsidRPr="00C665BB" w:rsidRDefault="00C665BB" w:rsidP="00C665BB">
      <w:pPr>
        <w:pStyle w:val="BodyAudi"/>
        <w:rPr>
          <w:lang w:val="fr-BE"/>
        </w:rPr>
      </w:pPr>
    </w:p>
    <w:p w:rsidR="00C665BB" w:rsidRPr="00C665BB" w:rsidRDefault="00C665BB" w:rsidP="00C665BB">
      <w:pPr>
        <w:pStyle w:val="BodyAudi"/>
        <w:rPr>
          <w:lang w:val="fr-BE"/>
        </w:rPr>
      </w:pPr>
    </w:p>
    <w:p w:rsidR="00C665BB" w:rsidRPr="00C665BB" w:rsidRDefault="00C665BB">
      <w:pPr>
        <w:pStyle w:val="Corpsdetexte"/>
        <w:spacing w:before="2"/>
        <w:rPr>
          <w:sz w:val="11"/>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5"/>
        <w:gridCol w:w="1981"/>
        <w:gridCol w:w="1834"/>
        <w:gridCol w:w="2854"/>
      </w:tblGrid>
      <w:tr w:rsidR="00C665BB" w:rsidRPr="00C665BB">
        <w:trPr>
          <w:trHeight w:val="764"/>
        </w:trPr>
        <w:tc>
          <w:tcPr>
            <w:tcW w:w="2105" w:type="dxa"/>
          </w:tcPr>
          <w:p w:rsidR="00C665BB" w:rsidRPr="00C665BB" w:rsidRDefault="00C665BB">
            <w:pPr>
              <w:pStyle w:val="TableParagraph"/>
              <w:spacing w:before="21" w:line="360" w:lineRule="atLeast"/>
              <w:ind w:left="71" w:right="71"/>
              <w:jc w:val="left"/>
              <w:rPr>
                <w:rFonts w:ascii="Arial" w:hAnsi="Arial" w:cs="Arial"/>
                <w:b/>
                <w:sz w:val="20"/>
                <w:szCs w:val="20"/>
              </w:rPr>
            </w:pPr>
            <w:r w:rsidRPr="00C665BB">
              <w:rPr>
                <w:rFonts w:ascii="Arial" w:hAnsi="Arial" w:cs="Arial"/>
                <w:b/>
                <w:sz w:val="20"/>
                <w:szCs w:val="20"/>
              </w:rPr>
              <w:t>Vehicles delivered by AUDI AG</w:t>
            </w:r>
          </w:p>
        </w:tc>
        <w:tc>
          <w:tcPr>
            <w:tcW w:w="1981" w:type="dxa"/>
          </w:tcPr>
          <w:p w:rsidR="00C665BB" w:rsidRPr="00C665BB" w:rsidRDefault="00C665BB">
            <w:pPr>
              <w:pStyle w:val="TableParagraph"/>
              <w:spacing w:before="137"/>
              <w:ind w:left="401" w:right="453"/>
              <w:rPr>
                <w:rFonts w:ascii="Arial" w:hAnsi="Arial" w:cs="Arial"/>
                <w:b/>
                <w:sz w:val="20"/>
                <w:szCs w:val="20"/>
              </w:rPr>
            </w:pPr>
            <w:r w:rsidRPr="00C665BB">
              <w:rPr>
                <w:rFonts w:ascii="Arial" w:hAnsi="Arial" w:cs="Arial"/>
                <w:b/>
                <w:sz w:val="20"/>
                <w:szCs w:val="20"/>
              </w:rPr>
              <w:t>Total</w:t>
            </w:r>
          </w:p>
        </w:tc>
        <w:tc>
          <w:tcPr>
            <w:tcW w:w="1834" w:type="dxa"/>
          </w:tcPr>
          <w:p w:rsidR="00C665BB" w:rsidRPr="00C665BB" w:rsidRDefault="00C665BB">
            <w:pPr>
              <w:pStyle w:val="TableParagraph"/>
              <w:spacing w:before="0"/>
              <w:ind w:left="0"/>
              <w:jc w:val="left"/>
              <w:rPr>
                <w:rFonts w:ascii="Arial" w:hAnsi="Arial" w:cs="Arial"/>
                <w:sz w:val="20"/>
                <w:szCs w:val="20"/>
              </w:rPr>
            </w:pPr>
          </w:p>
        </w:tc>
        <w:tc>
          <w:tcPr>
            <w:tcW w:w="2854" w:type="dxa"/>
          </w:tcPr>
          <w:p w:rsidR="00C665BB" w:rsidRPr="00C665BB" w:rsidRDefault="00C665BB">
            <w:pPr>
              <w:pStyle w:val="TableParagraph"/>
              <w:spacing w:before="0"/>
              <w:ind w:left="0"/>
              <w:jc w:val="left"/>
              <w:rPr>
                <w:rFonts w:ascii="Arial" w:hAnsi="Arial" w:cs="Arial"/>
                <w:sz w:val="20"/>
                <w:szCs w:val="20"/>
              </w:rPr>
            </w:pPr>
          </w:p>
        </w:tc>
      </w:tr>
      <w:tr w:rsidR="00C665BB" w:rsidRPr="00C665BB">
        <w:trPr>
          <w:trHeight w:val="553"/>
        </w:trPr>
        <w:tc>
          <w:tcPr>
            <w:tcW w:w="2105" w:type="dxa"/>
          </w:tcPr>
          <w:p w:rsidR="00C665BB" w:rsidRPr="00C665BB" w:rsidRDefault="00C665BB">
            <w:pPr>
              <w:pStyle w:val="TableParagraph"/>
              <w:spacing w:before="0"/>
              <w:ind w:left="0"/>
              <w:jc w:val="left"/>
              <w:rPr>
                <w:rFonts w:ascii="Arial" w:hAnsi="Arial" w:cs="Arial"/>
                <w:sz w:val="20"/>
                <w:szCs w:val="20"/>
              </w:rPr>
            </w:pPr>
          </w:p>
        </w:tc>
        <w:tc>
          <w:tcPr>
            <w:tcW w:w="1981" w:type="dxa"/>
          </w:tcPr>
          <w:p w:rsidR="00C665BB" w:rsidRPr="00C665BB" w:rsidRDefault="00C665BB">
            <w:pPr>
              <w:pStyle w:val="TableParagraph"/>
              <w:spacing w:before="135"/>
              <w:ind w:right="348"/>
              <w:rPr>
                <w:rFonts w:ascii="Arial" w:hAnsi="Arial" w:cs="Arial"/>
                <w:b/>
                <w:sz w:val="20"/>
                <w:szCs w:val="20"/>
              </w:rPr>
            </w:pPr>
            <w:r w:rsidRPr="00C665BB">
              <w:rPr>
                <w:rFonts w:ascii="Arial" w:hAnsi="Arial" w:cs="Arial"/>
                <w:b/>
                <w:sz w:val="20"/>
                <w:szCs w:val="20"/>
              </w:rPr>
              <w:t>2020</w:t>
            </w:r>
          </w:p>
        </w:tc>
        <w:tc>
          <w:tcPr>
            <w:tcW w:w="1834" w:type="dxa"/>
          </w:tcPr>
          <w:p w:rsidR="00C665BB" w:rsidRPr="00C665BB" w:rsidRDefault="00C665BB">
            <w:pPr>
              <w:pStyle w:val="TableParagraph"/>
              <w:spacing w:before="135"/>
              <w:ind w:left="354" w:right="401"/>
              <w:rPr>
                <w:rFonts w:ascii="Arial" w:hAnsi="Arial" w:cs="Arial"/>
                <w:sz w:val="20"/>
                <w:szCs w:val="20"/>
              </w:rPr>
            </w:pPr>
            <w:r w:rsidRPr="00C665BB">
              <w:rPr>
                <w:rFonts w:ascii="Arial" w:hAnsi="Arial" w:cs="Arial"/>
                <w:sz w:val="20"/>
                <w:szCs w:val="20"/>
              </w:rPr>
              <w:t>2019</w:t>
            </w:r>
          </w:p>
        </w:tc>
        <w:tc>
          <w:tcPr>
            <w:tcW w:w="2854" w:type="dxa"/>
          </w:tcPr>
          <w:p w:rsidR="00C665BB" w:rsidRPr="00C665BB" w:rsidRDefault="00C665BB">
            <w:pPr>
              <w:pStyle w:val="TableParagraph"/>
              <w:spacing w:before="135"/>
              <w:ind w:left="609" w:right="659"/>
              <w:rPr>
                <w:rFonts w:ascii="Arial" w:hAnsi="Arial" w:cs="Arial"/>
                <w:b/>
                <w:sz w:val="20"/>
                <w:szCs w:val="20"/>
              </w:rPr>
            </w:pPr>
            <w:r w:rsidRPr="00C665BB">
              <w:rPr>
                <w:rFonts w:ascii="Arial" w:hAnsi="Arial" w:cs="Arial"/>
                <w:b/>
                <w:sz w:val="20"/>
                <w:szCs w:val="20"/>
              </w:rPr>
              <w:t>change vs 2019</w:t>
            </w:r>
          </w:p>
        </w:tc>
      </w:tr>
      <w:tr w:rsidR="00C665BB" w:rsidRPr="00C665BB">
        <w:trPr>
          <w:trHeight w:val="531"/>
        </w:trPr>
        <w:tc>
          <w:tcPr>
            <w:tcW w:w="2105" w:type="dxa"/>
          </w:tcPr>
          <w:p w:rsidR="00C665BB" w:rsidRPr="00C665BB" w:rsidRDefault="00C665BB">
            <w:pPr>
              <w:pStyle w:val="TableParagraph"/>
              <w:ind w:left="71"/>
              <w:jc w:val="left"/>
              <w:rPr>
                <w:rFonts w:ascii="Arial" w:hAnsi="Arial" w:cs="Arial"/>
                <w:b/>
                <w:sz w:val="20"/>
                <w:szCs w:val="20"/>
              </w:rPr>
            </w:pPr>
            <w:r w:rsidRPr="00C665BB">
              <w:rPr>
                <w:rFonts w:ascii="Arial" w:hAnsi="Arial" w:cs="Arial"/>
                <w:b/>
                <w:sz w:val="20"/>
                <w:szCs w:val="20"/>
              </w:rPr>
              <w:t>World</w:t>
            </w:r>
          </w:p>
        </w:tc>
        <w:tc>
          <w:tcPr>
            <w:tcW w:w="1981" w:type="dxa"/>
          </w:tcPr>
          <w:p w:rsidR="00C665BB" w:rsidRPr="00C665BB" w:rsidRDefault="00C665BB">
            <w:pPr>
              <w:pStyle w:val="TableParagraph"/>
              <w:ind w:right="453"/>
              <w:rPr>
                <w:rFonts w:ascii="Arial" w:hAnsi="Arial" w:cs="Arial"/>
                <w:b/>
                <w:sz w:val="20"/>
                <w:szCs w:val="20"/>
              </w:rPr>
            </w:pPr>
            <w:r w:rsidRPr="00C665BB">
              <w:rPr>
                <w:rFonts w:ascii="Arial" w:hAnsi="Arial" w:cs="Arial"/>
                <w:b/>
                <w:sz w:val="20"/>
                <w:szCs w:val="20"/>
              </w:rPr>
              <w:t>1,692,773</w:t>
            </w:r>
          </w:p>
        </w:tc>
        <w:tc>
          <w:tcPr>
            <w:tcW w:w="1834" w:type="dxa"/>
          </w:tcPr>
          <w:p w:rsidR="00C665BB" w:rsidRPr="00C665BB" w:rsidRDefault="00C665BB">
            <w:pPr>
              <w:pStyle w:val="TableParagraph"/>
              <w:ind w:left="354" w:right="404"/>
              <w:rPr>
                <w:rFonts w:ascii="Arial" w:hAnsi="Arial" w:cs="Arial"/>
                <w:sz w:val="20"/>
                <w:szCs w:val="20"/>
              </w:rPr>
            </w:pPr>
            <w:r w:rsidRPr="00C665BB">
              <w:rPr>
                <w:rFonts w:ascii="Arial" w:hAnsi="Arial" w:cs="Arial"/>
                <w:sz w:val="20"/>
                <w:szCs w:val="20"/>
              </w:rPr>
              <w:t>1,845,573</w:t>
            </w:r>
          </w:p>
        </w:tc>
        <w:tc>
          <w:tcPr>
            <w:tcW w:w="2854" w:type="dxa"/>
          </w:tcPr>
          <w:p w:rsidR="00C665BB" w:rsidRPr="00C665BB" w:rsidRDefault="00C665BB">
            <w:pPr>
              <w:pStyle w:val="TableParagraph"/>
              <w:ind w:left="609" w:right="654"/>
              <w:rPr>
                <w:rFonts w:ascii="Arial" w:hAnsi="Arial" w:cs="Arial"/>
                <w:b/>
                <w:sz w:val="20"/>
                <w:szCs w:val="20"/>
              </w:rPr>
            </w:pPr>
            <w:r w:rsidRPr="00C665BB">
              <w:rPr>
                <w:rFonts w:ascii="Arial" w:hAnsi="Arial" w:cs="Arial"/>
                <w:b/>
                <w:sz w:val="20"/>
                <w:szCs w:val="20"/>
              </w:rPr>
              <w:t>-8.3%</w:t>
            </w:r>
          </w:p>
        </w:tc>
      </w:tr>
      <w:tr w:rsidR="00C665BB" w:rsidRPr="00C665BB">
        <w:trPr>
          <w:trHeight w:val="535"/>
        </w:trPr>
        <w:tc>
          <w:tcPr>
            <w:tcW w:w="2105" w:type="dxa"/>
          </w:tcPr>
          <w:p w:rsidR="00C665BB" w:rsidRPr="00C665BB" w:rsidRDefault="00C665BB">
            <w:pPr>
              <w:pStyle w:val="TableParagraph"/>
              <w:ind w:left="71"/>
              <w:jc w:val="left"/>
              <w:rPr>
                <w:rFonts w:ascii="Arial" w:hAnsi="Arial" w:cs="Arial"/>
                <w:b/>
                <w:sz w:val="20"/>
                <w:szCs w:val="20"/>
              </w:rPr>
            </w:pPr>
            <w:r w:rsidRPr="00C665BB">
              <w:rPr>
                <w:rFonts w:ascii="Arial" w:hAnsi="Arial" w:cs="Arial"/>
                <w:b/>
                <w:sz w:val="20"/>
                <w:szCs w:val="20"/>
              </w:rPr>
              <w:t>Europe</w:t>
            </w:r>
          </w:p>
        </w:tc>
        <w:tc>
          <w:tcPr>
            <w:tcW w:w="1981" w:type="dxa"/>
          </w:tcPr>
          <w:p w:rsidR="00C665BB" w:rsidRPr="00C665BB" w:rsidRDefault="00C665BB">
            <w:pPr>
              <w:pStyle w:val="TableParagraph"/>
              <w:ind w:right="453"/>
              <w:rPr>
                <w:rFonts w:ascii="Arial" w:hAnsi="Arial" w:cs="Arial"/>
                <w:b/>
                <w:sz w:val="20"/>
                <w:szCs w:val="20"/>
              </w:rPr>
            </w:pPr>
            <w:r w:rsidRPr="00C665BB">
              <w:rPr>
                <w:rFonts w:ascii="Arial" w:hAnsi="Arial" w:cs="Arial"/>
                <w:b/>
                <w:sz w:val="20"/>
                <w:szCs w:val="20"/>
              </w:rPr>
              <w:t>619,723</w:t>
            </w:r>
          </w:p>
        </w:tc>
        <w:tc>
          <w:tcPr>
            <w:tcW w:w="1834" w:type="dxa"/>
          </w:tcPr>
          <w:p w:rsidR="00C665BB" w:rsidRPr="00C665BB" w:rsidRDefault="00C665BB">
            <w:pPr>
              <w:pStyle w:val="TableParagraph"/>
              <w:ind w:left="354" w:right="401"/>
              <w:rPr>
                <w:rFonts w:ascii="Arial" w:hAnsi="Arial" w:cs="Arial"/>
                <w:sz w:val="20"/>
                <w:szCs w:val="20"/>
              </w:rPr>
            </w:pPr>
            <w:r w:rsidRPr="00C665BB">
              <w:rPr>
                <w:rFonts w:ascii="Arial" w:hAnsi="Arial" w:cs="Arial"/>
                <w:sz w:val="20"/>
                <w:szCs w:val="20"/>
              </w:rPr>
              <w:t>769,585</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-19.5%</w:t>
            </w:r>
          </w:p>
        </w:tc>
      </w:tr>
      <w:tr w:rsidR="00C665BB" w:rsidRPr="00C665BB">
        <w:trPr>
          <w:trHeight w:val="532"/>
        </w:trPr>
        <w:tc>
          <w:tcPr>
            <w:tcW w:w="2105" w:type="dxa"/>
          </w:tcPr>
          <w:p w:rsidR="00C665BB" w:rsidRPr="00C665BB" w:rsidRDefault="00C665BB">
            <w:pPr>
              <w:pStyle w:val="TableParagraph"/>
              <w:ind w:left="213"/>
              <w:jc w:val="left"/>
              <w:rPr>
                <w:rFonts w:ascii="Arial" w:hAnsi="Arial" w:cs="Arial"/>
                <w:b/>
                <w:sz w:val="20"/>
                <w:szCs w:val="20"/>
              </w:rPr>
            </w:pPr>
            <w:r w:rsidRPr="00C665BB">
              <w:rPr>
                <w:rFonts w:ascii="Arial" w:hAnsi="Arial" w:cs="Arial"/>
                <w:b/>
                <w:sz w:val="20"/>
                <w:szCs w:val="20"/>
              </w:rPr>
              <w:t>- Germany</w:t>
            </w:r>
          </w:p>
        </w:tc>
        <w:tc>
          <w:tcPr>
            <w:tcW w:w="1981" w:type="dxa"/>
          </w:tcPr>
          <w:p w:rsidR="00C665BB" w:rsidRPr="00C665BB" w:rsidRDefault="00C665BB">
            <w:pPr>
              <w:pStyle w:val="TableParagraph"/>
              <w:ind w:right="453"/>
              <w:rPr>
                <w:rFonts w:ascii="Arial" w:hAnsi="Arial" w:cs="Arial"/>
                <w:b/>
                <w:sz w:val="20"/>
                <w:szCs w:val="20"/>
              </w:rPr>
            </w:pPr>
            <w:r w:rsidRPr="00C665BB">
              <w:rPr>
                <w:rFonts w:ascii="Arial" w:hAnsi="Arial" w:cs="Arial"/>
                <w:b/>
                <w:sz w:val="20"/>
                <w:szCs w:val="20"/>
              </w:rPr>
              <w:t>214,427</w:t>
            </w:r>
          </w:p>
        </w:tc>
        <w:tc>
          <w:tcPr>
            <w:tcW w:w="1834" w:type="dxa"/>
          </w:tcPr>
          <w:p w:rsidR="00C665BB" w:rsidRPr="00C665BB" w:rsidRDefault="00C665BB">
            <w:pPr>
              <w:pStyle w:val="TableParagraph"/>
              <w:ind w:left="354" w:right="401"/>
              <w:rPr>
                <w:rFonts w:ascii="Arial" w:hAnsi="Arial" w:cs="Arial"/>
                <w:sz w:val="20"/>
                <w:szCs w:val="20"/>
              </w:rPr>
            </w:pPr>
            <w:r w:rsidRPr="00C665BB">
              <w:rPr>
                <w:rFonts w:ascii="Arial" w:hAnsi="Arial" w:cs="Arial"/>
                <w:sz w:val="20"/>
                <w:szCs w:val="20"/>
              </w:rPr>
              <w:t>271,613</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-21.1%</w:t>
            </w:r>
          </w:p>
        </w:tc>
      </w:tr>
      <w:tr w:rsidR="00C665BB" w:rsidRPr="00C665BB">
        <w:trPr>
          <w:trHeight w:val="534"/>
        </w:trPr>
        <w:tc>
          <w:tcPr>
            <w:tcW w:w="2105" w:type="dxa"/>
          </w:tcPr>
          <w:p w:rsidR="00C665BB" w:rsidRPr="00C665BB" w:rsidRDefault="00C665BB">
            <w:pPr>
              <w:pStyle w:val="TableParagraph"/>
              <w:ind w:left="213"/>
              <w:jc w:val="left"/>
              <w:rPr>
                <w:rFonts w:ascii="Arial" w:hAnsi="Arial" w:cs="Arial"/>
                <w:b/>
                <w:sz w:val="20"/>
                <w:szCs w:val="20"/>
              </w:rPr>
            </w:pPr>
            <w:r w:rsidRPr="00C665BB">
              <w:rPr>
                <w:rFonts w:ascii="Arial" w:hAnsi="Arial" w:cs="Arial"/>
                <w:b/>
                <w:sz w:val="20"/>
                <w:szCs w:val="20"/>
              </w:rPr>
              <w:t>- United Kingdom</w:t>
            </w:r>
          </w:p>
        </w:tc>
        <w:tc>
          <w:tcPr>
            <w:tcW w:w="1981" w:type="dxa"/>
          </w:tcPr>
          <w:p w:rsidR="00C665BB" w:rsidRPr="00C665BB" w:rsidRDefault="00C665BB">
            <w:pPr>
              <w:pStyle w:val="TableParagraph"/>
              <w:ind w:right="453"/>
              <w:rPr>
                <w:rFonts w:ascii="Arial" w:hAnsi="Arial" w:cs="Arial"/>
                <w:b/>
                <w:sz w:val="20"/>
                <w:szCs w:val="20"/>
              </w:rPr>
            </w:pPr>
            <w:r w:rsidRPr="00C665BB">
              <w:rPr>
                <w:rFonts w:ascii="Arial" w:hAnsi="Arial" w:cs="Arial"/>
                <w:b/>
                <w:sz w:val="20"/>
                <w:szCs w:val="20"/>
              </w:rPr>
              <w:t>107,892</w:t>
            </w:r>
          </w:p>
        </w:tc>
        <w:tc>
          <w:tcPr>
            <w:tcW w:w="1834" w:type="dxa"/>
          </w:tcPr>
          <w:p w:rsidR="00C665BB" w:rsidRPr="00C665BB" w:rsidRDefault="00C665BB">
            <w:pPr>
              <w:pStyle w:val="TableParagraph"/>
              <w:ind w:left="354" w:right="401"/>
              <w:rPr>
                <w:rFonts w:ascii="Arial" w:hAnsi="Arial" w:cs="Arial"/>
                <w:sz w:val="20"/>
                <w:szCs w:val="20"/>
              </w:rPr>
            </w:pPr>
            <w:r w:rsidRPr="00C665BB">
              <w:rPr>
                <w:rFonts w:ascii="Arial" w:hAnsi="Arial" w:cs="Arial"/>
                <w:sz w:val="20"/>
                <w:szCs w:val="20"/>
              </w:rPr>
              <w:t>139,026</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-22.4%</w:t>
            </w:r>
          </w:p>
        </w:tc>
      </w:tr>
      <w:tr w:rsidR="00C665BB" w:rsidRPr="00C665BB">
        <w:trPr>
          <w:trHeight w:val="531"/>
        </w:trPr>
        <w:tc>
          <w:tcPr>
            <w:tcW w:w="2105" w:type="dxa"/>
          </w:tcPr>
          <w:p w:rsidR="00C665BB" w:rsidRPr="00C665BB" w:rsidRDefault="00C665BB">
            <w:pPr>
              <w:pStyle w:val="TableParagraph"/>
              <w:ind w:left="213"/>
              <w:jc w:val="left"/>
              <w:rPr>
                <w:rFonts w:ascii="Arial" w:hAnsi="Arial" w:cs="Arial"/>
                <w:b/>
                <w:sz w:val="20"/>
                <w:szCs w:val="20"/>
              </w:rPr>
            </w:pPr>
            <w:r w:rsidRPr="00C665BB">
              <w:rPr>
                <w:rFonts w:ascii="Arial" w:hAnsi="Arial" w:cs="Arial"/>
                <w:b/>
                <w:sz w:val="20"/>
                <w:szCs w:val="20"/>
              </w:rPr>
              <w:t>- France</w:t>
            </w:r>
          </w:p>
        </w:tc>
        <w:tc>
          <w:tcPr>
            <w:tcW w:w="1981" w:type="dxa"/>
          </w:tcPr>
          <w:p w:rsidR="00C665BB" w:rsidRPr="00C665BB" w:rsidRDefault="00C665BB">
            <w:pPr>
              <w:pStyle w:val="TableParagraph"/>
              <w:ind w:right="450"/>
              <w:rPr>
                <w:rFonts w:ascii="Arial" w:hAnsi="Arial" w:cs="Arial"/>
                <w:b/>
                <w:sz w:val="20"/>
                <w:szCs w:val="20"/>
              </w:rPr>
            </w:pPr>
            <w:r w:rsidRPr="00C665BB">
              <w:rPr>
                <w:rFonts w:ascii="Arial" w:hAnsi="Arial" w:cs="Arial"/>
                <w:b/>
                <w:sz w:val="20"/>
                <w:szCs w:val="20"/>
              </w:rPr>
              <w:t>45,728</w:t>
            </w:r>
          </w:p>
        </w:tc>
        <w:tc>
          <w:tcPr>
            <w:tcW w:w="1834" w:type="dxa"/>
          </w:tcPr>
          <w:p w:rsidR="00C665BB" w:rsidRPr="00C665BB" w:rsidRDefault="00C665BB">
            <w:pPr>
              <w:pStyle w:val="TableParagraph"/>
              <w:ind w:left="354" w:right="404"/>
              <w:rPr>
                <w:rFonts w:ascii="Arial" w:hAnsi="Arial" w:cs="Arial"/>
                <w:sz w:val="20"/>
                <w:szCs w:val="20"/>
              </w:rPr>
            </w:pPr>
            <w:r w:rsidRPr="00C665BB">
              <w:rPr>
                <w:rFonts w:ascii="Arial" w:hAnsi="Arial" w:cs="Arial"/>
                <w:sz w:val="20"/>
                <w:szCs w:val="20"/>
              </w:rPr>
              <w:t>58,241</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-21.5%</w:t>
            </w:r>
          </w:p>
        </w:tc>
      </w:tr>
      <w:tr w:rsidR="00C665BB" w:rsidRPr="00C665BB">
        <w:trPr>
          <w:trHeight w:val="534"/>
        </w:trPr>
        <w:tc>
          <w:tcPr>
            <w:tcW w:w="2105" w:type="dxa"/>
          </w:tcPr>
          <w:p w:rsidR="00C665BB" w:rsidRPr="00C665BB" w:rsidRDefault="00C665BB">
            <w:pPr>
              <w:pStyle w:val="TableParagraph"/>
              <w:ind w:left="213"/>
              <w:jc w:val="left"/>
              <w:rPr>
                <w:rFonts w:ascii="Arial" w:hAnsi="Arial" w:cs="Arial"/>
                <w:b/>
                <w:sz w:val="20"/>
                <w:szCs w:val="20"/>
              </w:rPr>
            </w:pPr>
            <w:r w:rsidRPr="00C665BB">
              <w:rPr>
                <w:rFonts w:ascii="Arial" w:hAnsi="Arial" w:cs="Arial"/>
                <w:b/>
                <w:sz w:val="20"/>
                <w:szCs w:val="20"/>
              </w:rPr>
              <w:t>- Italy</w:t>
            </w:r>
          </w:p>
        </w:tc>
        <w:tc>
          <w:tcPr>
            <w:tcW w:w="1981" w:type="dxa"/>
          </w:tcPr>
          <w:p w:rsidR="00C665BB" w:rsidRPr="00C665BB" w:rsidRDefault="00C665BB">
            <w:pPr>
              <w:pStyle w:val="TableParagraph"/>
              <w:ind w:right="450"/>
              <w:rPr>
                <w:rFonts w:ascii="Arial" w:hAnsi="Arial" w:cs="Arial"/>
                <w:b/>
                <w:sz w:val="20"/>
                <w:szCs w:val="20"/>
              </w:rPr>
            </w:pPr>
            <w:r w:rsidRPr="00C665BB">
              <w:rPr>
                <w:rFonts w:ascii="Arial" w:hAnsi="Arial" w:cs="Arial"/>
                <w:b/>
                <w:sz w:val="20"/>
                <w:szCs w:val="20"/>
              </w:rPr>
              <w:t>50,060</w:t>
            </w:r>
          </w:p>
        </w:tc>
        <w:tc>
          <w:tcPr>
            <w:tcW w:w="1834" w:type="dxa"/>
          </w:tcPr>
          <w:p w:rsidR="00C665BB" w:rsidRPr="00C665BB" w:rsidRDefault="00C665BB">
            <w:pPr>
              <w:pStyle w:val="TableParagraph"/>
              <w:ind w:left="354" w:right="404"/>
              <w:rPr>
                <w:rFonts w:ascii="Arial" w:hAnsi="Arial" w:cs="Arial"/>
                <w:sz w:val="20"/>
                <w:szCs w:val="20"/>
              </w:rPr>
            </w:pPr>
            <w:r w:rsidRPr="00C665BB">
              <w:rPr>
                <w:rFonts w:ascii="Arial" w:hAnsi="Arial" w:cs="Arial"/>
                <w:sz w:val="20"/>
                <w:szCs w:val="20"/>
              </w:rPr>
              <w:t>64,056</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-21.8%</w:t>
            </w:r>
          </w:p>
        </w:tc>
      </w:tr>
      <w:tr w:rsidR="00C665BB" w:rsidRPr="00C665BB">
        <w:trPr>
          <w:trHeight w:val="531"/>
        </w:trPr>
        <w:tc>
          <w:tcPr>
            <w:tcW w:w="2105" w:type="dxa"/>
          </w:tcPr>
          <w:p w:rsidR="00C665BB" w:rsidRPr="00C665BB" w:rsidRDefault="00C665BB">
            <w:pPr>
              <w:pStyle w:val="TableParagraph"/>
              <w:ind w:left="213"/>
              <w:jc w:val="left"/>
              <w:rPr>
                <w:rFonts w:ascii="Arial" w:hAnsi="Arial" w:cs="Arial"/>
                <w:b/>
                <w:sz w:val="20"/>
                <w:szCs w:val="20"/>
              </w:rPr>
            </w:pPr>
            <w:r w:rsidRPr="00C665BB">
              <w:rPr>
                <w:rFonts w:ascii="Arial" w:hAnsi="Arial" w:cs="Arial"/>
                <w:b/>
                <w:sz w:val="20"/>
                <w:szCs w:val="20"/>
              </w:rPr>
              <w:t>- Spain</w:t>
            </w:r>
          </w:p>
        </w:tc>
        <w:tc>
          <w:tcPr>
            <w:tcW w:w="1981" w:type="dxa"/>
          </w:tcPr>
          <w:p w:rsidR="00C665BB" w:rsidRPr="00C665BB" w:rsidRDefault="00C665BB">
            <w:pPr>
              <w:pStyle w:val="TableParagraph"/>
              <w:ind w:right="450"/>
              <w:rPr>
                <w:rFonts w:ascii="Arial" w:hAnsi="Arial" w:cs="Arial"/>
                <w:b/>
                <w:sz w:val="20"/>
                <w:szCs w:val="20"/>
              </w:rPr>
            </w:pPr>
            <w:r w:rsidRPr="00C665BB">
              <w:rPr>
                <w:rFonts w:ascii="Arial" w:hAnsi="Arial" w:cs="Arial"/>
                <w:b/>
                <w:sz w:val="20"/>
                <w:szCs w:val="20"/>
              </w:rPr>
              <w:t>37,284</w:t>
            </w:r>
          </w:p>
        </w:tc>
        <w:tc>
          <w:tcPr>
            <w:tcW w:w="1834" w:type="dxa"/>
          </w:tcPr>
          <w:p w:rsidR="00C665BB" w:rsidRPr="00C665BB" w:rsidRDefault="00C665BB">
            <w:pPr>
              <w:pStyle w:val="TableParagraph"/>
              <w:ind w:left="354" w:right="404"/>
              <w:rPr>
                <w:rFonts w:ascii="Arial" w:hAnsi="Arial" w:cs="Arial"/>
                <w:sz w:val="20"/>
                <w:szCs w:val="20"/>
              </w:rPr>
            </w:pPr>
            <w:r w:rsidRPr="00C665BB">
              <w:rPr>
                <w:rFonts w:ascii="Arial" w:hAnsi="Arial" w:cs="Arial"/>
                <w:sz w:val="20"/>
                <w:szCs w:val="20"/>
              </w:rPr>
              <w:t>50,904</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-26.8%</w:t>
            </w:r>
          </w:p>
        </w:tc>
      </w:tr>
      <w:tr w:rsidR="00C665BB" w:rsidRPr="00C665BB">
        <w:trPr>
          <w:trHeight w:val="534"/>
        </w:trPr>
        <w:tc>
          <w:tcPr>
            <w:tcW w:w="2105" w:type="dxa"/>
          </w:tcPr>
          <w:p w:rsidR="00C665BB" w:rsidRPr="00C665BB" w:rsidRDefault="00C665BB" w:rsidP="00C665BB">
            <w:pPr>
              <w:pStyle w:val="TableParagraph"/>
              <w:numPr>
                <w:ilvl w:val="0"/>
                <w:numId w:val="3"/>
              </w:numPr>
              <w:ind w:left="312" w:hanging="141"/>
              <w:jc w:val="left"/>
              <w:rPr>
                <w:rFonts w:ascii="Arial" w:hAnsi="Arial" w:cs="Arial"/>
                <w:b/>
                <w:sz w:val="20"/>
                <w:szCs w:val="20"/>
              </w:rPr>
            </w:pPr>
            <w:r w:rsidRPr="00C665BB">
              <w:rPr>
                <w:rFonts w:ascii="Arial" w:hAnsi="Arial" w:cs="Arial"/>
                <w:b/>
                <w:sz w:val="20"/>
                <w:szCs w:val="20"/>
              </w:rPr>
              <w:t>Belgium (registrations)</w:t>
            </w:r>
          </w:p>
        </w:tc>
        <w:tc>
          <w:tcPr>
            <w:tcW w:w="1981" w:type="dxa"/>
          </w:tcPr>
          <w:p w:rsidR="00C665BB" w:rsidRPr="00C665BB" w:rsidRDefault="00C665BB" w:rsidP="00487FCF">
            <w:pPr>
              <w:pStyle w:val="TableParagraph"/>
              <w:ind w:right="450"/>
              <w:rPr>
                <w:rFonts w:ascii="Arial" w:hAnsi="Arial" w:cs="Arial"/>
                <w:b/>
                <w:sz w:val="20"/>
                <w:szCs w:val="20"/>
              </w:rPr>
            </w:pPr>
            <w:r w:rsidRPr="00C665BB">
              <w:rPr>
                <w:rFonts w:ascii="Arial" w:hAnsi="Arial" w:cs="Arial"/>
                <w:b/>
                <w:sz w:val="20"/>
                <w:szCs w:val="20"/>
              </w:rPr>
              <w:t>28,053</w:t>
            </w:r>
          </w:p>
        </w:tc>
        <w:tc>
          <w:tcPr>
            <w:tcW w:w="1834" w:type="dxa"/>
          </w:tcPr>
          <w:p w:rsidR="00C665BB" w:rsidRPr="00C665BB" w:rsidRDefault="00C665BB" w:rsidP="00487FCF">
            <w:pPr>
              <w:pStyle w:val="TableParagraph"/>
              <w:ind w:left="354" w:right="404"/>
              <w:rPr>
                <w:rFonts w:ascii="Arial" w:hAnsi="Arial" w:cs="Arial"/>
                <w:sz w:val="20"/>
                <w:szCs w:val="20"/>
              </w:rPr>
            </w:pPr>
            <w:r w:rsidRPr="00C665BB">
              <w:rPr>
                <w:rFonts w:ascii="Arial" w:hAnsi="Arial" w:cs="Arial"/>
                <w:sz w:val="20"/>
                <w:szCs w:val="20"/>
              </w:rPr>
              <w:t>31,183</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-10,0%</w:t>
            </w:r>
          </w:p>
        </w:tc>
      </w:tr>
      <w:tr w:rsidR="00C665BB" w:rsidRPr="00C665BB">
        <w:trPr>
          <w:trHeight w:val="534"/>
        </w:trPr>
        <w:tc>
          <w:tcPr>
            <w:tcW w:w="2105" w:type="dxa"/>
          </w:tcPr>
          <w:p w:rsidR="00C665BB" w:rsidRPr="00C665BB" w:rsidRDefault="00C665BB">
            <w:pPr>
              <w:pStyle w:val="TableParagraph"/>
              <w:ind w:left="71"/>
              <w:jc w:val="left"/>
              <w:rPr>
                <w:rFonts w:ascii="Arial" w:hAnsi="Arial" w:cs="Arial"/>
                <w:b/>
                <w:sz w:val="20"/>
                <w:szCs w:val="20"/>
              </w:rPr>
            </w:pPr>
            <w:r w:rsidRPr="00C665BB">
              <w:rPr>
                <w:rFonts w:ascii="Arial" w:hAnsi="Arial" w:cs="Arial"/>
                <w:b/>
                <w:sz w:val="20"/>
                <w:szCs w:val="20"/>
              </w:rPr>
              <w:t>USA</w:t>
            </w:r>
          </w:p>
        </w:tc>
        <w:tc>
          <w:tcPr>
            <w:tcW w:w="1981" w:type="dxa"/>
          </w:tcPr>
          <w:p w:rsidR="00C665BB" w:rsidRPr="00C665BB" w:rsidRDefault="00C665BB">
            <w:pPr>
              <w:pStyle w:val="TableParagraph"/>
              <w:ind w:right="453"/>
              <w:rPr>
                <w:rFonts w:ascii="Arial" w:hAnsi="Arial" w:cs="Arial"/>
                <w:b/>
                <w:sz w:val="20"/>
                <w:szCs w:val="20"/>
              </w:rPr>
            </w:pPr>
            <w:r w:rsidRPr="00C665BB">
              <w:rPr>
                <w:rFonts w:ascii="Arial" w:hAnsi="Arial" w:cs="Arial"/>
                <w:b/>
                <w:sz w:val="20"/>
                <w:szCs w:val="20"/>
              </w:rPr>
              <w:t>186,620</w:t>
            </w:r>
          </w:p>
        </w:tc>
        <w:tc>
          <w:tcPr>
            <w:tcW w:w="1834" w:type="dxa"/>
          </w:tcPr>
          <w:p w:rsidR="00C665BB" w:rsidRPr="00C665BB" w:rsidRDefault="00C665BB">
            <w:pPr>
              <w:pStyle w:val="TableParagraph"/>
              <w:ind w:left="354" w:right="401"/>
              <w:rPr>
                <w:rFonts w:ascii="Arial" w:hAnsi="Arial" w:cs="Arial"/>
                <w:sz w:val="20"/>
                <w:szCs w:val="20"/>
              </w:rPr>
            </w:pPr>
            <w:r w:rsidRPr="00C665BB">
              <w:rPr>
                <w:rFonts w:ascii="Arial" w:hAnsi="Arial" w:cs="Arial"/>
                <w:sz w:val="20"/>
                <w:szCs w:val="20"/>
              </w:rPr>
              <w:t>224,111</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-16.7%</w:t>
            </w:r>
          </w:p>
        </w:tc>
      </w:tr>
      <w:tr w:rsidR="00C665BB" w:rsidRPr="00C665BB">
        <w:trPr>
          <w:trHeight w:val="532"/>
        </w:trPr>
        <w:tc>
          <w:tcPr>
            <w:tcW w:w="2105" w:type="dxa"/>
          </w:tcPr>
          <w:p w:rsidR="00C665BB" w:rsidRPr="00C665BB" w:rsidRDefault="00C665BB">
            <w:pPr>
              <w:pStyle w:val="TableParagraph"/>
              <w:spacing w:before="116"/>
              <w:ind w:left="71"/>
              <w:jc w:val="left"/>
              <w:rPr>
                <w:rFonts w:ascii="Arial" w:hAnsi="Arial" w:cs="Arial"/>
                <w:b/>
                <w:sz w:val="20"/>
                <w:szCs w:val="20"/>
              </w:rPr>
            </w:pPr>
            <w:r w:rsidRPr="00C665BB">
              <w:rPr>
                <w:rFonts w:ascii="Arial" w:hAnsi="Arial" w:cs="Arial"/>
                <w:b/>
                <w:sz w:val="20"/>
                <w:szCs w:val="20"/>
              </w:rPr>
              <w:t>Mexico</w:t>
            </w:r>
          </w:p>
        </w:tc>
        <w:tc>
          <w:tcPr>
            <w:tcW w:w="1981" w:type="dxa"/>
          </w:tcPr>
          <w:p w:rsidR="00C665BB" w:rsidRPr="00C665BB" w:rsidRDefault="00C665BB">
            <w:pPr>
              <w:pStyle w:val="TableParagraph"/>
              <w:spacing w:before="116"/>
              <w:ind w:right="450"/>
              <w:rPr>
                <w:rFonts w:ascii="Arial" w:hAnsi="Arial" w:cs="Arial"/>
                <w:b/>
                <w:sz w:val="20"/>
                <w:szCs w:val="20"/>
              </w:rPr>
            </w:pPr>
            <w:r w:rsidRPr="00C665BB">
              <w:rPr>
                <w:rFonts w:ascii="Arial" w:hAnsi="Arial" w:cs="Arial"/>
                <w:b/>
                <w:sz w:val="20"/>
                <w:szCs w:val="20"/>
              </w:rPr>
              <w:t>9,834</w:t>
            </w:r>
          </w:p>
        </w:tc>
        <w:tc>
          <w:tcPr>
            <w:tcW w:w="1834" w:type="dxa"/>
          </w:tcPr>
          <w:p w:rsidR="00C665BB" w:rsidRPr="00C665BB" w:rsidRDefault="00C665BB">
            <w:pPr>
              <w:pStyle w:val="TableParagraph"/>
              <w:spacing w:before="116"/>
              <w:ind w:left="354" w:right="404"/>
              <w:rPr>
                <w:rFonts w:ascii="Arial" w:hAnsi="Arial" w:cs="Arial"/>
                <w:sz w:val="20"/>
                <w:szCs w:val="20"/>
              </w:rPr>
            </w:pPr>
            <w:r w:rsidRPr="00C665BB">
              <w:rPr>
                <w:rFonts w:ascii="Arial" w:hAnsi="Arial" w:cs="Arial"/>
                <w:sz w:val="20"/>
                <w:szCs w:val="20"/>
              </w:rPr>
              <w:t>12,458</w:t>
            </w:r>
          </w:p>
        </w:tc>
        <w:tc>
          <w:tcPr>
            <w:tcW w:w="2854" w:type="dxa"/>
          </w:tcPr>
          <w:p w:rsidR="00C665BB" w:rsidRPr="00C665BB" w:rsidRDefault="00C665BB">
            <w:pPr>
              <w:pStyle w:val="TableParagraph"/>
              <w:spacing w:before="116"/>
              <w:ind w:left="609" w:right="656"/>
              <w:rPr>
                <w:rFonts w:ascii="Arial" w:hAnsi="Arial" w:cs="Arial"/>
                <w:b/>
                <w:sz w:val="20"/>
                <w:szCs w:val="20"/>
              </w:rPr>
            </w:pPr>
            <w:r w:rsidRPr="00C665BB">
              <w:rPr>
                <w:rFonts w:ascii="Arial" w:hAnsi="Arial" w:cs="Arial"/>
                <w:b/>
                <w:sz w:val="20"/>
                <w:szCs w:val="20"/>
              </w:rPr>
              <w:t>-21.1%</w:t>
            </w:r>
          </w:p>
        </w:tc>
      </w:tr>
      <w:tr w:rsidR="00C665BB" w:rsidRPr="00C665BB">
        <w:trPr>
          <w:trHeight w:val="531"/>
        </w:trPr>
        <w:tc>
          <w:tcPr>
            <w:tcW w:w="2105" w:type="dxa"/>
          </w:tcPr>
          <w:p w:rsidR="00C665BB" w:rsidRPr="00C665BB" w:rsidRDefault="00C665BB">
            <w:pPr>
              <w:pStyle w:val="TableParagraph"/>
              <w:ind w:left="71"/>
              <w:jc w:val="left"/>
              <w:rPr>
                <w:rFonts w:ascii="Arial" w:hAnsi="Arial" w:cs="Arial"/>
                <w:b/>
                <w:sz w:val="20"/>
                <w:szCs w:val="20"/>
              </w:rPr>
            </w:pPr>
            <w:r w:rsidRPr="00C665BB">
              <w:rPr>
                <w:rFonts w:ascii="Arial" w:hAnsi="Arial" w:cs="Arial"/>
                <w:b/>
                <w:sz w:val="20"/>
                <w:szCs w:val="20"/>
              </w:rPr>
              <w:t>Brazil</w:t>
            </w:r>
          </w:p>
        </w:tc>
        <w:tc>
          <w:tcPr>
            <w:tcW w:w="1981" w:type="dxa"/>
          </w:tcPr>
          <w:p w:rsidR="00C665BB" w:rsidRPr="00C665BB" w:rsidRDefault="00C665BB">
            <w:pPr>
              <w:pStyle w:val="TableParagraph"/>
              <w:ind w:right="450"/>
              <w:rPr>
                <w:rFonts w:ascii="Arial" w:hAnsi="Arial" w:cs="Arial"/>
                <w:b/>
                <w:sz w:val="20"/>
                <w:szCs w:val="20"/>
              </w:rPr>
            </w:pPr>
            <w:r w:rsidRPr="00C665BB">
              <w:rPr>
                <w:rFonts w:ascii="Arial" w:hAnsi="Arial" w:cs="Arial"/>
                <w:b/>
                <w:sz w:val="20"/>
                <w:szCs w:val="20"/>
              </w:rPr>
              <w:t>6,680</w:t>
            </w:r>
          </w:p>
        </w:tc>
        <w:tc>
          <w:tcPr>
            <w:tcW w:w="1834" w:type="dxa"/>
          </w:tcPr>
          <w:p w:rsidR="00C665BB" w:rsidRPr="00C665BB" w:rsidRDefault="00C665BB">
            <w:pPr>
              <w:pStyle w:val="TableParagraph"/>
              <w:ind w:left="354" w:right="401"/>
              <w:rPr>
                <w:rFonts w:ascii="Arial" w:hAnsi="Arial" w:cs="Arial"/>
                <w:sz w:val="20"/>
                <w:szCs w:val="20"/>
              </w:rPr>
            </w:pPr>
            <w:r w:rsidRPr="00C665BB">
              <w:rPr>
                <w:rFonts w:ascii="Arial" w:hAnsi="Arial" w:cs="Arial"/>
                <w:sz w:val="20"/>
                <w:szCs w:val="20"/>
              </w:rPr>
              <w:t>8,269</w:t>
            </w:r>
          </w:p>
        </w:tc>
        <w:tc>
          <w:tcPr>
            <w:tcW w:w="2854" w:type="dxa"/>
          </w:tcPr>
          <w:p w:rsidR="00C665BB" w:rsidRPr="00C665BB" w:rsidRDefault="00C665BB">
            <w:pPr>
              <w:pStyle w:val="TableParagraph"/>
              <w:ind w:left="609" w:right="656"/>
              <w:rPr>
                <w:rFonts w:ascii="Arial" w:hAnsi="Arial" w:cs="Arial"/>
                <w:b/>
                <w:sz w:val="20"/>
                <w:szCs w:val="20"/>
              </w:rPr>
            </w:pPr>
            <w:r w:rsidRPr="00C665BB">
              <w:rPr>
                <w:rFonts w:ascii="Arial" w:hAnsi="Arial" w:cs="Arial"/>
                <w:b/>
                <w:sz w:val="20"/>
                <w:szCs w:val="20"/>
              </w:rPr>
              <w:t>-19.2%</w:t>
            </w:r>
          </w:p>
        </w:tc>
      </w:tr>
      <w:tr w:rsidR="00C665BB" w:rsidRPr="00C665BB">
        <w:trPr>
          <w:trHeight w:val="745"/>
        </w:trPr>
        <w:tc>
          <w:tcPr>
            <w:tcW w:w="2105" w:type="dxa"/>
          </w:tcPr>
          <w:p w:rsidR="00C665BB" w:rsidRPr="00C665BB" w:rsidRDefault="00C665BB">
            <w:pPr>
              <w:pStyle w:val="TableParagraph"/>
              <w:spacing w:before="23" w:line="360" w:lineRule="exact"/>
              <w:ind w:left="71" w:right="71"/>
              <w:jc w:val="left"/>
              <w:rPr>
                <w:rFonts w:ascii="Arial" w:hAnsi="Arial" w:cs="Arial"/>
                <w:b/>
                <w:sz w:val="20"/>
                <w:szCs w:val="20"/>
              </w:rPr>
            </w:pPr>
            <w:r w:rsidRPr="00C665BB">
              <w:rPr>
                <w:rFonts w:ascii="Arial" w:hAnsi="Arial" w:cs="Arial"/>
                <w:b/>
                <w:sz w:val="20"/>
                <w:szCs w:val="20"/>
              </w:rPr>
              <w:t>Chinese Mainland + Hong Kong</w:t>
            </w:r>
          </w:p>
        </w:tc>
        <w:tc>
          <w:tcPr>
            <w:tcW w:w="1981" w:type="dxa"/>
          </w:tcPr>
          <w:p w:rsidR="00C665BB" w:rsidRPr="00C665BB" w:rsidRDefault="00C665BB">
            <w:pPr>
              <w:pStyle w:val="TableParagraph"/>
              <w:ind w:right="453"/>
              <w:rPr>
                <w:rFonts w:ascii="Arial" w:hAnsi="Arial" w:cs="Arial"/>
                <w:b/>
                <w:sz w:val="20"/>
                <w:szCs w:val="20"/>
              </w:rPr>
            </w:pPr>
            <w:r w:rsidRPr="00C665BB">
              <w:rPr>
                <w:rFonts w:ascii="Arial" w:hAnsi="Arial" w:cs="Arial"/>
                <w:b/>
                <w:sz w:val="20"/>
                <w:szCs w:val="20"/>
              </w:rPr>
              <w:t>727,358</w:t>
            </w:r>
          </w:p>
        </w:tc>
        <w:tc>
          <w:tcPr>
            <w:tcW w:w="1834" w:type="dxa"/>
          </w:tcPr>
          <w:p w:rsidR="00C665BB" w:rsidRPr="00C665BB" w:rsidRDefault="00C665BB">
            <w:pPr>
              <w:pStyle w:val="TableParagraph"/>
              <w:ind w:left="352" w:right="404"/>
              <w:rPr>
                <w:rFonts w:ascii="Arial" w:hAnsi="Arial" w:cs="Arial"/>
                <w:sz w:val="20"/>
                <w:szCs w:val="20"/>
              </w:rPr>
            </w:pPr>
            <w:r w:rsidRPr="00C665BB">
              <w:rPr>
                <w:rFonts w:ascii="Arial" w:hAnsi="Arial" w:cs="Arial"/>
                <w:sz w:val="20"/>
                <w:szCs w:val="20"/>
              </w:rPr>
              <w:t>690,083</w:t>
            </w:r>
          </w:p>
        </w:tc>
        <w:tc>
          <w:tcPr>
            <w:tcW w:w="2854" w:type="dxa"/>
          </w:tcPr>
          <w:p w:rsidR="00C665BB" w:rsidRPr="00C665BB" w:rsidRDefault="00C665BB">
            <w:pPr>
              <w:pStyle w:val="TableParagraph"/>
              <w:ind w:left="607" w:right="659"/>
              <w:rPr>
                <w:rFonts w:ascii="Arial" w:hAnsi="Arial" w:cs="Arial"/>
                <w:b/>
                <w:sz w:val="20"/>
                <w:szCs w:val="20"/>
              </w:rPr>
            </w:pPr>
            <w:r w:rsidRPr="00C665BB">
              <w:rPr>
                <w:rFonts w:ascii="Arial" w:hAnsi="Arial" w:cs="Arial"/>
                <w:b/>
                <w:sz w:val="20"/>
                <w:szCs w:val="20"/>
              </w:rPr>
              <w:t>+5.4%</w:t>
            </w:r>
          </w:p>
        </w:tc>
      </w:tr>
    </w:tbl>
    <w:p w:rsidR="00C665BB" w:rsidRPr="00C665BB" w:rsidRDefault="00C665BB">
      <w:pPr>
        <w:pStyle w:val="Corpsdetexte"/>
        <w:spacing w:before="12"/>
        <w:rPr>
          <w:sz w:val="24"/>
        </w:rPr>
      </w:pPr>
    </w:p>
    <w:p w:rsidR="00B40F6C" w:rsidRPr="00C665BB" w:rsidRDefault="00B40F6C" w:rsidP="00B40F6C">
      <w:pPr>
        <w:pStyle w:val="BodyAudi"/>
        <w:rPr>
          <w:lang w:val="fr-BE"/>
        </w:rPr>
      </w:pPr>
    </w:p>
    <w:p w:rsidR="00B44FE6" w:rsidRPr="00C665BB" w:rsidRDefault="00B44FE6" w:rsidP="00B40F6C">
      <w:pPr>
        <w:pStyle w:val="BodyAudi"/>
        <w:rPr>
          <w:lang w:val="fr-BE"/>
        </w:rPr>
      </w:pPr>
    </w:p>
    <w:p w:rsidR="00B44FE6" w:rsidRPr="00C665BB" w:rsidRDefault="00B44FE6" w:rsidP="00B44FE6">
      <w:pPr>
        <w:pStyle w:val="BodyAudi"/>
        <w:rPr>
          <w:lang w:val="fr-BE"/>
        </w:rPr>
      </w:pPr>
      <w:r w:rsidRPr="00C665BB">
        <w:rPr>
          <w:lang w:val="fr-BE"/>
        </w:rPr>
        <w:br w:type="page"/>
      </w:r>
    </w:p>
    <w:p w:rsidR="00B44FE6" w:rsidRPr="00C665BB" w:rsidRDefault="00B44FE6" w:rsidP="00B44FE6">
      <w:pPr>
        <w:pStyle w:val="BodyAudi"/>
        <w:rPr>
          <w:lang w:val="fr-BE"/>
        </w:rPr>
      </w:pPr>
    </w:p>
    <w:p w:rsidR="00F942FF" w:rsidRPr="00C665BB" w:rsidRDefault="00F942FF" w:rsidP="00B44FE6">
      <w:pPr>
        <w:pStyle w:val="BodyAudi"/>
        <w:rPr>
          <w:lang w:val="fr-BE"/>
        </w:rPr>
      </w:pPr>
    </w:p>
    <w:p w:rsidR="00F942FF" w:rsidRPr="00C665BB" w:rsidRDefault="00A26FB9" w:rsidP="00A26FB9">
      <w:pPr>
        <w:pStyle w:val="Body"/>
        <w:jc w:val="both"/>
        <w:rPr>
          <w:sz w:val="18"/>
          <w:szCs w:val="18"/>
          <w:lang w:val="fr-BE"/>
        </w:rPr>
      </w:pPr>
      <w:r w:rsidRPr="00C665BB">
        <w:rPr>
          <w:sz w:val="18"/>
          <w:szCs w:val="18"/>
          <w:lang w:val="fr-BE"/>
        </w:rPr>
        <w:t>Le Groupe Audi emploie plus de 90 000 personnes dans le monde, dont plus de 2 500 en Belgique. En 2019, la marque aux quatre anneaux a vendu près de 1,845 million de voitures neuves. Parmi celles-ci, 31 183 ont été immatriculées en Belgique, où la part de marché d’Audi était de 5,7</w:t>
      </w:r>
      <w:r w:rsidRPr="00C665BB">
        <w:rPr>
          <w:rFonts w:ascii="Arial" w:hAnsi="Arial" w:cs="Arial"/>
          <w:sz w:val="18"/>
          <w:szCs w:val="18"/>
          <w:lang w:val="fr-BE"/>
        </w:rPr>
        <w:t> </w:t>
      </w:r>
      <w:r w:rsidRPr="00C665BB">
        <w:rPr>
          <w:sz w:val="18"/>
          <w:szCs w:val="18"/>
          <w:lang w:val="fr-BE"/>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C665BB"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A5A" w:rsidRDefault="00C67A5A" w:rsidP="00B44FE6">
      <w:pPr>
        <w:spacing w:after="0" w:line="240" w:lineRule="auto"/>
      </w:pPr>
      <w:r>
        <w:separator/>
      </w:r>
    </w:p>
  </w:endnote>
  <w:endnote w:type="continuationSeparator" w:id="0">
    <w:p w:rsidR="00C67A5A" w:rsidRDefault="00C67A5A" w:rsidP="00B44FE6">
      <w:pPr>
        <w:spacing w:after="0" w:line="240" w:lineRule="auto"/>
      </w:pPr>
      <w:r>
        <w:continuationSeparator/>
      </w:r>
    </w:p>
  </w:endnote>
  <w:endnote w:type="continuationNotice" w:id="1">
    <w:p w:rsidR="00C67A5A" w:rsidRDefault="00C67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A5A" w:rsidRDefault="00C67A5A" w:rsidP="00B44FE6">
      <w:pPr>
        <w:spacing w:after="0" w:line="240" w:lineRule="auto"/>
      </w:pPr>
      <w:r>
        <w:separator/>
      </w:r>
    </w:p>
  </w:footnote>
  <w:footnote w:type="continuationSeparator" w:id="0">
    <w:p w:rsidR="00C67A5A" w:rsidRDefault="00C67A5A" w:rsidP="00B44FE6">
      <w:pPr>
        <w:spacing w:after="0" w:line="240" w:lineRule="auto"/>
      </w:pPr>
      <w:r>
        <w:continuationSeparator/>
      </w:r>
    </w:p>
  </w:footnote>
  <w:footnote w:type="continuationNotice" w:id="1">
    <w:p w:rsidR="00C67A5A" w:rsidRDefault="00C67A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BE2F44"/>
    <w:multiLevelType w:val="hybridMultilevel"/>
    <w:tmpl w:val="E6D8A4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652D04"/>
    <w:multiLevelType w:val="hybridMultilevel"/>
    <w:tmpl w:val="FFAE3C42"/>
    <w:lvl w:ilvl="0" w:tplc="12A25456">
      <w:start w:val="28"/>
      <w:numFmt w:val="bullet"/>
      <w:lvlText w:val="-"/>
      <w:lvlJc w:val="left"/>
      <w:pPr>
        <w:ind w:left="720" w:hanging="360"/>
      </w:pPr>
      <w:rPr>
        <w:rFonts w:ascii="Audi Type" w:eastAsia="Audi Type" w:hAnsi="Audi Type" w:cs="Audi Typ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CF8357E"/>
    <w:multiLevelType w:val="hybridMultilevel"/>
    <w:tmpl w:val="D26C0D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5A"/>
    <w:rsid w:val="00070B0C"/>
    <w:rsid w:val="000B6750"/>
    <w:rsid w:val="003C6B7B"/>
    <w:rsid w:val="003D24F8"/>
    <w:rsid w:val="004143E6"/>
    <w:rsid w:val="004353BC"/>
    <w:rsid w:val="00443E9C"/>
    <w:rsid w:val="004A3296"/>
    <w:rsid w:val="004E6529"/>
    <w:rsid w:val="005D2F6F"/>
    <w:rsid w:val="00672882"/>
    <w:rsid w:val="007A7496"/>
    <w:rsid w:val="00A26FB9"/>
    <w:rsid w:val="00A35D6F"/>
    <w:rsid w:val="00B40F6C"/>
    <w:rsid w:val="00B44FE6"/>
    <w:rsid w:val="00BF0A66"/>
    <w:rsid w:val="00C665BB"/>
    <w:rsid w:val="00C67A5A"/>
    <w:rsid w:val="00CA2181"/>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DAFCF5-9184-4873-B30F-C8334220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paragraph" w:styleId="Corpsdetexte">
    <w:name w:val="Body Text"/>
    <w:basedOn w:val="Normal"/>
    <w:link w:val="CorpsdetexteCar"/>
    <w:uiPriority w:val="1"/>
    <w:qFormat/>
    <w:rsid w:val="00C665BB"/>
    <w:pPr>
      <w:widowControl w:val="0"/>
      <w:autoSpaceDE w:val="0"/>
      <w:autoSpaceDN w:val="0"/>
      <w:spacing w:after="0" w:line="240" w:lineRule="auto"/>
    </w:pPr>
    <w:rPr>
      <w:rFonts w:ascii="Audi Type" w:eastAsia="Audi Type" w:hAnsi="Audi Type" w:cs="Audi Type"/>
      <w:sz w:val="20"/>
      <w:szCs w:val="20"/>
      <w:lang w:val="fr-BE"/>
    </w:rPr>
  </w:style>
  <w:style w:type="character" w:customStyle="1" w:styleId="CorpsdetexteCar">
    <w:name w:val="Corps de texte Car"/>
    <w:basedOn w:val="Policepardfaut"/>
    <w:link w:val="Corpsdetexte"/>
    <w:uiPriority w:val="1"/>
    <w:rsid w:val="00C665BB"/>
    <w:rPr>
      <w:rFonts w:ascii="Audi Type" w:eastAsia="Audi Type" w:hAnsi="Audi Type" w:cs="Audi Type"/>
      <w:sz w:val="20"/>
      <w:szCs w:val="20"/>
      <w:lang w:val="fr-BE"/>
    </w:rPr>
  </w:style>
  <w:style w:type="paragraph" w:customStyle="1" w:styleId="TableParagraph">
    <w:name w:val="Table Paragraph"/>
    <w:basedOn w:val="Normal"/>
    <w:uiPriority w:val="1"/>
    <w:qFormat/>
    <w:rsid w:val="00C665BB"/>
    <w:pPr>
      <w:widowControl w:val="0"/>
      <w:autoSpaceDE w:val="0"/>
      <w:autoSpaceDN w:val="0"/>
      <w:spacing w:before="115" w:after="0" w:line="240" w:lineRule="auto"/>
      <w:ind w:left="402"/>
      <w:jc w:val="center"/>
    </w:pPr>
    <w:rPr>
      <w:rFonts w:ascii="Audi Type" w:eastAsia="Audi Type" w:hAnsi="Audi Type" w:cs="Audi Typ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896</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Petropoulos Elisa</cp:lastModifiedBy>
  <cp:revision>3</cp:revision>
  <dcterms:created xsi:type="dcterms:W3CDTF">2021-01-13T10:26:00Z</dcterms:created>
  <dcterms:modified xsi:type="dcterms:W3CDTF">2021-01-13T13:04:00Z</dcterms:modified>
</cp:coreProperties>
</file>