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2324100</wp:posOffset>
            </wp:positionH>
            <wp:positionV relativeFrom="paragraph">
              <wp:posOffset>114300</wp:posOffset>
            </wp:positionV>
            <wp:extent cx="1057275" cy="9286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5961" l="22435" r="23397" t="2644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8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Coctelería para el Día Nacional de las Abejas con Jack Daniel’s Tennessee Honey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Ciudad de Méxic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17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agosto de 2021</w:t>
      </w:r>
      <w:r w:rsidDel="00000000" w:rsidR="00000000" w:rsidRPr="00000000">
        <w:rPr>
          <w:b w:val="1"/>
          <w:sz w:val="24"/>
          <w:szCs w:val="24"/>
          <w:rtl w:val="0"/>
        </w:rPr>
        <w:t xml:space="preserve">.-</w:t>
      </w:r>
      <w:r w:rsidDel="00000000" w:rsidR="00000000" w:rsidRPr="00000000">
        <w:rPr>
          <w:sz w:val="24"/>
          <w:szCs w:val="24"/>
          <w:rtl w:val="0"/>
        </w:rPr>
        <w:t xml:space="preserve"> ¿Qué sería del mundo sin las abejas? En pocas palabras, ningún ser vivo existiría y por ende ningún producto derivado. Son uno de los polinizadores más importantes ya que, gracias a ellas existe un equilibrio en el mundo.</w:t>
      </w:r>
      <w:r w:rsidDel="00000000" w:rsidR="00000000" w:rsidRPr="00000000">
        <w:rPr>
          <w:sz w:val="24"/>
          <w:szCs w:val="24"/>
          <w:rtl w:val="0"/>
        </w:rPr>
        <w:t xml:space="preserve"> En México, se reconoce su labor el 17 de agosto, esto como un homenaje para concientizar y proteger a las más de 20,000 especies existentes,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rtl w:val="0"/>
        </w:rPr>
        <w:t xml:space="preserve"> las cuales </w:t>
      </w:r>
      <w:r w:rsidDel="00000000" w:rsidR="00000000" w:rsidRPr="00000000">
        <w:rPr>
          <w:sz w:val="24"/>
          <w:szCs w:val="24"/>
          <w:rtl w:val="0"/>
        </w:rPr>
        <w:t xml:space="preserve">solamente 7 familias son </w:t>
      </w:r>
      <w:r w:rsidDel="00000000" w:rsidR="00000000" w:rsidRPr="00000000">
        <w:rPr>
          <w:sz w:val="24"/>
          <w:szCs w:val="24"/>
          <w:rtl w:val="0"/>
        </w:rPr>
        <w:t xml:space="preserve">melíferas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Debido a su contribución para el mundo y a la producción de miel, en el 2011 se logró la mejor mezcla de notas de sabor con este néctar dorado y su nombre es Jack Daniel 's Tennessee Honey. Una combinación del clásico Old No. 7 con un licor a base de miel de abeja, en el que se resaltan sus notas de vainilla y caramelo. Además es elaborado en la destilería más antigua de Estados Unidos, dando como resultado la gota más honey de Jack.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 características lo hacen perfecto para acompañarse en un trago largo, disfrutarse en la rocas o simplemente frío. Desde su lanzamiento, se han creado cócteles insignia que son como un homenaje a la miel y las abejas, porque al igual que Mr. Jack, han dejado un legado al mundo, por ello para conmemorar este día, Jack Daniel’s trae una serie de </w:t>
      </w:r>
      <w:r w:rsidDel="00000000" w:rsidR="00000000" w:rsidRPr="00000000">
        <w:rPr>
          <w:sz w:val="24"/>
          <w:szCs w:val="24"/>
          <w:rtl w:val="0"/>
        </w:rPr>
        <w:t xml:space="preserve">recetas </w:t>
      </w:r>
      <w:r w:rsidDel="00000000" w:rsidR="00000000" w:rsidRPr="00000000">
        <w:rPr>
          <w:sz w:val="24"/>
          <w:szCs w:val="24"/>
          <w:rtl w:val="0"/>
        </w:rPr>
        <w:t xml:space="preserve">elaboradas con Tennessee Honey, ¿quieres conocerlas? Sigue leyendo…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Honey lemonade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Ingredientes: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 ml de Jack Honey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ml de jugo de limón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 de agua mineral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Hielo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Garnitura de limón 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Cristalería: </w:t>
      </w:r>
      <w:r w:rsidDel="00000000" w:rsidR="00000000" w:rsidRPr="00000000">
        <w:rPr>
          <w:sz w:val="24"/>
          <w:szCs w:val="24"/>
          <w:rtl w:val="0"/>
        </w:rPr>
        <w:t xml:space="preserve">Vaso highball o Mason Jar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Procedimiento: </w:t>
      </w:r>
      <w:r w:rsidDel="00000000" w:rsidR="00000000" w:rsidRPr="00000000">
        <w:rPr>
          <w:sz w:val="24"/>
          <w:szCs w:val="24"/>
          <w:rtl w:val="0"/>
        </w:rPr>
        <w:t xml:space="preserve">Agregar hielos al vaso, verter los 50ml de Jack Honey, 10ml de jugo de limón y el top de agua mineral, para finalmente decorar con rodajas de limón.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Jack Honey Smash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 ml de Jack Honey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ml de jugo de limón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ml de jarabe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hojas de menta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Hielo 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Cristalería: </w:t>
      </w:r>
      <w:r w:rsidDel="00000000" w:rsidR="00000000" w:rsidRPr="00000000">
        <w:rPr>
          <w:sz w:val="24"/>
          <w:szCs w:val="24"/>
          <w:rtl w:val="0"/>
        </w:rPr>
        <w:t xml:space="preserve">Vaso highball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Procedimiento: </w:t>
      </w:r>
      <w:r w:rsidDel="00000000" w:rsidR="00000000" w:rsidRPr="00000000">
        <w:rPr>
          <w:sz w:val="24"/>
          <w:szCs w:val="24"/>
          <w:rtl w:val="0"/>
        </w:rPr>
        <w:t xml:space="preserve">En un shaker agregar hielo picado y el resto de los ingredientes, agitar vigorosamente y servir con doble colado en el vaso highball con hielo picado. Decorar con una ramita de menta. 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CaraHoney</w:t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Ingredientes: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50 ml de Jack Honey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25 ml de jarabe natural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shot de espresso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pizca de cardamomo molido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 hojas de hierbabuena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Cristalería: </w:t>
      </w:r>
      <w:r w:rsidDel="00000000" w:rsidR="00000000" w:rsidRPr="00000000">
        <w:rPr>
          <w:sz w:val="24"/>
          <w:szCs w:val="24"/>
          <w:rtl w:val="0"/>
        </w:rPr>
        <w:t xml:space="preserve">Vaso Old Fashioned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Procedimiento: </w:t>
      </w:r>
      <w:r w:rsidDel="00000000" w:rsidR="00000000" w:rsidRPr="00000000">
        <w:rPr>
          <w:sz w:val="24"/>
          <w:szCs w:val="24"/>
          <w:rtl w:val="0"/>
        </w:rPr>
        <w:t xml:space="preserve">En un shaker, macerar las hojas de hierbabuena. Agregar hielo y el resto de los ingredientes. Agitar y servir con doble colado en un vaso Old Fashioned con hielo. Decorar con hierbabuena y cardamomo. </w:t>
      </w:r>
    </w:p>
    <w:p w:rsidR="00000000" w:rsidDel="00000000" w:rsidP="00000000" w:rsidRDefault="00000000" w:rsidRPr="00000000" w14:paraId="0000003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ada atardecer y su hora dorada reflejan el color de estos cócteles, que representan el lado más honey de Jack Daniel’s y recuerda, el consumo responsable hará la diferencia. 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Para saber más visita: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https://www.jackdaniels.com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Síguenos en: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Facebook: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https://www.facebook.com/JackDanielsMx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https://twitter.com/jackdaniels_mx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Instagram: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http://instagram.com/jackdanielsmexico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b w:val="1"/>
          <w:color w:val="555555"/>
          <w:sz w:val="24"/>
          <w:szCs w:val="24"/>
        </w:rPr>
      </w:pPr>
      <w:r w:rsidDel="00000000" w:rsidR="00000000" w:rsidRPr="00000000">
        <w:rPr>
          <w:rtl w:val="0"/>
        </w:rPr>
        <w:t xml:space="preserve">YouTube: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https://www.youtube.com/user/JackDaniel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</w:t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QPRW                         </w:t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José Sámano            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jose@qprw.co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user/JackDaniels" TargetMode="External"/><Relationship Id="rId10" Type="http://schemas.openxmlformats.org/officeDocument/2006/relationships/hyperlink" Target="http://instagram.com/jackdanielsmexico" TargetMode="External"/><Relationship Id="rId12" Type="http://schemas.openxmlformats.org/officeDocument/2006/relationships/hyperlink" Target="mailto:jose@qprw.co" TargetMode="External"/><Relationship Id="rId9" Type="http://schemas.openxmlformats.org/officeDocument/2006/relationships/hyperlink" Target="https://twitter.com/jackdaniels_m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jackdaniels.com" TargetMode="External"/><Relationship Id="rId8" Type="http://schemas.openxmlformats.org/officeDocument/2006/relationships/hyperlink" Target="https://www.facebook.com/JackDaniels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