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12E2" w14:textId="77777777" w:rsidR="00F86340" w:rsidRPr="00A10F91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9719AB" w:rsidRPr="001C0DF7" w14:paraId="275DAF75" w14:textId="77777777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4234012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9719AB" w:rsidRPr="001C0DF7" w14:paraId="1990F83E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5020E8D4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9719AB" w:rsidRPr="001C0DF7" w14:paraId="573E7475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6990133A" w14:textId="1AF0BFC2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="001B4157" w:rsidRPr="001C0DF7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9719AB" w:rsidRPr="001C0DF7" w14:paraId="1F26121A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0684EC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9719AB" w:rsidRPr="001C0DF7" w14:paraId="6520A777" w14:textId="77777777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291240C" w14:textId="77777777" w:rsidR="00F86340" w:rsidRPr="001C0DF7" w:rsidRDefault="00B403B8" w:rsidP="001A343C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1C0DF7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C56888" w14:textId="77777777" w:rsidR="00F86340" w:rsidRPr="001C0DF7" w:rsidRDefault="00F86340" w:rsidP="001A343C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47FD41" w14:textId="77777777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4CB63E9" w14:textId="26E9C932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9C48517" w14:textId="01904FE4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332739C" w14:textId="25495843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18A009C" w14:textId="56B71B8C" w:rsidR="00F86340" w:rsidRPr="001C0DF7" w:rsidRDefault="00B403B8" w:rsidP="001A343C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1C0DF7">
        <w:rPr>
          <w:rFonts w:ascii="Verdana" w:eastAsia="Verdana" w:hAnsi="Verdana" w:cs="Verdana"/>
          <w:sz w:val="20"/>
          <w:szCs w:val="20"/>
        </w:rPr>
        <w:t>София,</w:t>
      </w:r>
    </w:p>
    <w:p w14:paraId="364651D1" w14:textId="4D31542A" w:rsidR="00F86340" w:rsidRPr="001C0DF7" w:rsidRDefault="00434EE7" w:rsidP="001A343C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A10F91">
        <w:rPr>
          <w:rFonts w:ascii="Verdana" w:eastAsia="Verdana" w:hAnsi="Verdana" w:cs="Verdana"/>
          <w:sz w:val="20"/>
          <w:szCs w:val="20"/>
        </w:rPr>
        <w:t>21</w:t>
      </w:r>
      <w:r w:rsidR="009B6C4F" w:rsidRPr="001C0DF7">
        <w:rPr>
          <w:rFonts w:ascii="Verdana" w:eastAsia="Verdana" w:hAnsi="Verdana" w:cs="Verdana"/>
          <w:sz w:val="20"/>
          <w:szCs w:val="20"/>
        </w:rPr>
        <w:t>.</w:t>
      </w:r>
      <w:r w:rsidRPr="00A10F91">
        <w:rPr>
          <w:rFonts w:ascii="Verdana" w:eastAsia="Verdana" w:hAnsi="Verdana" w:cs="Verdana"/>
          <w:sz w:val="20"/>
          <w:szCs w:val="20"/>
        </w:rPr>
        <w:t>10</w:t>
      </w:r>
      <w:r w:rsidR="00B403B8" w:rsidRPr="001C0DF7">
        <w:rPr>
          <w:rFonts w:ascii="Verdana" w:eastAsia="Verdana" w:hAnsi="Verdana" w:cs="Verdana"/>
          <w:sz w:val="20"/>
          <w:szCs w:val="20"/>
        </w:rPr>
        <w:t>.2024 г.</w:t>
      </w:r>
    </w:p>
    <w:p w14:paraId="42BD7D0B" w14:textId="4560284D" w:rsidR="00F86340" w:rsidRPr="001C0DF7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A72D8B9" w14:textId="772AE0FD" w:rsidR="00F86340" w:rsidRPr="001C0DF7" w:rsidRDefault="00F86340" w:rsidP="001A343C">
      <w:pPr>
        <w:spacing w:after="0" w:line="288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013A676C" w14:textId="5E03086E" w:rsidR="00F34628" w:rsidRPr="001C0DF7" w:rsidRDefault="00952A7E" w:rsidP="001A343C">
      <w:pPr>
        <w:jc w:val="both"/>
        <w:rPr>
          <w:rFonts w:ascii="Verdana" w:eastAsia="Verdana" w:hAnsi="Verdana" w:cs="Verdana"/>
          <w:b/>
          <w:sz w:val="24"/>
          <w:szCs w:val="24"/>
        </w:rPr>
      </w:pPr>
      <w:r w:rsidRPr="001C0DF7">
        <w:rPr>
          <w:rFonts w:ascii="Verdana" w:eastAsia="Verdana" w:hAnsi="Verdana" w:cs="Verdana"/>
          <w:b/>
          <w:sz w:val="24"/>
          <w:szCs w:val="24"/>
        </w:rPr>
        <w:t>„</w:t>
      </w:r>
      <w:proofErr w:type="spellStart"/>
      <w:r w:rsidRPr="001C0DF7">
        <w:rPr>
          <w:rFonts w:ascii="Verdana" w:eastAsia="Verdana" w:hAnsi="Verdana" w:cs="Verdana"/>
          <w:b/>
          <w:sz w:val="24"/>
          <w:szCs w:val="24"/>
        </w:rPr>
        <w:t>Бийтълджус</w:t>
      </w:r>
      <w:proofErr w:type="spellEnd"/>
      <w:r w:rsidRPr="001C0DF7">
        <w:rPr>
          <w:rFonts w:ascii="Verdana" w:eastAsia="Verdana" w:hAnsi="Verdana" w:cs="Verdana"/>
          <w:b/>
          <w:sz w:val="24"/>
          <w:szCs w:val="24"/>
        </w:rPr>
        <w:t xml:space="preserve"> </w:t>
      </w:r>
      <w:proofErr w:type="spellStart"/>
      <w:r w:rsidRPr="001C0DF7">
        <w:rPr>
          <w:rFonts w:ascii="Verdana" w:eastAsia="Verdana" w:hAnsi="Verdana" w:cs="Verdana"/>
          <w:b/>
          <w:sz w:val="24"/>
          <w:szCs w:val="24"/>
        </w:rPr>
        <w:t>Бийтълджус</w:t>
      </w:r>
      <w:proofErr w:type="spellEnd"/>
      <w:r w:rsidRPr="001C0DF7">
        <w:rPr>
          <w:rFonts w:ascii="Verdana" w:eastAsia="Verdana" w:hAnsi="Verdana" w:cs="Verdana"/>
          <w:b/>
          <w:sz w:val="24"/>
          <w:szCs w:val="24"/>
        </w:rPr>
        <w:t xml:space="preserve">“ </w:t>
      </w:r>
      <w:r w:rsidR="001B762D" w:rsidRPr="001C0DF7">
        <w:rPr>
          <w:rFonts w:ascii="Verdana" w:eastAsia="Verdana" w:hAnsi="Verdana" w:cs="Verdana"/>
          <w:b/>
          <w:sz w:val="24"/>
          <w:szCs w:val="24"/>
        </w:rPr>
        <w:t xml:space="preserve">е </w:t>
      </w:r>
      <w:r w:rsidR="00434EE7" w:rsidRPr="001C0DF7">
        <w:rPr>
          <w:rFonts w:ascii="Verdana" w:eastAsia="Verdana" w:hAnsi="Verdana" w:cs="Verdana"/>
          <w:b/>
          <w:sz w:val="24"/>
          <w:szCs w:val="24"/>
        </w:rPr>
        <w:t xml:space="preserve">част от </w:t>
      </w:r>
      <w:r w:rsidR="001B762D" w:rsidRPr="001C0DF7">
        <w:rPr>
          <w:rFonts w:ascii="Verdana" w:eastAsia="Verdana" w:hAnsi="Verdana" w:cs="Verdana"/>
          <w:b/>
          <w:sz w:val="24"/>
          <w:szCs w:val="24"/>
        </w:rPr>
        <w:t>А1 Видеотека</w:t>
      </w:r>
    </w:p>
    <w:p w14:paraId="4EBA8C55" w14:textId="148D0661" w:rsidR="001A343C" w:rsidRPr="001C0DF7" w:rsidRDefault="001D121E" w:rsidP="001A343C">
      <w:pPr>
        <w:jc w:val="both"/>
        <w:rPr>
          <w:rFonts w:ascii="Verdana" w:eastAsia="Verdana" w:hAnsi="Verdana" w:cs="Verdana"/>
          <w:sz w:val="20"/>
          <w:szCs w:val="20"/>
        </w:rPr>
      </w:pPr>
      <w:r w:rsidRPr="00A10F9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hidden="0" allowOverlap="1" wp14:anchorId="1FE16177" wp14:editId="729E41F2">
                <wp:simplePos x="0" y="0"/>
                <wp:positionH relativeFrom="margin">
                  <wp:align>left</wp:align>
                </wp:positionH>
                <wp:positionV relativeFrom="paragraph">
                  <wp:posOffset>133957</wp:posOffset>
                </wp:positionV>
                <wp:extent cx="6080760" cy="1276350"/>
                <wp:effectExtent l="0" t="0" r="1524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12763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A924F3" w14:textId="77777777" w:rsidR="00FB0D63" w:rsidRPr="00B421EC" w:rsidRDefault="00FB0D63" w:rsidP="00E17EC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16177" id="Rectangle 16" o:spid="_x0000_s1026" style="position:absolute;left:0;text-align:left;margin-left:0;margin-top:10.55pt;width:478.8pt;height:100.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AA924F3" w14:textId="77777777" w:rsidR="00FB0D63" w:rsidRPr="00B421EC" w:rsidRDefault="00FB0D63" w:rsidP="00E17EC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C132F8" w14:textId="18AF3DAF" w:rsidR="00FB0D63" w:rsidRPr="001C0DF7" w:rsidRDefault="00952A7E" w:rsidP="00FB0D6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Световноизвестн</w:t>
      </w:r>
      <w:r w:rsidR="001B762D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ият филм</w:t>
      </w:r>
      <w:r w:rsidR="00F34628"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„</w:t>
      </w:r>
      <w:proofErr w:type="spellStart"/>
      <w:r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Бийтълджус</w:t>
      </w:r>
      <w:proofErr w:type="spellEnd"/>
      <w:r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</w:t>
      </w:r>
      <w:proofErr w:type="spellStart"/>
      <w:r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Бийтълджус</w:t>
      </w:r>
      <w:proofErr w:type="spellEnd"/>
      <w:r w:rsidR="00F34628"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“</w:t>
      </w:r>
      <w:r w:rsidR="00F34628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434EE7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идва право от големия екран </w:t>
      </w:r>
      <w:r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за зрителите</w:t>
      </w:r>
      <w:r w:rsidR="00F34628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A53A13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на </w:t>
      </w:r>
      <w:r w:rsidR="00F34628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А1 Виде</w:t>
      </w:r>
      <w:r w:rsidR="009526C0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от</w:t>
      </w:r>
      <w:r w:rsidR="00F34628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ека</w:t>
      </w:r>
      <w:r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.</w:t>
      </w:r>
    </w:p>
    <w:p w14:paraId="78405F27" w14:textId="412184B1" w:rsidR="001F77D8" w:rsidRPr="001C0DF7" w:rsidRDefault="00952A7E" w:rsidP="001F77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От</w:t>
      </w:r>
      <w:r w:rsidR="009526C0"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2</w:t>
      </w:r>
      <w:r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1</w:t>
      </w:r>
      <w:r w:rsidR="009526C0"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</w:t>
      </w:r>
      <w:r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>октомври</w:t>
      </w:r>
      <w:r w:rsidR="009526C0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9526C0" w:rsidRPr="001C0DF7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до </w:t>
      </w:r>
      <w:r w:rsidR="00222CDE">
        <w:rPr>
          <w:rFonts w:ascii="Verdana" w:eastAsia="Times New Roman" w:hAnsi="Verdana"/>
          <w:b/>
          <w:bCs/>
          <w:i/>
          <w:iCs/>
          <w:sz w:val="20"/>
          <w:szCs w:val="20"/>
          <w:lang w:val="en-US" w:eastAsia="en-US"/>
        </w:rPr>
        <w:t xml:space="preserve">2 </w:t>
      </w:r>
      <w:r w:rsidR="00222CDE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декември </w:t>
      </w:r>
      <w:r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потребителите на А1 могат да наемат кино заглавието за 48 часа.</w:t>
      </w:r>
    </w:p>
    <w:p w14:paraId="3C4B93CA" w14:textId="77873955" w:rsidR="00952A7E" w:rsidRPr="001C0DF7" w:rsidRDefault="00434EE7" w:rsidP="00284C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</w:pPr>
      <w:r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Абонатите на </w:t>
      </w:r>
      <w:r w:rsidRPr="00A10F9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A1 </w:t>
      </w:r>
      <w:proofErr w:type="spellStart"/>
      <w:r w:rsidRPr="00A10F91">
        <w:rPr>
          <w:rFonts w:ascii="Verdana" w:eastAsia="Times New Roman" w:hAnsi="Verdana"/>
          <w:i/>
          <w:iCs/>
          <w:sz w:val="20"/>
          <w:szCs w:val="20"/>
          <w:lang w:eastAsia="en-US"/>
        </w:rPr>
        <w:t>Xplore</w:t>
      </w:r>
      <w:proofErr w:type="spellEnd"/>
      <w:r w:rsidRPr="00A10F9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TV </w:t>
      </w:r>
      <w:r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ще се насладят </w:t>
      </w:r>
      <w:r w:rsidR="001B762D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на</w:t>
      </w:r>
      <w:r w:rsidR="00952A7E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222CDE">
        <w:rPr>
          <w:rFonts w:ascii="Verdana" w:eastAsia="Times New Roman" w:hAnsi="Verdana"/>
          <w:b/>
          <w:i/>
          <w:iCs/>
          <w:sz w:val="20"/>
          <w:szCs w:val="20"/>
          <w:lang w:eastAsia="en-US"/>
        </w:rPr>
        <w:t>ранен достъп до заглавието</w:t>
      </w:r>
      <w:r w:rsidR="00952A7E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</w:t>
      </w:r>
      <w:r w:rsidR="001B762D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>от комфорта на дома</w:t>
      </w:r>
      <w:r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си</w:t>
      </w:r>
      <w:r w:rsidR="001B762D" w:rsidRPr="001C0DF7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. </w:t>
      </w:r>
    </w:p>
    <w:p w14:paraId="07FC5F46" w14:textId="77777777" w:rsidR="00952A7E" w:rsidRPr="001C0DF7" w:rsidRDefault="00952A7E" w:rsidP="00952A7E">
      <w:pPr>
        <w:pStyle w:val="ListParagraph"/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</w:pPr>
    </w:p>
    <w:p w14:paraId="44AEE064" w14:textId="77777777" w:rsidR="001B762D" w:rsidRPr="001C0DF7" w:rsidRDefault="001B762D" w:rsidP="0003390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en-US"/>
        </w:rPr>
      </w:pPr>
    </w:p>
    <w:p w14:paraId="3E88B2D0" w14:textId="6A6FBEEF" w:rsidR="00033900" w:rsidRPr="001C0DF7" w:rsidRDefault="00952A7E" w:rsidP="0003390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en-US"/>
        </w:rPr>
      </w:pPr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Този сезон </w:t>
      </w:r>
      <w:r w:rsidRPr="001C0DF7">
        <w:rPr>
          <w:rFonts w:ascii="Verdana" w:eastAsia="Times New Roman" w:hAnsi="Verdana"/>
          <w:b/>
          <w:bCs/>
          <w:sz w:val="20"/>
          <w:szCs w:val="20"/>
          <w:lang w:eastAsia="en-US"/>
        </w:rPr>
        <w:t>А1 Видеотека</w:t>
      </w:r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 предоставя на своите зрители истинско кино изживяване с ексклузивен достъп до</w:t>
      </w:r>
      <w:r w:rsidR="001B762D" w:rsidRPr="001C0DF7">
        <w:rPr>
          <w:rFonts w:ascii="Verdana" w:eastAsia="Times New Roman" w:hAnsi="Verdana"/>
          <w:sz w:val="20"/>
          <w:szCs w:val="20"/>
          <w:lang w:eastAsia="en-US"/>
        </w:rPr>
        <w:t xml:space="preserve"> продукция от</w:t>
      </w:r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 големия екран. 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>В</w:t>
      </w:r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 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>края на</w:t>
      </w:r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 октомври потребителите на А1 </w:t>
      </w:r>
      <w:proofErr w:type="spellStart"/>
      <w:r w:rsidRPr="00A10F91">
        <w:rPr>
          <w:rFonts w:ascii="Verdana" w:eastAsia="Times New Roman" w:hAnsi="Verdana"/>
          <w:sz w:val="20"/>
          <w:szCs w:val="20"/>
          <w:lang w:eastAsia="en-US"/>
        </w:rPr>
        <w:t>Xplore</w:t>
      </w:r>
      <w:proofErr w:type="spellEnd"/>
      <w:r w:rsidRPr="00A10F91">
        <w:rPr>
          <w:rFonts w:ascii="Verdana" w:eastAsia="Times New Roman" w:hAnsi="Verdana"/>
          <w:sz w:val="20"/>
          <w:szCs w:val="20"/>
          <w:lang w:eastAsia="en-US"/>
        </w:rPr>
        <w:t xml:space="preserve"> TV </w:t>
      </w:r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могат да се насладят на едно от най-обсъжданите заглавия този сезон – </w:t>
      </w:r>
      <w:r w:rsidRPr="001C0DF7">
        <w:rPr>
          <w:rFonts w:ascii="Verdana" w:eastAsia="Times New Roman" w:hAnsi="Verdana"/>
          <w:b/>
          <w:bCs/>
          <w:sz w:val="20"/>
          <w:szCs w:val="20"/>
          <w:lang w:eastAsia="en-US"/>
        </w:rPr>
        <w:t>„</w:t>
      </w:r>
      <w:proofErr w:type="spellStart"/>
      <w:r w:rsidRPr="001C0DF7">
        <w:rPr>
          <w:rFonts w:ascii="Verdana" w:eastAsia="Times New Roman" w:hAnsi="Verdana"/>
          <w:b/>
          <w:bCs/>
          <w:sz w:val="20"/>
          <w:szCs w:val="20"/>
          <w:lang w:eastAsia="en-US"/>
        </w:rPr>
        <w:t>Бийтълджус</w:t>
      </w:r>
      <w:proofErr w:type="spellEnd"/>
      <w:r w:rsidRPr="001C0DF7">
        <w:rPr>
          <w:rFonts w:ascii="Verdana" w:eastAsia="Times New Roman" w:hAnsi="Verdana"/>
          <w:b/>
          <w:bCs/>
          <w:sz w:val="20"/>
          <w:szCs w:val="20"/>
          <w:lang w:eastAsia="en-US"/>
        </w:rPr>
        <w:t xml:space="preserve"> </w:t>
      </w:r>
      <w:proofErr w:type="spellStart"/>
      <w:r w:rsidRPr="001C0DF7">
        <w:rPr>
          <w:rFonts w:ascii="Verdana" w:eastAsia="Times New Roman" w:hAnsi="Verdana"/>
          <w:b/>
          <w:bCs/>
          <w:sz w:val="20"/>
          <w:szCs w:val="20"/>
          <w:lang w:eastAsia="en-US"/>
        </w:rPr>
        <w:t>Бийтълджус</w:t>
      </w:r>
      <w:proofErr w:type="spellEnd"/>
      <w:r w:rsidRPr="001C0DF7">
        <w:rPr>
          <w:rFonts w:ascii="Verdana" w:eastAsia="Times New Roman" w:hAnsi="Verdana"/>
          <w:b/>
          <w:bCs/>
          <w:sz w:val="20"/>
          <w:szCs w:val="20"/>
          <w:lang w:eastAsia="en-US"/>
        </w:rPr>
        <w:t>“</w:t>
      </w:r>
      <w:r w:rsidRPr="001C0DF7">
        <w:rPr>
          <w:rFonts w:ascii="Verdana" w:eastAsia="Times New Roman" w:hAnsi="Verdana"/>
          <w:sz w:val="20"/>
          <w:szCs w:val="20"/>
          <w:lang w:eastAsia="en-US"/>
        </w:rPr>
        <w:t>.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 xml:space="preserve"> От 21 октомври до </w:t>
      </w:r>
      <w:r w:rsidR="00222CDE">
        <w:rPr>
          <w:rFonts w:ascii="Verdana" w:eastAsia="Times New Roman" w:hAnsi="Verdana"/>
          <w:sz w:val="20"/>
          <w:szCs w:val="20"/>
          <w:lang w:eastAsia="en-US"/>
        </w:rPr>
        <w:t>2 декември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 xml:space="preserve"> </w:t>
      </w:r>
      <w:r w:rsidR="001B762D" w:rsidRPr="001C0DF7">
        <w:rPr>
          <w:rFonts w:ascii="Verdana" w:eastAsia="Times New Roman" w:hAnsi="Verdana"/>
          <w:sz w:val="20"/>
          <w:szCs w:val="20"/>
          <w:lang w:eastAsia="en-US"/>
        </w:rPr>
        <w:t xml:space="preserve">фентъзи филмът 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>може да бъде нает</w:t>
      </w:r>
      <w:r w:rsidR="001B762D" w:rsidRPr="001C0DF7">
        <w:rPr>
          <w:rFonts w:ascii="Verdana" w:eastAsia="Times New Roman" w:hAnsi="Verdana"/>
          <w:sz w:val="20"/>
          <w:szCs w:val="20"/>
          <w:lang w:eastAsia="en-US"/>
        </w:rPr>
        <w:t xml:space="preserve"> 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 xml:space="preserve">за 48 часа срещу еднократна такса от 23,99 лева. </w:t>
      </w:r>
    </w:p>
    <w:p w14:paraId="541D4508" w14:textId="77777777" w:rsidR="00033900" w:rsidRPr="001C0DF7" w:rsidRDefault="00033900" w:rsidP="00952A7E">
      <w:pPr>
        <w:autoSpaceDE w:val="0"/>
        <w:autoSpaceDN w:val="0"/>
        <w:adjustRightInd w:val="0"/>
        <w:spacing w:after="0" w:line="276" w:lineRule="auto"/>
        <w:rPr>
          <w:rFonts w:ascii="Verdana" w:eastAsia="Times New Roman" w:hAnsi="Verdana"/>
          <w:sz w:val="20"/>
          <w:szCs w:val="20"/>
          <w:lang w:eastAsia="en-US"/>
        </w:rPr>
      </w:pPr>
    </w:p>
    <w:p w14:paraId="5E0825CD" w14:textId="6CC00F60" w:rsidR="00952A7E" w:rsidRPr="001C0DF7" w:rsidRDefault="00952A7E" w:rsidP="0003390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en-US"/>
        </w:rPr>
      </w:pPr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Тази година хитовата черна комедия от 1988 г. прави огромно завръщане с втора част от поредицата. Американският игрален филм е продължение на култовата история 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 xml:space="preserve">за семейство </w:t>
      </w:r>
      <w:proofErr w:type="spellStart"/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>Дий</w:t>
      </w:r>
      <w:r w:rsidR="00D82641" w:rsidRPr="001C0DF7">
        <w:rPr>
          <w:rFonts w:ascii="Verdana" w:eastAsia="Times New Roman" w:hAnsi="Verdana"/>
          <w:sz w:val="20"/>
          <w:szCs w:val="20"/>
          <w:lang w:eastAsia="en-US"/>
        </w:rPr>
        <w:t>тс</w:t>
      </w:r>
      <w:proofErr w:type="spellEnd"/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 xml:space="preserve"> и пакостливия призрак </w:t>
      </w:r>
      <w:proofErr w:type="spellStart"/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>Бийтълджус</w:t>
      </w:r>
      <w:proofErr w:type="spellEnd"/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>, с чиято лудост никой не може да се справи. Премиерата на заглавието в България се състо</w:t>
      </w:r>
      <w:r w:rsidR="001B762D" w:rsidRPr="001C0DF7">
        <w:rPr>
          <w:rFonts w:ascii="Verdana" w:eastAsia="Times New Roman" w:hAnsi="Verdana"/>
          <w:sz w:val="20"/>
          <w:szCs w:val="20"/>
          <w:lang w:eastAsia="en-US"/>
        </w:rPr>
        <w:t>я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 xml:space="preserve"> на 6 септември, а комедията бързо се прев</w:t>
      </w:r>
      <w:r w:rsidR="001B762D" w:rsidRPr="001C0DF7">
        <w:rPr>
          <w:rFonts w:ascii="Verdana" w:eastAsia="Times New Roman" w:hAnsi="Verdana"/>
          <w:sz w:val="20"/>
          <w:szCs w:val="20"/>
          <w:lang w:eastAsia="en-US"/>
        </w:rPr>
        <w:t>ърна</w:t>
      </w:r>
      <w:r w:rsidR="00033900" w:rsidRPr="001C0DF7">
        <w:rPr>
          <w:rFonts w:ascii="Verdana" w:eastAsia="Times New Roman" w:hAnsi="Verdana"/>
          <w:sz w:val="20"/>
          <w:szCs w:val="20"/>
          <w:lang w:eastAsia="en-US"/>
        </w:rPr>
        <w:t xml:space="preserve"> в обект на интереса на всички кино фенове в страната. </w:t>
      </w:r>
    </w:p>
    <w:p w14:paraId="38437EA1" w14:textId="77777777" w:rsidR="00033900" w:rsidRPr="001C0DF7" w:rsidRDefault="00033900" w:rsidP="0003390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en-US"/>
        </w:rPr>
      </w:pPr>
    </w:p>
    <w:p w14:paraId="764C57D5" w14:textId="60F5CD38" w:rsidR="00033900" w:rsidRPr="001C0DF7" w:rsidRDefault="00033900" w:rsidP="0003390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en-US"/>
        </w:rPr>
      </w:pPr>
      <w:proofErr w:type="spellStart"/>
      <w:r w:rsidRPr="001C0DF7">
        <w:rPr>
          <w:rFonts w:ascii="Verdana" w:eastAsia="Times New Roman" w:hAnsi="Verdana"/>
          <w:sz w:val="20"/>
          <w:szCs w:val="20"/>
          <w:lang w:eastAsia="en-US"/>
        </w:rPr>
        <w:t>Бийтълджус</w:t>
      </w:r>
      <w:proofErr w:type="spellEnd"/>
      <w:r w:rsidRPr="001C0DF7">
        <w:rPr>
          <w:rFonts w:ascii="Verdana" w:eastAsia="Times New Roman" w:hAnsi="Verdana"/>
          <w:sz w:val="20"/>
          <w:szCs w:val="20"/>
          <w:lang w:eastAsia="en-US"/>
        </w:rPr>
        <w:t xml:space="preserve"> е един от най-емблематичните герои на ексцентричния режисьор Тим Бъртъ</w:t>
      </w:r>
      <w:r w:rsidR="00B07CCE" w:rsidRPr="001C0DF7">
        <w:rPr>
          <w:rFonts w:ascii="Verdana" w:eastAsia="Times New Roman" w:hAnsi="Verdana"/>
          <w:sz w:val="20"/>
          <w:szCs w:val="20"/>
          <w:lang w:eastAsia="en-US"/>
        </w:rPr>
        <w:t xml:space="preserve">н и се е превърнал в познат образ на черния хумор. За така дългоочакваното продължение Бъртън отново обединява сили с героите от оригиналната продукция Майкъл Кийтън и Уинона Райдър, което кара образите да „оживеят“ за още едно приключение. Този път режисьорът замесва и нови звезди, сред които Джъстин </w:t>
      </w:r>
      <w:proofErr w:type="spellStart"/>
      <w:r w:rsidR="00B07CCE" w:rsidRPr="001C0DF7">
        <w:rPr>
          <w:rFonts w:ascii="Verdana" w:eastAsia="Times New Roman" w:hAnsi="Verdana"/>
          <w:sz w:val="20"/>
          <w:szCs w:val="20"/>
          <w:lang w:eastAsia="en-US"/>
        </w:rPr>
        <w:t>Теру</w:t>
      </w:r>
      <w:proofErr w:type="spellEnd"/>
      <w:r w:rsidR="00B07CCE" w:rsidRPr="001C0DF7">
        <w:rPr>
          <w:rFonts w:ascii="Verdana" w:eastAsia="Times New Roman" w:hAnsi="Verdana"/>
          <w:sz w:val="20"/>
          <w:szCs w:val="20"/>
          <w:lang w:eastAsia="en-US"/>
        </w:rPr>
        <w:t>, Моника Белучи, Уилям Дефо</w:t>
      </w:r>
      <w:r w:rsidR="001B762D" w:rsidRPr="001C0DF7">
        <w:rPr>
          <w:rFonts w:ascii="Verdana" w:eastAsia="Times New Roman" w:hAnsi="Verdana"/>
          <w:sz w:val="20"/>
          <w:szCs w:val="20"/>
          <w:lang w:eastAsia="en-US"/>
        </w:rPr>
        <w:t xml:space="preserve"> и</w:t>
      </w:r>
      <w:r w:rsidR="00B07CCE" w:rsidRPr="001C0DF7">
        <w:rPr>
          <w:rFonts w:ascii="Verdana" w:eastAsia="Times New Roman" w:hAnsi="Verdana"/>
          <w:sz w:val="20"/>
          <w:szCs w:val="20"/>
          <w:lang w:eastAsia="en-US"/>
        </w:rPr>
        <w:t xml:space="preserve"> Джена Ортега, от скоро позната с образа си на </w:t>
      </w:r>
      <w:proofErr w:type="spellStart"/>
      <w:r w:rsidR="00B07CCE" w:rsidRPr="001C0DF7">
        <w:rPr>
          <w:rFonts w:ascii="Verdana" w:eastAsia="Times New Roman" w:hAnsi="Verdana"/>
          <w:sz w:val="20"/>
          <w:szCs w:val="20"/>
          <w:lang w:eastAsia="en-US"/>
        </w:rPr>
        <w:t>Уенсдей</w:t>
      </w:r>
      <w:proofErr w:type="spellEnd"/>
      <w:r w:rsidR="00B07CCE" w:rsidRPr="001C0DF7">
        <w:rPr>
          <w:rFonts w:ascii="Verdana" w:eastAsia="Times New Roman" w:hAnsi="Verdana"/>
          <w:sz w:val="20"/>
          <w:szCs w:val="20"/>
          <w:lang w:eastAsia="en-US"/>
        </w:rPr>
        <w:t xml:space="preserve"> Адамс. </w:t>
      </w:r>
    </w:p>
    <w:p w14:paraId="39C51159" w14:textId="77777777" w:rsidR="00B07CCE" w:rsidRPr="001C0DF7" w:rsidRDefault="00B07CCE" w:rsidP="00033900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sz w:val="20"/>
          <w:szCs w:val="20"/>
          <w:lang w:eastAsia="en-US"/>
        </w:rPr>
      </w:pPr>
    </w:p>
    <w:p w14:paraId="6DF37FE6" w14:textId="77777777" w:rsidR="000F1DCB" w:rsidRDefault="00D82641" w:rsidP="001A343C">
      <w:pPr>
        <w:jc w:val="both"/>
        <w:rPr>
          <w:rFonts w:ascii="Verdana" w:eastAsia="Verdana" w:hAnsi="Verdana" w:cs="Verdana"/>
          <w:bCs/>
          <w:iCs/>
          <w:sz w:val="20"/>
          <w:szCs w:val="20"/>
          <w:lang w:val="en-US"/>
        </w:rPr>
      </w:pPr>
      <w:r w:rsidRPr="001C0DF7">
        <w:rPr>
          <w:rFonts w:ascii="Verdana" w:eastAsia="Verdana" w:hAnsi="Verdana" w:cs="Verdana"/>
          <w:bCs/>
          <w:iCs/>
          <w:sz w:val="20"/>
          <w:szCs w:val="20"/>
        </w:rPr>
        <w:t>След трагичната смърт на Чарлс</w:t>
      </w:r>
      <w:r w:rsidR="00153070" w:rsidRPr="001C0DF7">
        <w:rPr>
          <w:rFonts w:ascii="Verdana" w:eastAsia="Verdana" w:hAnsi="Verdana" w:cs="Verdana"/>
          <w:bCs/>
          <w:iCs/>
          <w:sz w:val="20"/>
          <w:szCs w:val="20"/>
        </w:rPr>
        <w:t>,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семейство </w:t>
      </w:r>
      <w:proofErr w:type="spellStart"/>
      <w:r w:rsidRPr="001C0DF7">
        <w:rPr>
          <w:rFonts w:ascii="Verdana" w:eastAsia="Verdana" w:hAnsi="Verdana" w:cs="Verdana"/>
          <w:bCs/>
          <w:iCs/>
          <w:sz w:val="20"/>
          <w:szCs w:val="20"/>
        </w:rPr>
        <w:t>Дийтс</w:t>
      </w:r>
      <w:proofErr w:type="spellEnd"/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отново се завръща в Уинтър Ривър, а старият им дом е все така зловещо </w:t>
      </w:r>
      <w:proofErr w:type="spellStart"/>
      <w:r w:rsidRPr="001C0DF7">
        <w:rPr>
          <w:rFonts w:ascii="Verdana" w:eastAsia="Verdana" w:hAnsi="Verdana" w:cs="Verdana"/>
          <w:bCs/>
          <w:iCs/>
          <w:sz w:val="20"/>
          <w:szCs w:val="20"/>
        </w:rPr>
        <w:t>обитание</w:t>
      </w:r>
      <w:proofErr w:type="spellEnd"/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на шантавия</w:t>
      </w:r>
      <w:r w:rsidR="002010D7"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дух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</w:t>
      </w:r>
      <w:proofErr w:type="spellStart"/>
      <w:r w:rsidRPr="001C0DF7">
        <w:rPr>
          <w:rFonts w:ascii="Verdana" w:eastAsia="Verdana" w:hAnsi="Verdana" w:cs="Verdana"/>
          <w:bCs/>
          <w:iCs/>
          <w:sz w:val="20"/>
          <w:szCs w:val="20"/>
        </w:rPr>
        <w:t>Бийтълджус</w:t>
      </w:r>
      <w:proofErr w:type="spellEnd"/>
      <w:r w:rsidRPr="001C0DF7">
        <w:rPr>
          <w:rFonts w:ascii="Verdana" w:eastAsia="Verdana" w:hAnsi="Verdana" w:cs="Verdana"/>
          <w:bCs/>
          <w:iCs/>
          <w:sz w:val="20"/>
          <w:szCs w:val="20"/>
        </w:rPr>
        <w:t>. Всичко се обърква още повече, когато непослушната тийнейджърка Астрид</w:t>
      </w:r>
      <w:r w:rsidR="007616C8"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</w:t>
      </w:r>
      <w:proofErr w:type="spellStart"/>
      <w:r w:rsidR="007616C8" w:rsidRPr="001C0DF7">
        <w:rPr>
          <w:rFonts w:ascii="Verdana" w:eastAsia="Verdana" w:hAnsi="Verdana" w:cs="Verdana"/>
          <w:bCs/>
          <w:iCs/>
          <w:sz w:val="20"/>
          <w:szCs w:val="20"/>
        </w:rPr>
        <w:t>Дийтс</w:t>
      </w:r>
      <w:proofErr w:type="spellEnd"/>
      <w:r w:rsidR="002010D7"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(Джена Ортега)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открива мистериозен модел на града на тавана. Сега животът на </w:t>
      </w:r>
      <w:r w:rsidR="007616C8"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нейната майка 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>Лидия (Уинона Райдър) е обърнат надолу с главата, а портал</w:t>
      </w:r>
      <w:r w:rsidR="001B762D" w:rsidRPr="001C0DF7">
        <w:rPr>
          <w:rFonts w:ascii="Verdana" w:eastAsia="Verdana" w:hAnsi="Verdana" w:cs="Verdana"/>
          <w:bCs/>
          <w:iCs/>
          <w:sz w:val="20"/>
          <w:szCs w:val="20"/>
        </w:rPr>
        <w:t>ът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към задгробния живот е отворен. </w:t>
      </w:r>
    </w:p>
    <w:p w14:paraId="5EB634CC" w14:textId="77777777" w:rsidR="000F1DCB" w:rsidRDefault="000F1DCB" w:rsidP="001A343C">
      <w:pPr>
        <w:jc w:val="both"/>
        <w:rPr>
          <w:rFonts w:ascii="Verdana" w:eastAsia="Verdana" w:hAnsi="Verdana" w:cs="Verdana"/>
          <w:bCs/>
          <w:iCs/>
          <w:sz w:val="20"/>
          <w:szCs w:val="20"/>
          <w:lang w:val="en-US"/>
        </w:rPr>
      </w:pPr>
    </w:p>
    <w:p w14:paraId="7A1FBF04" w14:textId="7B752901" w:rsidR="00F86340" w:rsidRPr="001C0DF7" w:rsidRDefault="002010D7" w:rsidP="001A343C">
      <w:pPr>
        <w:jc w:val="both"/>
        <w:rPr>
          <w:rFonts w:ascii="Verdana" w:eastAsia="Verdana" w:hAnsi="Verdana" w:cs="Verdana"/>
          <w:bCs/>
          <w:iCs/>
          <w:sz w:val="20"/>
          <w:szCs w:val="20"/>
        </w:rPr>
      </w:pP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След като някой изрича името на демона </w:t>
      </w:r>
      <w:proofErr w:type="spellStart"/>
      <w:r w:rsidR="001B762D" w:rsidRPr="001C0DF7">
        <w:rPr>
          <w:rFonts w:ascii="Verdana" w:eastAsia="Verdana" w:hAnsi="Verdana" w:cs="Verdana"/>
          <w:bCs/>
          <w:iCs/>
          <w:sz w:val="20"/>
          <w:szCs w:val="20"/>
        </w:rPr>
        <w:t>Бийтълджус</w:t>
      </w:r>
      <w:proofErr w:type="spellEnd"/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3 пъти, той</w:t>
      </w:r>
      <w:r w:rsidR="001B762D"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е отново свободен, а пакостите, които създава</w:t>
      </w:r>
      <w:r w:rsidR="00BD629D">
        <w:rPr>
          <w:rFonts w:ascii="Verdana" w:eastAsia="Verdana" w:hAnsi="Verdana" w:cs="Verdana"/>
          <w:bCs/>
          <w:iCs/>
          <w:sz w:val="20"/>
          <w:szCs w:val="20"/>
        </w:rPr>
        <w:t>,</w:t>
      </w:r>
      <w:r w:rsidR="001B762D"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дават началото на огромен хаос. </w:t>
      </w:r>
    </w:p>
    <w:p w14:paraId="4FD08496" w14:textId="1B353909" w:rsidR="002010D7" w:rsidRPr="001C0DF7" w:rsidRDefault="002010D7" w:rsidP="001A343C">
      <w:pPr>
        <w:jc w:val="both"/>
        <w:rPr>
          <w:rFonts w:ascii="Verdana" w:eastAsia="Verdana" w:hAnsi="Verdana" w:cs="Verdana"/>
          <w:bCs/>
          <w:iCs/>
          <w:sz w:val="20"/>
          <w:szCs w:val="20"/>
        </w:rPr>
      </w:pP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Фентъзи филмът с привкус на черна комедия е произведение на изкуството, подходящо както за млади, така и за </w:t>
      </w:r>
      <w:r w:rsidR="001C0DF7">
        <w:rPr>
          <w:rFonts w:ascii="Verdana" w:eastAsia="Verdana" w:hAnsi="Verdana" w:cs="Verdana"/>
          <w:bCs/>
          <w:iCs/>
          <w:sz w:val="20"/>
          <w:szCs w:val="20"/>
        </w:rPr>
        <w:t>по-възраст</w:t>
      </w:r>
      <w:r w:rsidR="005A6116">
        <w:rPr>
          <w:rFonts w:ascii="Verdana" w:eastAsia="Verdana" w:hAnsi="Verdana" w:cs="Verdana"/>
          <w:bCs/>
          <w:iCs/>
          <w:sz w:val="20"/>
          <w:szCs w:val="20"/>
        </w:rPr>
        <w:t>н</w:t>
      </w:r>
      <w:r w:rsidR="001C0DF7">
        <w:rPr>
          <w:rFonts w:ascii="Verdana" w:eastAsia="Verdana" w:hAnsi="Verdana" w:cs="Verdana"/>
          <w:bCs/>
          <w:iCs/>
          <w:sz w:val="20"/>
          <w:szCs w:val="20"/>
        </w:rPr>
        <w:t>и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>. Историята е забавна и любопитна, а усещането е леко хаотично и много шантаво</w:t>
      </w:r>
      <w:r w:rsidR="007616C8" w:rsidRPr="001C0DF7">
        <w:rPr>
          <w:rFonts w:ascii="Verdana" w:eastAsia="Verdana" w:hAnsi="Verdana" w:cs="Verdana"/>
          <w:bCs/>
          <w:iCs/>
          <w:sz w:val="20"/>
          <w:szCs w:val="20"/>
        </w:rPr>
        <w:t>,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в типич</w:t>
      </w:r>
      <w:r w:rsidR="007616C8" w:rsidRPr="001C0DF7">
        <w:rPr>
          <w:rFonts w:ascii="Verdana" w:eastAsia="Verdana" w:hAnsi="Verdana" w:cs="Verdana"/>
          <w:bCs/>
          <w:iCs/>
          <w:sz w:val="20"/>
          <w:szCs w:val="20"/>
        </w:rPr>
        <w:t>ния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стил на разпознаваеми</w:t>
      </w:r>
      <w:r w:rsidR="00C87719" w:rsidRPr="001C0DF7">
        <w:rPr>
          <w:rFonts w:ascii="Verdana" w:eastAsia="Verdana" w:hAnsi="Verdana" w:cs="Verdana"/>
          <w:bCs/>
          <w:iCs/>
          <w:sz w:val="20"/>
          <w:szCs w:val="20"/>
        </w:rPr>
        <w:t>я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Тим Бъртън. </w:t>
      </w:r>
    </w:p>
    <w:p w14:paraId="2FC936D3" w14:textId="0C04EAAC" w:rsidR="002010D7" w:rsidRPr="001C0DF7" w:rsidRDefault="002010D7" w:rsidP="001A343C">
      <w:pPr>
        <w:jc w:val="both"/>
        <w:rPr>
          <w:rFonts w:ascii="Verdana" w:eastAsia="Verdana" w:hAnsi="Verdana" w:cs="Verdana"/>
          <w:bCs/>
          <w:iCs/>
          <w:sz w:val="20"/>
          <w:szCs w:val="20"/>
        </w:rPr>
      </w:pPr>
      <w:r w:rsidRPr="001C0DF7">
        <w:rPr>
          <w:rFonts w:ascii="Verdana" w:eastAsia="Verdana" w:hAnsi="Verdana" w:cs="Verdana"/>
          <w:bCs/>
          <w:iCs/>
          <w:sz w:val="20"/>
          <w:szCs w:val="20"/>
        </w:rPr>
        <w:t>Сега директно от кино екраните, „</w:t>
      </w:r>
      <w:proofErr w:type="spellStart"/>
      <w:r w:rsidRPr="001C0DF7">
        <w:rPr>
          <w:rFonts w:ascii="Verdana" w:eastAsia="Verdana" w:hAnsi="Verdana" w:cs="Verdana"/>
          <w:bCs/>
          <w:iCs/>
          <w:sz w:val="20"/>
          <w:szCs w:val="20"/>
        </w:rPr>
        <w:t>Бийтълджус</w:t>
      </w:r>
      <w:proofErr w:type="spellEnd"/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</w:t>
      </w:r>
      <w:proofErr w:type="spellStart"/>
      <w:r w:rsidRPr="001C0DF7">
        <w:rPr>
          <w:rFonts w:ascii="Verdana" w:eastAsia="Verdana" w:hAnsi="Verdana" w:cs="Verdana"/>
          <w:bCs/>
          <w:iCs/>
          <w:sz w:val="20"/>
          <w:szCs w:val="20"/>
        </w:rPr>
        <w:t>Бийтълджус</w:t>
      </w:r>
      <w:proofErr w:type="spellEnd"/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“ е наличен за наемане от А1 Видеотека. Благодарение на </w:t>
      </w:r>
      <w:r w:rsidR="00222CDE">
        <w:rPr>
          <w:rFonts w:ascii="Verdana" w:eastAsia="Verdana" w:hAnsi="Verdana" w:cs="Verdana"/>
          <w:bCs/>
          <w:iCs/>
          <w:sz w:val="20"/>
          <w:szCs w:val="20"/>
        </w:rPr>
        <w:t xml:space="preserve">разнообразното 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съдържание, което осигурява на своите потребители, А1 </w:t>
      </w:r>
      <w:proofErr w:type="spellStart"/>
      <w:r w:rsidRPr="00A10F91">
        <w:rPr>
          <w:rFonts w:ascii="Verdana" w:eastAsia="Verdana" w:hAnsi="Verdana" w:cs="Verdana"/>
          <w:bCs/>
          <w:iCs/>
          <w:sz w:val="20"/>
          <w:szCs w:val="20"/>
        </w:rPr>
        <w:t>Xplore</w:t>
      </w:r>
      <w:proofErr w:type="spellEnd"/>
      <w:r w:rsidRPr="00A10F91">
        <w:rPr>
          <w:rFonts w:ascii="Verdana" w:eastAsia="Verdana" w:hAnsi="Verdana" w:cs="Verdana"/>
          <w:bCs/>
          <w:iCs/>
          <w:sz w:val="20"/>
          <w:szCs w:val="20"/>
        </w:rPr>
        <w:t xml:space="preserve"> TV 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ни позволява да </w:t>
      </w:r>
      <w:r w:rsidR="00222CDE">
        <w:rPr>
          <w:rFonts w:ascii="Verdana" w:eastAsia="Verdana" w:hAnsi="Verdana" w:cs="Verdana"/>
          <w:bCs/>
          <w:iCs/>
          <w:sz w:val="20"/>
          <w:szCs w:val="20"/>
        </w:rPr>
        <w:t xml:space="preserve">получим ранен достъп до филми 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от комфорта на дома</w:t>
      </w:r>
      <w:r w:rsidR="00222CDE">
        <w:rPr>
          <w:rFonts w:ascii="Verdana" w:eastAsia="Verdana" w:hAnsi="Verdana" w:cs="Verdana"/>
          <w:bCs/>
          <w:iCs/>
          <w:sz w:val="20"/>
          <w:szCs w:val="20"/>
        </w:rPr>
        <w:t xml:space="preserve"> си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. Видеотеката </w:t>
      </w:r>
      <w:r w:rsidR="00222CDE">
        <w:rPr>
          <w:rFonts w:ascii="Verdana" w:eastAsia="Verdana" w:hAnsi="Verdana" w:cs="Verdana"/>
          <w:bCs/>
          <w:iCs/>
          <w:sz w:val="20"/>
          <w:szCs w:val="20"/>
        </w:rPr>
        <w:t>разполага с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</w:t>
      </w:r>
      <w:r w:rsidR="00222CDE">
        <w:rPr>
          <w:rFonts w:ascii="Verdana" w:eastAsia="Verdana" w:hAnsi="Verdana" w:cs="Verdana"/>
          <w:bCs/>
          <w:iCs/>
          <w:sz w:val="20"/>
          <w:szCs w:val="20"/>
        </w:rPr>
        <w:t>редица</w:t>
      </w:r>
      <w:r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 български и чуждестранни филми, </w:t>
      </w:r>
      <w:r w:rsidR="00E205AC" w:rsidRPr="001C0DF7">
        <w:rPr>
          <w:rFonts w:ascii="Verdana" w:eastAsia="Verdana" w:hAnsi="Verdana" w:cs="Verdana"/>
          <w:bCs/>
          <w:iCs/>
          <w:sz w:val="20"/>
          <w:szCs w:val="20"/>
        </w:rPr>
        <w:t xml:space="preserve">а заглавията могат да бъдат наемани за 48 часа, в които да бъдат гледани неограничен брой пъти. </w:t>
      </w:r>
    </w:p>
    <w:p w14:paraId="5EC11AD6" w14:textId="77777777" w:rsidR="00D82641" w:rsidRPr="001C0DF7" w:rsidRDefault="00D82641" w:rsidP="00D82641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4140205B" w14:textId="77777777" w:rsidR="009B6C4F" w:rsidRPr="001C0DF7" w:rsidRDefault="009B6C4F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54691E26" w14:textId="77777777" w:rsidR="009B6C4F" w:rsidRPr="001C0DF7" w:rsidRDefault="009B6C4F" w:rsidP="001A343C">
      <w:pPr>
        <w:jc w:val="both"/>
        <w:rPr>
          <w:rFonts w:ascii="Verdana" w:eastAsia="Verdana" w:hAnsi="Verdana" w:cs="Verdana"/>
          <w:b/>
          <w:i/>
          <w:sz w:val="20"/>
          <w:szCs w:val="20"/>
        </w:rPr>
      </w:pPr>
    </w:p>
    <w:p w14:paraId="430676FE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790A02E3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5F456202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0A1BCCED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C9667B4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8E13981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99EDC9D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9898B01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469C4B67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729F02BF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06295EE2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A5CF8F1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1E1E1822" w14:textId="77777777" w:rsidR="00B435B7" w:rsidRPr="001C0DF7" w:rsidRDefault="00B435B7" w:rsidP="001A343C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35047071" w14:textId="1B64B685" w:rsidR="00F86340" w:rsidRPr="001C0DF7" w:rsidRDefault="00B403B8" w:rsidP="001A343C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1C0DF7">
        <w:rPr>
          <w:rFonts w:ascii="Verdana" w:eastAsia="Verdana" w:hAnsi="Verdana" w:cs="Verdana"/>
          <w:b/>
          <w:i/>
          <w:sz w:val="16"/>
          <w:szCs w:val="16"/>
        </w:rPr>
        <w:t>А1</w:t>
      </w:r>
      <w:r w:rsidRPr="001C0DF7">
        <w:rPr>
          <w:rFonts w:ascii="Verdana" w:eastAsia="Verdana" w:hAnsi="Verdana" w:cs="Verdana"/>
          <w:i/>
          <w:sz w:val="16"/>
          <w:szCs w:val="16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Sport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, платежни услуги, ICT,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cloud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и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IoT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бизнес решения. През 2023 г. A1 България отчита приходи от 749,7 млн. евро, а сравнимата EBITDA e 303,7 млн. евро.</w:t>
      </w:r>
    </w:p>
    <w:p w14:paraId="065A64BD" w14:textId="77777777" w:rsidR="00F86340" w:rsidRPr="001C0DF7" w:rsidRDefault="00F86340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54D7574A" w14:textId="77777777" w:rsidR="00F86340" w:rsidRPr="001C0DF7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1C0DF7">
        <w:rPr>
          <w:rFonts w:ascii="Verdana" w:eastAsia="Verdana" w:hAnsi="Verdana" w:cs="Verdana"/>
          <w:b/>
          <w:i/>
          <w:sz w:val="16"/>
          <w:szCs w:val="16"/>
        </w:rPr>
        <w:t>A1 Group</w:t>
      </w:r>
      <w:r w:rsidRPr="001C0DF7">
        <w:rPr>
          <w:rFonts w:ascii="Verdana" w:eastAsia="Verdana" w:hAnsi="Verdana" w:cs="Verdana"/>
          <w:i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5,3 милиарда евро.</w:t>
      </w:r>
    </w:p>
    <w:p w14:paraId="643C874D" w14:textId="77777777" w:rsidR="00F86340" w:rsidRPr="001C0DF7" w:rsidRDefault="00B403B8" w:rsidP="001A343C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u w:val="single"/>
        </w:rPr>
      </w:pPr>
      <w:r w:rsidRPr="001C0DF7">
        <w:rPr>
          <w:rFonts w:ascii="Verdana" w:eastAsia="Verdana" w:hAnsi="Verdana" w:cs="Verdana"/>
          <w:i/>
          <w:sz w:val="16"/>
          <w:szCs w:val="16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América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</w:t>
      </w:r>
      <w:proofErr w:type="spellStart"/>
      <w:r w:rsidRPr="001C0DF7">
        <w:rPr>
          <w:rFonts w:ascii="Verdana" w:eastAsia="Verdana" w:hAnsi="Verdana" w:cs="Verdana"/>
          <w:i/>
          <w:sz w:val="16"/>
          <w:szCs w:val="16"/>
        </w:rPr>
        <w:t>Móvil</w:t>
      </w:r>
      <w:proofErr w:type="spellEnd"/>
      <w:r w:rsidRPr="001C0DF7">
        <w:rPr>
          <w:rFonts w:ascii="Verdana" w:eastAsia="Verdana" w:hAnsi="Verdana" w:cs="Verdana"/>
          <w:i/>
          <w:sz w:val="16"/>
          <w:szCs w:val="16"/>
        </w:rPr>
        <w:t xml:space="preserve"> – един от най-големите телекомуникационни доставчици в света.</w:t>
      </w:r>
    </w:p>
    <w:sectPr w:rsidR="00F86340" w:rsidRPr="001C0D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2857A" w14:textId="77777777" w:rsidR="00CA70BC" w:rsidRDefault="00CA70BC">
      <w:pPr>
        <w:spacing w:after="0" w:line="240" w:lineRule="auto"/>
      </w:pPr>
      <w:r>
        <w:separator/>
      </w:r>
    </w:p>
  </w:endnote>
  <w:endnote w:type="continuationSeparator" w:id="0">
    <w:p w14:paraId="54279A64" w14:textId="77777777" w:rsidR="00CA70BC" w:rsidRDefault="00CA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AAE8" w14:textId="2A48104F" w:rsidR="00ED3F1F" w:rsidRDefault="00ED3F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BE39F9" wp14:editId="371269E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7507437db3fdf8d4a6893cec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A59057" w14:textId="5CE617B2" w:rsidR="00ED3F1F" w:rsidRPr="00ED3F1F" w:rsidRDefault="00ED3F1F" w:rsidP="00ED3F1F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E39F9" id="_x0000_t202" coordsize="21600,21600" o:spt="202" path="m,l,21600r21600,l21600,xe">
              <v:stroke joinstyle="miter"/>
              <v:path gradientshapeok="t" o:connecttype="rect"/>
            </v:shapetype>
            <v:shape id="MSIPCM7507437db3fdf8d4a6893cec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" o:allowincell="f" filled="f" stroked="f" strokeweight=".5pt">
              <v:textbox inset="20pt,0,,0">
                <w:txbxContent>
                  <w:p w14:paraId="54A59057" w14:textId="5CE617B2" w:rsidR="00ED3F1F" w:rsidRPr="00ED3F1F" w:rsidRDefault="00ED3F1F" w:rsidP="00ED3F1F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E90F" w14:textId="77777777" w:rsidR="00CA70BC" w:rsidRDefault="00CA70BC">
      <w:pPr>
        <w:spacing w:after="0" w:line="240" w:lineRule="auto"/>
      </w:pPr>
      <w:r>
        <w:separator/>
      </w:r>
    </w:p>
  </w:footnote>
  <w:footnote w:type="continuationSeparator" w:id="0">
    <w:p w14:paraId="40196D01" w14:textId="77777777" w:rsidR="00CA70BC" w:rsidRDefault="00CA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E2C1D" w14:textId="77777777" w:rsidR="00F86340" w:rsidRDefault="00B403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D776EA8" wp14:editId="59DD0017">
          <wp:simplePos x="0" y="0"/>
          <wp:positionH relativeFrom="column">
            <wp:posOffset>-253998</wp:posOffset>
          </wp:positionH>
          <wp:positionV relativeFrom="paragraph">
            <wp:posOffset>-342263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EF4680" w14:textId="77777777" w:rsidR="00F86340" w:rsidRDefault="00F863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D7526"/>
    <w:multiLevelType w:val="hybridMultilevel"/>
    <w:tmpl w:val="CF3822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2CA"/>
    <w:multiLevelType w:val="multilevel"/>
    <w:tmpl w:val="916E9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FD7579F"/>
    <w:multiLevelType w:val="hybridMultilevel"/>
    <w:tmpl w:val="71A8B4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475B5"/>
    <w:multiLevelType w:val="multilevel"/>
    <w:tmpl w:val="DBFCD3AE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24685163">
    <w:abstractNumId w:val="3"/>
  </w:num>
  <w:num w:numId="2" w16cid:durableId="1779177292">
    <w:abstractNumId w:val="1"/>
  </w:num>
  <w:num w:numId="3" w16cid:durableId="164974428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07653097">
    <w:abstractNumId w:val="2"/>
  </w:num>
  <w:num w:numId="5" w16cid:durableId="158541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40"/>
    <w:rsid w:val="00033900"/>
    <w:rsid w:val="000701E3"/>
    <w:rsid w:val="0009047E"/>
    <w:rsid w:val="000B4955"/>
    <w:rsid w:val="000B6214"/>
    <w:rsid w:val="000D0562"/>
    <w:rsid w:val="000E2BD9"/>
    <w:rsid w:val="000E360D"/>
    <w:rsid w:val="000F1DCB"/>
    <w:rsid w:val="001355BE"/>
    <w:rsid w:val="00153070"/>
    <w:rsid w:val="001679CF"/>
    <w:rsid w:val="001724FB"/>
    <w:rsid w:val="00183D3D"/>
    <w:rsid w:val="0019563E"/>
    <w:rsid w:val="001A343C"/>
    <w:rsid w:val="001B4157"/>
    <w:rsid w:val="001B762D"/>
    <w:rsid w:val="001C0DF7"/>
    <w:rsid w:val="001C168C"/>
    <w:rsid w:val="001D121E"/>
    <w:rsid w:val="001F77D8"/>
    <w:rsid w:val="00200054"/>
    <w:rsid w:val="002010D7"/>
    <w:rsid w:val="00201E38"/>
    <w:rsid w:val="00222CDE"/>
    <w:rsid w:val="00227132"/>
    <w:rsid w:val="0025724B"/>
    <w:rsid w:val="002573FE"/>
    <w:rsid w:val="00267459"/>
    <w:rsid w:val="002A739B"/>
    <w:rsid w:val="002D7E1A"/>
    <w:rsid w:val="002E6BE9"/>
    <w:rsid w:val="002F56CA"/>
    <w:rsid w:val="00302551"/>
    <w:rsid w:val="00303965"/>
    <w:rsid w:val="00372BB7"/>
    <w:rsid w:val="003956DA"/>
    <w:rsid w:val="003A3101"/>
    <w:rsid w:val="003B50B4"/>
    <w:rsid w:val="003E2348"/>
    <w:rsid w:val="003F3BC0"/>
    <w:rsid w:val="003F7069"/>
    <w:rsid w:val="004052D4"/>
    <w:rsid w:val="004228D0"/>
    <w:rsid w:val="00434EE7"/>
    <w:rsid w:val="00435ABC"/>
    <w:rsid w:val="004406A5"/>
    <w:rsid w:val="00446898"/>
    <w:rsid w:val="00451976"/>
    <w:rsid w:val="0047256B"/>
    <w:rsid w:val="004A5EA5"/>
    <w:rsid w:val="004D7132"/>
    <w:rsid w:val="004F3E6E"/>
    <w:rsid w:val="005269A2"/>
    <w:rsid w:val="00526FEB"/>
    <w:rsid w:val="00536621"/>
    <w:rsid w:val="005404B6"/>
    <w:rsid w:val="005552A2"/>
    <w:rsid w:val="005A2FF5"/>
    <w:rsid w:val="005A6116"/>
    <w:rsid w:val="005B57CA"/>
    <w:rsid w:val="005D37C9"/>
    <w:rsid w:val="005F552E"/>
    <w:rsid w:val="00602709"/>
    <w:rsid w:val="0061756F"/>
    <w:rsid w:val="00641B48"/>
    <w:rsid w:val="00641E1F"/>
    <w:rsid w:val="00656E6F"/>
    <w:rsid w:val="00670833"/>
    <w:rsid w:val="006B7AE1"/>
    <w:rsid w:val="006D0F00"/>
    <w:rsid w:val="006D3814"/>
    <w:rsid w:val="00724DAA"/>
    <w:rsid w:val="00730D12"/>
    <w:rsid w:val="00737C4E"/>
    <w:rsid w:val="0074516C"/>
    <w:rsid w:val="00752277"/>
    <w:rsid w:val="007616C8"/>
    <w:rsid w:val="007D74FC"/>
    <w:rsid w:val="007E10B2"/>
    <w:rsid w:val="007E110F"/>
    <w:rsid w:val="00867ADF"/>
    <w:rsid w:val="00867CF5"/>
    <w:rsid w:val="00896D45"/>
    <w:rsid w:val="008A56CE"/>
    <w:rsid w:val="008B4B9B"/>
    <w:rsid w:val="008E1F4D"/>
    <w:rsid w:val="008E7282"/>
    <w:rsid w:val="00913A34"/>
    <w:rsid w:val="009456F8"/>
    <w:rsid w:val="009526C0"/>
    <w:rsid w:val="00952A7E"/>
    <w:rsid w:val="00954048"/>
    <w:rsid w:val="009719AB"/>
    <w:rsid w:val="009B08BE"/>
    <w:rsid w:val="009B6C4F"/>
    <w:rsid w:val="009D52AF"/>
    <w:rsid w:val="00A10F91"/>
    <w:rsid w:val="00A175D5"/>
    <w:rsid w:val="00A17865"/>
    <w:rsid w:val="00A46915"/>
    <w:rsid w:val="00A53A13"/>
    <w:rsid w:val="00A53EA5"/>
    <w:rsid w:val="00A5566C"/>
    <w:rsid w:val="00A565F2"/>
    <w:rsid w:val="00A61DEB"/>
    <w:rsid w:val="00A82DDD"/>
    <w:rsid w:val="00AC364F"/>
    <w:rsid w:val="00AC6F02"/>
    <w:rsid w:val="00AD25DA"/>
    <w:rsid w:val="00AD5AB4"/>
    <w:rsid w:val="00B07CCE"/>
    <w:rsid w:val="00B16C01"/>
    <w:rsid w:val="00B2536D"/>
    <w:rsid w:val="00B403B8"/>
    <w:rsid w:val="00B40C17"/>
    <w:rsid w:val="00B421EC"/>
    <w:rsid w:val="00B42F6F"/>
    <w:rsid w:val="00B435B7"/>
    <w:rsid w:val="00B5429D"/>
    <w:rsid w:val="00B74000"/>
    <w:rsid w:val="00BB41D3"/>
    <w:rsid w:val="00BD629D"/>
    <w:rsid w:val="00C06ADF"/>
    <w:rsid w:val="00C06B13"/>
    <w:rsid w:val="00C116F3"/>
    <w:rsid w:val="00C12458"/>
    <w:rsid w:val="00C31475"/>
    <w:rsid w:val="00C46BD7"/>
    <w:rsid w:val="00C74DB2"/>
    <w:rsid w:val="00C84D46"/>
    <w:rsid w:val="00C87610"/>
    <w:rsid w:val="00C87719"/>
    <w:rsid w:val="00CA70BC"/>
    <w:rsid w:val="00CC7B67"/>
    <w:rsid w:val="00D04828"/>
    <w:rsid w:val="00D233C2"/>
    <w:rsid w:val="00D33F14"/>
    <w:rsid w:val="00D4385D"/>
    <w:rsid w:val="00D64621"/>
    <w:rsid w:val="00D666C2"/>
    <w:rsid w:val="00D73BEF"/>
    <w:rsid w:val="00D82641"/>
    <w:rsid w:val="00D85142"/>
    <w:rsid w:val="00D87A22"/>
    <w:rsid w:val="00DC78F8"/>
    <w:rsid w:val="00DD0010"/>
    <w:rsid w:val="00DD6541"/>
    <w:rsid w:val="00DE7A79"/>
    <w:rsid w:val="00DF3010"/>
    <w:rsid w:val="00E02D8D"/>
    <w:rsid w:val="00E17ECC"/>
    <w:rsid w:val="00E205AC"/>
    <w:rsid w:val="00E34F01"/>
    <w:rsid w:val="00E457A6"/>
    <w:rsid w:val="00E528B0"/>
    <w:rsid w:val="00E71122"/>
    <w:rsid w:val="00E81577"/>
    <w:rsid w:val="00E92C04"/>
    <w:rsid w:val="00E95B02"/>
    <w:rsid w:val="00EA0F76"/>
    <w:rsid w:val="00EB4BD9"/>
    <w:rsid w:val="00ED3F1F"/>
    <w:rsid w:val="00EE566C"/>
    <w:rsid w:val="00F03351"/>
    <w:rsid w:val="00F34628"/>
    <w:rsid w:val="00F3560E"/>
    <w:rsid w:val="00F36ABC"/>
    <w:rsid w:val="00F42D31"/>
    <w:rsid w:val="00F42FAB"/>
    <w:rsid w:val="00F4590F"/>
    <w:rsid w:val="00F56F8A"/>
    <w:rsid w:val="00F6618B"/>
    <w:rsid w:val="00F86340"/>
    <w:rsid w:val="00F94C26"/>
    <w:rsid w:val="00FA5207"/>
    <w:rsid w:val="00FA6122"/>
    <w:rsid w:val="00FB0D63"/>
    <w:rsid w:val="00FB1456"/>
    <w:rsid w:val="00FC5861"/>
    <w:rsid w:val="00FC5D33"/>
    <w:rsid w:val="00FE5209"/>
    <w:rsid w:val="00FE6E57"/>
    <w:rsid w:val="305E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3C8444"/>
  <w15:docId w15:val="{FAE97FCD-F8E8-48CC-B407-0C2F0AD3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0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D0B"/>
  </w:style>
  <w:style w:type="paragraph" w:styleId="Footer">
    <w:name w:val="footer"/>
    <w:basedOn w:val="Normal"/>
    <w:link w:val="FooterChar"/>
    <w:uiPriority w:val="99"/>
    <w:unhideWhenUsed/>
    <w:rsid w:val="00E52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D0B"/>
  </w:style>
  <w:style w:type="paragraph" w:styleId="ListParagraph">
    <w:name w:val="List Paragraph"/>
    <w:basedOn w:val="Normal"/>
    <w:uiPriority w:val="34"/>
    <w:qFormat/>
    <w:rsid w:val="00E52D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86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6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AD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3A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22C"/>
    <w:rPr>
      <w:rFonts w:ascii="Segoe UI" w:hAnsi="Segoe UI" w:cs="Segoe UI"/>
      <w:kern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7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7"/>
    <w:rPr>
      <w:b/>
      <w:bCs/>
      <w:kern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63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OE9ld9S/lUHnwvhVQCXN+irYg==">CgMxLjAyCGguZ2pkZ3hzOAByITFJYmtPTXZ3OVZQMTVnRjBqeHdsaDQwOGRzTmNnel91eA==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AB6D71-4D48-4BF6-B8CD-008282A1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Mitsova</dc:creator>
  <cp:lastModifiedBy>Miroslava Mitsova</cp:lastModifiedBy>
  <cp:revision>9</cp:revision>
  <dcterms:created xsi:type="dcterms:W3CDTF">2024-10-18T12:13:00Z</dcterms:created>
  <dcterms:modified xsi:type="dcterms:W3CDTF">2024-10-21T10:22:00Z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2024-10-18T12:13:14Z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38c2c099-a410-4ecc-b225-b0ea7df66a7b</vt:lpwstr>
  </property>
  <property fmtid="{D5CDD505-2E9C-101B-9397-08002B2CF9AE}" pid="8" name="MSIP_Label_91665e81-b407-4c05-bc63-9319ce4a6025_ContentBits">
    <vt:lpwstr>2</vt:lpwstr>
  </property>
</Properties>
</file>