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5AE84" w14:textId="55B876A3" w:rsidR="001E4A01" w:rsidRDefault="001E4A01" w:rsidP="001E4A01">
      <w:pPr>
        <w:rPr>
          <w:rFonts w:ascii="Arial" w:hAnsi="Arial" w:cs="Arial"/>
          <w:b/>
          <w:bCs/>
          <w:lang w:val="en-US"/>
        </w:rPr>
      </w:pPr>
      <w:r>
        <w:rPr>
          <w:rFonts w:ascii="Arial" w:hAnsi="Arial" w:cs="Arial"/>
          <w:b/>
          <w:bCs/>
          <w:noProof/>
          <w:lang w:val="en-US"/>
        </w:rPr>
        <w:drawing>
          <wp:inline distT="0" distB="0" distL="0" distR="0" wp14:anchorId="555AAEB2" wp14:editId="20AC3996">
            <wp:extent cx="5710176" cy="3931920"/>
            <wp:effectExtent l="0" t="0" r="5080" b="5080"/>
            <wp:docPr id="14261019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01957" name="Grafik 1"/>
                    <pic:cNvPicPr/>
                  </pic:nvPicPr>
                  <pic:blipFill rotWithShape="1">
                    <a:blip r:embed="rId8" cstate="print">
                      <a:extLst>
                        <a:ext uri="{28A0092B-C50C-407E-A947-70E740481C1C}">
                          <a14:useLocalDpi xmlns:a14="http://schemas.microsoft.com/office/drawing/2010/main" val="0"/>
                        </a:ext>
                      </a:extLst>
                    </a:blip>
                    <a:srcRect l="18064" t="17423" r="17373" b="15716"/>
                    <a:stretch>
                      <a:fillRect/>
                    </a:stretch>
                  </pic:blipFill>
                  <pic:spPr bwMode="auto">
                    <a:xfrm>
                      <a:off x="0" y="0"/>
                      <a:ext cx="5771633" cy="3974238"/>
                    </a:xfrm>
                    <a:prstGeom prst="rect">
                      <a:avLst/>
                    </a:prstGeom>
                    <a:ln>
                      <a:noFill/>
                    </a:ln>
                    <a:extLst>
                      <a:ext uri="{53640926-AAD7-44D8-BBD7-CCE9431645EC}">
                        <a14:shadowObscured xmlns:a14="http://schemas.microsoft.com/office/drawing/2010/main"/>
                      </a:ext>
                    </a:extLst>
                  </pic:spPr>
                </pic:pic>
              </a:graphicData>
            </a:graphic>
          </wp:inline>
        </w:drawing>
      </w:r>
    </w:p>
    <w:p w14:paraId="4922A819" w14:textId="77777777" w:rsidR="002470D9" w:rsidRDefault="002470D9" w:rsidP="001E4A01">
      <w:pPr>
        <w:rPr>
          <w:rFonts w:ascii="Arial" w:hAnsi="Arial" w:cs="Arial"/>
          <w:b/>
          <w:bCs/>
          <w:sz w:val="28"/>
          <w:szCs w:val="28"/>
        </w:rPr>
      </w:pPr>
      <w:r w:rsidRPr="002470D9">
        <w:rPr>
          <w:rFonts w:ascii="Arial" w:hAnsi="Arial" w:cs="Arial"/>
          <w:b/>
          <w:bCs/>
          <w:sz w:val="28"/>
          <w:szCs w:val="28"/>
          <w:lang w:val="fi-FI"/>
        </w:rPr>
        <w:br/>
      </w:r>
      <w:r w:rsidRPr="002470D9">
        <w:rPr>
          <w:rFonts w:ascii="Arial" w:hAnsi="Arial" w:cs="Arial"/>
          <w:b/>
          <w:bCs/>
          <w:sz w:val="28"/>
          <w:szCs w:val="28"/>
        </w:rPr>
        <w:t>Neumann laajentaa kolmitiemonitorien valikoimaansa KH 310 II- ja KH 350 -malleilla</w:t>
      </w:r>
    </w:p>
    <w:p w14:paraId="333B63A5" w14:textId="00C42A68" w:rsidR="002470D9" w:rsidRPr="002470D9" w:rsidRDefault="002470D9" w:rsidP="002470D9">
      <w:pPr>
        <w:spacing w:before="100" w:beforeAutospacing="1" w:after="100" w:afterAutospacing="1" w:line="300" w:lineRule="atLeast"/>
        <w:rPr>
          <w:lang w:val="en-FI"/>
        </w:rPr>
      </w:pPr>
      <w:r w:rsidRPr="002470D9">
        <w:rPr>
          <w:lang w:val="en-FI"/>
        </w:rPr>
        <w:t xml:space="preserve">Kaksi </w:t>
      </w:r>
      <w:proofErr w:type="spellStart"/>
      <w:r w:rsidRPr="002470D9">
        <w:rPr>
          <w:lang w:val="en-FI"/>
        </w:rPr>
        <w:t>monitoria</w:t>
      </w:r>
      <w:proofErr w:type="spellEnd"/>
      <w:r w:rsidRPr="002470D9">
        <w:rPr>
          <w:lang w:val="en-FI"/>
        </w:rPr>
        <w:t xml:space="preserve">, </w:t>
      </w:r>
      <w:proofErr w:type="spellStart"/>
      <w:r w:rsidRPr="002470D9">
        <w:rPr>
          <w:lang w:val="en-FI"/>
        </w:rPr>
        <w:t>yksi</w:t>
      </w:r>
      <w:proofErr w:type="spellEnd"/>
      <w:r w:rsidRPr="002470D9">
        <w:rPr>
          <w:lang w:val="en-FI"/>
        </w:rPr>
        <w:t xml:space="preserve"> </w:t>
      </w:r>
      <w:proofErr w:type="spellStart"/>
      <w:r w:rsidRPr="002470D9">
        <w:rPr>
          <w:lang w:val="en-FI"/>
        </w:rPr>
        <w:t>laatustandardi</w:t>
      </w:r>
      <w:proofErr w:type="spellEnd"/>
    </w:p>
    <w:p w14:paraId="1C0B66F6" w14:textId="5AC9EF27" w:rsidR="001E4A01" w:rsidRDefault="002470D9" w:rsidP="001E4A01">
      <w:pPr>
        <w:spacing w:before="100" w:beforeAutospacing="1" w:after="100" w:afterAutospacing="1" w:line="300" w:lineRule="atLeast"/>
        <w:rPr>
          <w:rFonts w:ascii="Arial" w:eastAsia="Times New Roman" w:hAnsi="Arial" w:cs="Arial"/>
          <w:sz w:val="20"/>
          <w:szCs w:val="20"/>
          <w:lang w:eastAsia="de-DE"/>
        </w:rPr>
      </w:pPr>
      <w:r w:rsidRPr="002470D9">
        <w:rPr>
          <w:rFonts w:ascii="Arial" w:eastAsia="Times New Roman" w:hAnsi="Arial" w:cs="Arial"/>
          <w:sz w:val="20"/>
          <w:szCs w:val="20"/>
          <w:lang w:eastAsia="de-DE"/>
        </w:rPr>
        <w:t>Neumann tuo markkinoille uuden sukupolven kolmitiestudiomonitorit KH 310 II:n ja täysin uuden KH 350:n. Yhdistämällä vuosikymmenten akustisen asiantuntemuksen tehokkaaseen DSP-alustaan ne tarjoavat poikkeuksellisen suorituskyvyn, saumattoman studiotyönkulun sekä sen tutun tarkkuuden, joka on tehnyt Neumannista ammattistudioiden vertailukohdan kautta maailman.</w:t>
      </w:r>
    </w:p>
    <w:p w14:paraId="65C21537" w14:textId="172C229B" w:rsidR="002470D9" w:rsidRPr="002470D9" w:rsidRDefault="002470D9" w:rsidP="001E4A01">
      <w:pPr>
        <w:spacing w:before="100" w:beforeAutospacing="1" w:after="100" w:afterAutospacing="1" w:line="300" w:lineRule="atLeast"/>
        <w:rPr>
          <w:rFonts w:ascii="Arial" w:eastAsia="Times New Roman" w:hAnsi="Arial" w:cs="Arial"/>
          <w:i/>
          <w:iCs/>
          <w:kern w:val="0"/>
          <w:sz w:val="20"/>
          <w:szCs w:val="20"/>
          <w:lang w:val="en-US" w:eastAsia="de-DE"/>
          <w14:ligatures w14:val="none"/>
        </w:rPr>
      </w:pPr>
      <w:r w:rsidRPr="002470D9">
        <w:rPr>
          <w:rFonts w:ascii="Arial" w:eastAsia="Times New Roman" w:hAnsi="Arial" w:cs="Arial"/>
          <w:i/>
          <w:iCs/>
          <w:sz w:val="20"/>
          <w:szCs w:val="20"/>
          <w:lang w:eastAsia="de-DE"/>
        </w:rPr>
        <w:t>Lisää alla englanniksi.</w:t>
      </w:r>
    </w:p>
    <w:p w14:paraId="7C79B17F" w14:textId="77777777" w:rsidR="001E4A01" w:rsidRDefault="001E4A01" w:rsidP="001E4A01">
      <w:pPr>
        <w:tabs>
          <w:tab w:val="left" w:pos="5040"/>
        </w:tabs>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Built on a shared platform of </w:t>
      </w:r>
      <w:r>
        <w:rPr>
          <w:rFonts w:ascii="Arial" w:eastAsia="Times New Roman" w:hAnsi="Arial" w:cs="Arial"/>
          <w:kern w:val="0"/>
          <w:sz w:val="20"/>
          <w:szCs w:val="20"/>
          <w:lang w:val="en-US" w:eastAsia="de-DE"/>
          <w14:ligatures w14:val="none"/>
        </w:rPr>
        <w:t xml:space="preserve">in-house designed </w:t>
      </w:r>
      <w:r w:rsidRPr="00040E23">
        <w:rPr>
          <w:rFonts w:ascii="Arial" w:eastAsia="Times New Roman" w:hAnsi="Arial" w:cs="Arial"/>
          <w:kern w:val="0"/>
          <w:sz w:val="20"/>
          <w:szCs w:val="20"/>
          <w:lang w:val="en-US" w:eastAsia="de-DE"/>
          <w14:ligatures w14:val="none"/>
        </w:rPr>
        <w:t xml:space="preserve">drivers, </w:t>
      </w:r>
      <w:r>
        <w:rPr>
          <w:rFonts w:ascii="Arial" w:eastAsia="Times New Roman" w:hAnsi="Arial" w:cs="Arial"/>
          <w:kern w:val="0"/>
          <w:sz w:val="20"/>
          <w:szCs w:val="20"/>
          <w:lang w:val="en-US" w:eastAsia="de-DE"/>
          <w14:ligatures w14:val="none"/>
        </w:rPr>
        <w:t>powerful</w:t>
      </w:r>
      <w:r w:rsidRPr="00040E23">
        <w:rPr>
          <w:rFonts w:ascii="Arial" w:eastAsia="Times New Roman" w:hAnsi="Arial" w:cs="Arial"/>
          <w:kern w:val="0"/>
          <w:sz w:val="20"/>
          <w:szCs w:val="20"/>
          <w:lang w:val="en-US" w:eastAsia="de-DE"/>
          <w14:ligatures w14:val="none"/>
        </w:rPr>
        <w:t xml:space="preserve"> amplification, and </w:t>
      </w:r>
      <w:r>
        <w:rPr>
          <w:rFonts w:ascii="Arial" w:eastAsia="Times New Roman" w:hAnsi="Arial" w:cs="Arial"/>
          <w:kern w:val="0"/>
          <w:sz w:val="20"/>
          <w:szCs w:val="20"/>
          <w:lang w:val="en-US" w:eastAsia="de-DE"/>
          <w14:ligatures w14:val="none"/>
        </w:rPr>
        <w:t xml:space="preserve">advanced </w:t>
      </w:r>
      <w:r w:rsidRPr="00040E23">
        <w:rPr>
          <w:rFonts w:ascii="Arial" w:eastAsia="Times New Roman" w:hAnsi="Arial" w:cs="Arial"/>
          <w:kern w:val="0"/>
          <w:sz w:val="20"/>
          <w:szCs w:val="20"/>
          <w:lang w:val="en-US" w:eastAsia="de-DE"/>
          <w14:ligatures w14:val="none"/>
        </w:rPr>
        <w:t xml:space="preserve">32-bit DSP processing, the KH 310 II and KH 350 offer </w:t>
      </w:r>
      <w:r>
        <w:rPr>
          <w:rFonts w:ascii="Arial" w:eastAsia="Times New Roman" w:hAnsi="Arial" w:cs="Arial"/>
          <w:kern w:val="0"/>
          <w:sz w:val="20"/>
          <w:szCs w:val="20"/>
          <w:lang w:val="en-US" w:eastAsia="de-DE"/>
          <w14:ligatures w14:val="none"/>
        </w:rPr>
        <w:t>consistent sound with excellent translation</w:t>
      </w:r>
      <w:r w:rsidRPr="00040E23">
        <w:rPr>
          <w:rFonts w:ascii="Arial" w:eastAsia="Times New Roman" w:hAnsi="Arial" w:cs="Arial"/>
          <w:kern w:val="0"/>
          <w:sz w:val="20"/>
          <w:szCs w:val="20"/>
          <w:lang w:val="en-US" w:eastAsia="de-DE"/>
          <w14:ligatures w14:val="none"/>
        </w:rPr>
        <w:t xml:space="preserve"> while addressing different monitoring requirements. The KH 310 II advances </w:t>
      </w:r>
      <w:r w:rsidRPr="00BB2D8E">
        <w:rPr>
          <w:rFonts w:ascii="Arial" w:eastAsia="Times New Roman" w:hAnsi="Arial" w:cs="Arial"/>
          <w:kern w:val="0"/>
          <w:sz w:val="20"/>
          <w:szCs w:val="20"/>
          <w:lang w:val="en-US" w:eastAsia="de-DE"/>
          <w14:ligatures w14:val="none"/>
        </w:rPr>
        <w:t xml:space="preserve">one of the industry's </w:t>
      </w:r>
      <w:r>
        <w:rPr>
          <w:rFonts w:ascii="Arial" w:eastAsia="Times New Roman" w:hAnsi="Arial" w:cs="Arial"/>
          <w:kern w:val="0"/>
          <w:sz w:val="20"/>
          <w:szCs w:val="20"/>
          <w:lang w:val="en-US" w:eastAsia="de-DE"/>
          <w14:ligatures w14:val="none"/>
        </w:rPr>
        <w:t>leading</w:t>
      </w:r>
      <w:r w:rsidRPr="00040E23">
        <w:rPr>
          <w:rFonts w:ascii="Arial" w:eastAsia="Times New Roman" w:hAnsi="Arial" w:cs="Arial"/>
          <w:kern w:val="0"/>
          <w:sz w:val="20"/>
          <w:szCs w:val="20"/>
          <w:lang w:val="en-US" w:eastAsia="de-DE"/>
          <w14:ligatures w14:val="none"/>
        </w:rPr>
        <w:t xml:space="preserve"> studio references, while the KH 350 introduces a completely new full-range monitoring solution </w:t>
      </w:r>
      <w:r>
        <w:rPr>
          <w:rFonts w:ascii="Arial" w:eastAsia="Times New Roman" w:hAnsi="Arial" w:cs="Arial"/>
          <w:kern w:val="0"/>
          <w:sz w:val="20"/>
          <w:szCs w:val="20"/>
          <w:lang w:val="en-US" w:eastAsia="de-DE"/>
          <w14:ligatures w14:val="none"/>
        </w:rPr>
        <w:t>with exceptional low-end authority for larger listening environments and immersive rooms.</w:t>
      </w:r>
    </w:p>
    <w:p w14:paraId="639B55F0" w14:textId="7777777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b/>
          <w:bCs/>
          <w:noProof/>
          <w:kern w:val="0"/>
          <w:sz w:val="20"/>
          <w:szCs w:val="20"/>
          <w:lang w:val="en-US" w:eastAsia="de-DE"/>
        </w:rPr>
        <w:lastRenderedPageBreak/>
        <w:drawing>
          <wp:anchor distT="0" distB="0" distL="114300" distR="114300" simplePos="0" relativeHeight="251663360" behindDoc="1" locked="0" layoutInCell="1" allowOverlap="1" wp14:anchorId="1E5BFA4C" wp14:editId="499DF9B8">
            <wp:simplePos x="0" y="0"/>
            <wp:positionH relativeFrom="column">
              <wp:posOffset>2169160</wp:posOffset>
            </wp:positionH>
            <wp:positionV relativeFrom="paragraph">
              <wp:posOffset>87630</wp:posOffset>
            </wp:positionV>
            <wp:extent cx="3346450" cy="2226945"/>
            <wp:effectExtent l="0" t="0" r="6350" b="0"/>
            <wp:wrapTight wrapText="bothSides">
              <wp:wrapPolygon edited="0">
                <wp:start x="0" y="0"/>
                <wp:lineTo x="0" y="21434"/>
                <wp:lineTo x="21559" y="21434"/>
                <wp:lineTo x="21559" y="0"/>
                <wp:lineTo x="0" y="0"/>
              </wp:wrapPolygon>
            </wp:wrapTight>
            <wp:docPr id="189169155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91551" name="Grafik 1891691551"/>
                    <pic:cNvPicPr/>
                  </pic:nvPicPr>
                  <pic:blipFill rotWithShape="1">
                    <a:blip r:embed="rId9" cstate="print">
                      <a:extLst>
                        <a:ext uri="{28A0092B-C50C-407E-A947-70E740481C1C}">
                          <a14:useLocalDpi xmlns:a14="http://schemas.microsoft.com/office/drawing/2010/main"/>
                        </a:ext>
                      </a:extLst>
                    </a:blip>
                    <a:srcRect l="4530" t="6056" r="4731" b="7350"/>
                    <a:stretch>
                      <a:fillRect/>
                    </a:stretch>
                  </pic:blipFill>
                  <pic:spPr bwMode="auto">
                    <a:xfrm>
                      <a:off x="0" y="0"/>
                      <a:ext cx="3346450" cy="2226945"/>
                    </a:xfrm>
                    <a:prstGeom prst="rect">
                      <a:avLst/>
                    </a:prstGeom>
                  </pic:spPr>
                </pic:pic>
              </a:graphicData>
            </a:graphic>
            <wp14:sizeRelH relativeFrom="page">
              <wp14:pctWidth>0</wp14:pctWidth>
            </wp14:sizeRelH>
            <wp14:sizeRelV relativeFrom="page">
              <wp14:pctHeight>0</wp14:pctHeight>
            </wp14:sizeRelV>
          </wp:anchor>
        </w:drawing>
      </w:r>
      <w:r w:rsidRPr="00040E23">
        <w:rPr>
          <w:rFonts w:ascii="Arial" w:eastAsia="Times New Roman" w:hAnsi="Arial" w:cs="Arial"/>
          <w:kern w:val="0"/>
          <w:sz w:val="20"/>
          <w:szCs w:val="20"/>
          <w:lang w:val="en-US" w:eastAsia="de-DE"/>
          <w14:ligatures w14:val="none"/>
        </w:rPr>
        <w:t>Both monitors</w:t>
      </w:r>
      <w:r>
        <w:rPr>
          <w:rFonts w:ascii="Arial" w:eastAsia="Times New Roman" w:hAnsi="Arial" w:cs="Arial"/>
          <w:kern w:val="0"/>
          <w:sz w:val="20"/>
          <w:szCs w:val="20"/>
          <w:lang w:val="en-US" w:eastAsia="de-DE"/>
          <w14:ligatures w14:val="none"/>
        </w:rPr>
        <w:t xml:space="preserve"> offer seamless integration with Neumann’s state-of-the-art room correction solution MA 1 Automatic Monitor Alignment and feature</w:t>
      </w:r>
      <w:r w:rsidRPr="00040E23">
        <w:rPr>
          <w:rFonts w:ascii="Arial" w:eastAsia="Times New Roman" w:hAnsi="Arial" w:cs="Arial"/>
          <w:kern w:val="0"/>
          <w:sz w:val="20"/>
          <w:szCs w:val="20"/>
          <w:lang w:val="en-US" w:eastAsia="de-DE"/>
          <w14:ligatures w14:val="none"/>
        </w:rPr>
        <w:t xml:space="preserve"> analog a</w:t>
      </w:r>
      <w:r>
        <w:rPr>
          <w:rFonts w:ascii="Arial" w:eastAsia="Times New Roman" w:hAnsi="Arial" w:cs="Arial"/>
          <w:kern w:val="0"/>
          <w:sz w:val="20"/>
          <w:szCs w:val="20"/>
          <w:lang w:val="en-US" w:eastAsia="de-DE"/>
          <w14:ligatures w14:val="none"/>
        </w:rPr>
        <w:t>s well as</w:t>
      </w:r>
      <w:r w:rsidRPr="00040E23">
        <w:rPr>
          <w:rFonts w:ascii="Arial" w:eastAsia="Times New Roman" w:hAnsi="Arial" w:cs="Arial"/>
          <w:kern w:val="0"/>
          <w:sz w:val="20"/>
          <w:szCs w:val="20"/>
          <w:lang w:val="en-US" w:eastAsia="de-DE"/>
          <w14:ligatures w14:val="none"/>
        </w:rPr>
        <w:t xml:space="preserve"> AES3</w:t>
      </w:r>
      <w:r w:rsidRPr="3ADDEEED">
        <w:rPr>
          <w:rFonts w:ascii="Arial" w:eastAsia="Times New Roman" w:hAnsi="Arial" w:cs="Arial"/>
          <w:sz w:val="20"/>
          <w:szCs w:val="20"/>
          <w:lang w:val="en-US" w:eastAsia="de-DE"/>
        </w:rPr>
        <w:t xml:space="preserve"> (coaxial) digital connectivity. They both combine the KH 310’s trusted midrange resolution with even lower distortion, almost doubled amplifier power, and even tighter tolerances for exceptional consistency. The result is razor-sharp imaging, predictable performance, and seamless integration across stereo, surround, and immersive audio applications.</w:t>
      </w:r>
    </w:p>
    <w:p w14:paraId="593CBB51" w14:textId="77777777" w:rsidR="001E4A01" w:rsidRPr="00A3408C"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kern w:val="0"/>
          <w:sz w:val="20"/>
          <w:szCs w:val="20"/>
          <w:lang w:val="en-US" w:eastAsia="de-DE"/>
          <w14:ligatures w14:val="none"/>
        </w:rPr>
        <w:t>“</w:t>
      </w:r>
      <w:r w:rsidRPr="007B2697">
        <w:rPr>
          <w:rFonts w:ascii="Arial" w:eastAsia="Times New Roman" w:hAnsi="Arial" w:cs="Arial"/>
          <w:kern w:val="0"/>
          <w:sz w:val="20"/>
          <w:szCs w:val="20"/>
          <w:lang w:val="en-US" w:eastAsia="de-DE"/>
          <w14:ligatures w14:val="none"/>
        </w:rPr>
        <w:t>The KH 310 has earned an exceptional reputation among recording, mixing, and mastering engineers worldwide,</w:t>
      </w:r>
      <w:r>
        <w:rPr>
          <w:rFonts w:ascii="Arial" w:eastAsia="Times New Roman" w:hAnsi="Arial" w:cs="Arial"/>
          <w:kern w:val="0"/>
          <w:sz w:val="20"/>
          <w:szCs w:val="20"/>
          <w:lang w:val="en-US" w:eastAsia="de-DE"/>
          <w14:ligatures w14:val="none"/>
        </w:rPr>
        <w:t>”</w:t>
      </w:r>
      <w:r w:rsidRPr="007B2697">
        <w:rPr>
          <w:rFonts w:ascii="Arial" w:eastAsia="Times New Roman" w:hAnsi="Arial" w:cs="Arial"/>
          <w:kern w:val="0"/>
          <w:sz w:val="20"/>
          <w:szCs w:val="20"/>
          <w:lang w:val="en-US" w:eastAsia="de-DE"/>
          <w14:ligatures w14:val="none"/>
        </w:rPr>
        <w:t xml:space="preserve"> says Roman Kramer, Product Manager at Neumann. </w:t>
      </w:r>
      <w:r>
        <w:rPr>
          <w:rFonts w:ascii="Arial" w:eastAsia="Times New Roman" w:hAnsi="Arial" w:cs="Arial"/>
          <w:kern w:val="0"/>
          <w:sz w:val="20"/>
          <w:szCs w:val="20"/>
          <w:lang w:val="en-US" w:eastAsia="de-DE"/>
          <w14:ligatures w14:val="none"/>
        </w:rPr>
        <w:t>“</w:t>
      </w:r>
      <w:r w:rsidRPr="007B2697">
        <w:rPr>
          <w:rFonts w:ascii="Arial" w:eastAsia="Times New Roman" w:hAnsi="Arial" w:cs="Arial"/>
          <w:kern w:val="0"/>
          <w:sz w:val="20"/>
          <w:szCs w:val="20"/>
          <w:lang w:val="en-US" w:eastAsia="de-DE"/>
          <w14:ligatures w14:val="none"/>
        </w:rPr>
        <w:t>With the KH 310 II, we worked long and hard to retain everything users love about the original while elevating performance in virtually every area. At the same time, the KH 350 opens new possibilities for engineers who need greater low-frequency authority and the flexibility to work confidently across both nearfield and midfield environments.</w:t>
      </w:r>
      <w:r>
        <w:rPr>
          <w:rFonts w:ascii="Arial" w:eastAsia="Times New Roman" w:hAnsi="Arial" w:cs="Arial"/>
          <w:kern w:val="0"/>
          <w:sz w:val="20"/>
          <w:szCs w:val="20"/>
          <w:lang w:val="en-US" w:eastAsia="de-DE"/>
          <w14:ligatures w14:val="none"/>
        </w:rPr>
        <w:t>”</w:t>
      </w:r>
    </w:p>
    <w:p w14:paraId="09EAF82F" w14:textId="7FAF54B4" w:rsidR="001E4A01" w:rsidRPr="00040E23" w:rsidRDefault="001E4A01" w:rsidP="001E4A01">
      <w:pPr>
        <w:spacing w:before="100" w:beforeAutospacing="1" w:after="100" w:afterAutospacing="1" w:line="300" w:lineRule="atLeast"/>
        <w:outlineLvl w:val="1"/>
        <w:rPr>
          <w:rFonts w:ascii="Arial" w:eastAsia="Times New Roman" w:hAnsi="Arial" w:cs="Arial"/>
          <w:b/>
          <w:bCs/>
          <w:kern w:val="0"/>
          <w:sz w:val="20"/>
          <w:szCs w:val="20"/>
          <w:lang w:val="en-US" w:eastAsia="de-DE"/>
          <w14:ligatures w14:val="none"/>
        </w:rPr>
      </w:pPr>
      <w:r w:rsidRPr="00040E23">
        <w:rPr>
          <w:rFonts w:ascii="Arial" w:eastAsia="Times New Roman" w:hAnsi="Arial" w:cs="Arial"/>
          <w:b/>
          <w:bCs/>
          <w:kern w:val="0"/>
          <w:sz w:val="20"/>
          <w:szCs w:val="20"/>
          <w:lang w:val="en-US" w:eastAsia="de-DE"/>
          <w14:ligatures w14:val="none"/>
        </w:rPr>
        <w:t>Two Monitors, One Reference Standard</w:t>
      </w:r>
    </w:p>
    <w:p w14:paraId="163FC9D1" w14:textId="3B86CFDE"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noProof/>
          <w:kern w:val="0"/>
          <w:sz w:val="20"/>
          <w:szCs w:val="20"/>
          <w:lang w:val="en-US" w:eastAsia="de-DE"/>
        </w:rPr>
        <w:drawing>
          <wp:anchor distT="0" distB="0" distL="114300" distR="114300" simplePos="0" relativeHeight="251659264" behindDoc="1" locked="0" layoutInCell="1" allowOverlap="1" wp14:anchorId="4C81E5F4" wp14:editId="4F4E83CE">
            <wp:simplePos x="0" y="0"/>
            <wp:positionH relativeFrom="column">
              <wp:posOffset>2117090</wp:posOffset>
            </wp:positionH>
            <wp:positionV relativeFrom="paragraph">
              <wp:posOffset>883920</wp:posOffset>
            </wp:positionV>
            <wp:extent cx="3039110" cy="2708275"/>
            <wp:effectExtent l="0" t="0" r="0" b="0"/>
            <wp:wrapTight wrapText="bothSides">
              <wp:wrapPolygon edited="0">
                <wp:start x="0" y="0"/>
                <wp:lineTo x="0" y="21473"/>
                <wp:lineTo x="21483" y="21473"/>
                <wp:lineTo x="21483" y="0"/>
                <wp:lineTo x="0" y="0"/>
              </wp:wrapPolygon>
            </wp:wrapTight>
            <wp:docPr id="31792373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23735" name="Grafik 2"/>
                    <pic:cNvPicPr/>
                  </pic:nvPicPr>
                  <pic:blipFill rotWithShape="1">
                    <a:blip r:embed="rId10"/>
                    <a:srcRect l="8379" t="5902" r="9588" b="25417"/>
                    <a:stretch>
                      <a:fillRect/>
                    </a:stretch>
                  </pic:blipFill>
                  <pic:spPr bwMode="auto">
                    <a:xfrm>
                      <a:off x="0" y="0"/>
                      <a:ext cx="3039110" cy="2708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0E23">
        <w:rPr>
          <w:rFonts w:ascii="Arial" w:eastAsia="Times New Roman" w:hAnsi="Arial" w:cs="Arial"/>
          <w:kern w:val="0"/>
          <w:sz w:val="20"/>
          <w:szCs w:val="20"/>
          <w:lang w:val="en-US" w:eastAsia="de-DE"/>
          <w14:ligatures w14:val="none"/>
        </w:rPr>
        <w:t xml:space="preserve">The KH 310 II and KH 350 share Neumann's renowned 3" soft-dome midrange driver, a precision 1" tweeter, an advanced 8.25" woofer, and powerful DSP processing. Together, these technologies deliver outstanding transparency, exceptional phase coherence, and </w:t>
      </w:r>
      <w:bookmarkStart w:id="0" w:name="_Int_MrGdxrTC"/>
      <w:r w:rsidRPr="3ADDEEED">
        <w:rPr>
          <w:rFonts w:ascii="Arial" w:eastAsia="Times New Roman" w:hAnsi="Arial" w:cs="Arial"/>
          <w:sz w:val="20"/>
          <w:szCs w:val="20"/>
          <w:lang w:val="en-US" w:eastAsia="de-DE"/>
        </w:rPr>
        <w:t>the accuracy</w:t>
      </w:r>
      <w:bookmarkEnd w:id="0"/>
      <w:r w:rsidRPr="3ADDEEED">
        <w:rPr>
          <w:rFonts w:ascii="Arial" w:eastAsia="Times New Roman" w:hAnsi="Arial" w:cs="Arial"/>
          <w:sz w:val="20"/>
          <w:szCs w:val="20"/>
          <w:lang w:val="en-US" w:eastAsia="de-DE"/>
        </w:rPr>
        <w:t xml:space="preserve"> required for critical production decisions.</w:t>
      </w:r>
    </w:p>
    <w:p w14:paraId="282E06E2" w14:textId="5597CC56" w:rsidR="001E4A01" w:rsidRPr="007B2697"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kern w:val="0"/>
          <w:sz w:val="20"/>
          <w:szCs w:val="20"/>
          <w:lang w:val="en-US" w:eastAsia="de-DE"/>
          <w14:ligatures w14:val="none"/>
        </w:rPr>
        <w:t>“</w:t>
      </w:r>
      <w:r w:rsidRPr="007B2697">
        <w:rPr>
          <w:rFonts w:ascii="Arial" w:eastAsia="Times New Roman" w:hAnsi="Arial" w:cs="Arial"/>
          <w:kern w:val="0"/>
          <w:sz w:val="20"/>
          <w:szCs w:val="20"/>
          <w:lang w:val="en-US" w:eastAsia="de-DE"/>
          <w14:ligatures w14:val="none"/>
        </w:rPr>
        <w:t>The KH 310 II and KH 350 share the same acoustic DNA and commitment to truthful sound reproduction,</w:t>
      </w:r>
      <w:r>
        <w:rPr>
          <w:rFonts w:ascii="Arial" w:eastAsia="Times New Roman" w:hAnsi="Arial" w:cs="Arial"/>
          <w:kern w:val="0"/>
          <w:sz w:val="20"/>
          <w:szCs w:val="20"/>
          <w:lang w:val="en-US" w:eastAsia="de-DE"/>
          <w14:ligatures w14:val="none"/>
        </w:rPr>
        <w:t>”</w:t>
      </w:r>
      <w:r w:rsidRPr="007B2697">
        <w:rPr>
          <w:rFonts w:ascii="Arial" w:eastAsia="Times New Roman" w:hAnsi="Arial" w:cs="Arial"/>
          <w:kern w:val="0"/>
          <w:sz w:val="20"/>
          <w:szCs w:val="20"/>
          <w:lang w:val="en-US" w:eastAsia="de-DE"/>
          <w14:ligatures w14:val="none"/>
        </w:rPr>
        <w:t xml:space="preserve"> says Stephan Mauer, </w:t>
      </w:r>
      <w:r w:rsidRPr="33746D50">
        <w:rPr>
          <w:rFonts w:ascii="Arial" w:eastAsia="Times New Roman" w:hAnsi="Arial" w:cs="Arial"/>
          <w:sz w:val="20"/>
          <w:szCs w:val="20"/>
          <w:lang w:val="en-US" w:eastAsia="de-DE"/>
        </w:rPr>
        <w:t>Product Management</w:t>
      </w:r>
      <w:r w:rsidRPr="3ADDEEED">
        <w:rPr>
          <w:rFonts w:ascii="Arial" w:eastAsia="Times New Roman" w:hAnsi="Arial" w:cs="Arial"/>
          <w:sz w:val="20"/>
          <w:szCs w:val="20"/>
          <w:lang w:val="en-US" w:eastAsia="de-DE"/>
        </w:rPr>
        <w:t xml:space="preserve"> Director at Neumann. </w:t>
      </w:r>
      <w:bookmarkStart w:id="1" w:name="_Int_jJkjpAdf"/>
      <w:r w:rsidRPr="3ADDEEED">
        <w:rPr>
          <w:rFonts w:ascii="Arial" w:eastAsia="Times New Roman" w:hAnsi="Arial" w:cs="Arial"/>
          <w:sz w:val="20"/>
          <w:szCs w:val="20"/>
          <w:lang w:val="en-US" w:eastAsia="de-DE"/>
        </w:rPr>
        <w:t>“Today's</w:t>
      </w:r>
      <w:bookmarkEnd w:id="1"/>
      <w:r w:rsidRPr="3ADDEEED">
        <w:rPr>
          <w:rFonts w:ascii="Arial" w:eastAsia="Times New Roman" w:hAnsi="Arial" w:cs="Arial"/>
          <w:sz w:val="20"/>
          <w:szCs w:val="20"/>
          <w:lang w:val="en-US" w:eastAsia="de-DE"/>
        </w:rPr>
        <w:t xml:space="preserve"> engineers work across a wide range of rooms, formats, and production styles. Our goal was to provide two solutions that deliver the same trusted reference standard while allowing users to choose the monitoring concept that best supports their </w:t>
      </w:r>
      <w:r w:rsidRPr="0011606C">
        <w:rPr>
          <w:rFonts w:ascii="Arial" w:eastAsia="Times New Roman" w:hAnsi="Arial" w:cs="Arial"/>
          <w:sz w:val="20"/>
          <w:szCs w:val="20"/>
          <w:lang w:val="en-US" w:eastAsia="de-DE"/>
        </w:rPr>
        <w:t>workflow.</w:t>
      </w:r>
      <w:r w:rsidRPr="3ADDEEED">
        <w:rPr>
          <w:rFonts w:ascii="Arial" w:eastAsia="Times New Roman" w:hAnsi="Arial" w:cs="Arial"/>
          <w:sz w:val="20"/>
          <w:szCs w:val="20"/>
          <w:lang w:val="en-US" w:eastAsia="de-DE"/>
        </w:rPr>
        <w:t>”</w:t>
      </w:r>
    </w:p>
    <w:p w14:paraId="08CAC92C" w14:textId="77777777" w:rsidR="001E4A01" w:rsidRPr="00040E23" w:rsidRDefault="001E4A01" w:rsidP="001E4A01">
      <w:pPr>
        <w:spacing w:before="100" w:beforeAutospacing="1" w:after="100" w:afterAutospacing="1" w:line="300" w:lineRule="atLeast"/>
        <w:outlineLvl w:val="1"/>
        <w:rPr>
          <w:rFonts w:ascii="Arial" w:eastAsia="Times New Roman" w:hAnsi="Arial" w:cs="Arial"/>
          <w:b/>
          <w:bCs/>
          <w:kern w:val="0"/>
          <w:sz w:val="20"/>
          <w:szCs w:val="20"/>
          <w:lang w:val="en-US" w:eastAsia="de-DE"/>
          <w14:ligatures w14:val="none"/>
        </w:rPr>
      </w:pPr>
      <w:r>
        <w:rPr>
          <w:rFonts w:ascii="Arial" w:eastAsia="Times New Roman" w:hAnsi="Arial" w:cs="Arial"/>
          <w:b/>
          <w:bCs/>
          <w:noProof/>
          <w:kern w:val="0"/>
          <w:sz w:val="20"/>
          <w:szCs w:val="20"/>
          <w:lang w:val="en-US" w:eastAsia="de-DE"/>
        </w:rPr>
        <w:lastRenderedPageBreak/>
        <w:drawing>
          <wp:anchor distT="0" distB="0" distL="114300" distR="114300" simplePos="0" relativeHeight="251660288" behindDoc="1" locked="0" layoutInCell="1" allowOverlap="1" wp14:anchorId="25AB860C" wp14:editId="4DDC239C">
            <wp:simplePos x="0" y="0"/>
            <wp:positionH relativeFrom="column">
              <wp:posOffset>2279015</wp:posOffset>
            </wp:positionH>
            <wp:positionV relativeFrom="paragraph">
              <wp:posOffset>105773</wp:posOffset>
            </wp:positionV>
            <wp:extent cx="2891790" cy="3729355"/>
            <wp:effectExtent l="0" t="0" r="3810" b="4445"/>
            <wp:wrapTight wrapText="bothSides">
              <wp:wrapPolygon edited="0">
                <wp:start x="0" y="0"/>
                <wp:lineTo x="0" y="21552"/>
                <wp:lineTo x="21534" y="21552"/>
                <wp:lineTo x="21534" y="0"/>
                <wp:lineTo x="0" y="0"/>
              </wp:wrapPolygon>
            </wp:wrapTight>
            <wp:docPr id="192453321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33215" name="Grafik 1924533215"/>
                    <pic:cNvPicPr/>
                  </pic:nvPicPr>
                  <pic:blipFill rotWithShape="1">
                    <a:blip r:embed="rId11" cstate="print">
                      <a:extLst>
                        <a:ext uri="{28A0092B-C50C-407E-A947-70E740481C1C}">
                          <a14:useLocalDpi xmlns:a14="http://schemas.microsoft.com/office/drawing/2010/main" val="0"/>
                        </a:ext>
                      </a:extLst>
                    </a:blip>
                    <a:srcRect l="8745" t="2" r="8174" b="12503"/>
                    <a:stretch>
                      <a:fillRect/>
                    </a:stretch>
                  </pic:blipFill>
                  <pic:spPr bwMode="auto">
                    <a:xfrm>
                      <a:off x="0" y="0"/>
                      <a:ext cx="2891790" cy="3729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0E23">
        <w:rPr>
          <w:rFonts w:ascii="Arial" w:eastAsia="Times New Roman" w:hAnsi="Arial" w:cs="Arial"/>
          <w:b/>
          <w:bCs/>
          <w:kern w:val="0"/>
          <w:sz w:val="20"/>
          <w:szCs w:val="20"/>
          <w:lang w:val="en-US" w:eastAsia="de-DE"/>
          <w14:ligatures w14:val="none"/>
        </w:rPr>
        <w:t>KH 310 II</w:t>
      </w:r>
      <w:r>
        <w:rPr>
          <w:rFonts w:ascii="Arial" w:eastAsia="Times New Roman" w:hAnsi="Arial" w:cs="Arial"/>
          <w:b/>
          <w:bCs/>
          <w:kern w:val="0"/>
          <w:sz w:val="20"/>
          <w:szCs w:val="20"/>
          <w:lang w:val="en-US" w:eastAsia="de-DE"/>
          <w14:ligatures w14:val="none"/>
        </w:rPr>
        <w:t xml:space="preserve">: </w:t>
      </w:r>
      <w:r w:rsidRPr="00040E23">
        <w:rPr>
          <w:rFonts w:ascii="Arial" w:eastAsia="Times New Roman" w:hAnsi="Arial" w:cs="Arial"/>
          <w:b/>
          <w:bCs/>
          <w:kern w:val="0"/>
          <w:sz w:val="20"/>
          <w:szCs w:val="20"/>
          <w:lang w:val="en-US" w:eastAsia="de-DE"/>
          <w14:ligatures w14:val="none"/>
        </w:rPr>
        <w:t>The Reference, Refined</w:t>
      </w:r>
    </w:p>
    <w:p w14:paraId="669451E2" w14:textId="7777777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The KH 310 II builds upon the legacy of one of </w:t>
      </w:r>
      <w:bookmarkStart w:id="2" w:name="_Int_GpQLF6ib"/>
      <w:r w:rsidRPr="3ADDEEED">
        <w:rPr>
          <w:rFonts w:ascii="Arial" w:eastAsia="Times New Roman" w:hAnsi="Arial" w:cs="Arial"/>
          <w:sz w:val="20"/>
          <w:szCs w:val="20"/>
          <w:lang w:val="en-US" w:eastAsia="de-DE"/>
        </w:rPr>
        <w:t>professional</w:t>
      </w:r>
      <w:bookmarkEnd w:id="2"/>
      <w:r w:rsidRPr="3ADDEEED">
        <w:rPr>
          <w:rFonts w:ascii="Arial" w:eastAsia="Times New Roman" w:hAnsi="Arial" w:cs="Arial"/>
          <w:sz w:val="20"/>
          <w:szCs w:val="20"/>
          <w:lang w:val="en-US" w:eastAsia="de-DE"/>
        </w:rPr>
        <w:t xml:space="preserve"> audio's most trusted studio monitors. The original KH 310 became a benchmark for accuracy, exceptional midrange clarity, and remarkably precise low-frequency reproduction.</w:t>
      </w:r>
    </w:p>
    <w:p w14:paraId="63162E14" w14:textId="7777777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The new KH 310 II </w:t>
      </w:r>
      <w:r>
        <w:rPr>
          <w:rFonts w:ascii="Arial" w:eastAsia="Times New Roman" w:hAnsi="Arial" w:cs="Arial"/>
          <w:kern w:val="0"/>
          <w:sz w:val="20"/>
          <w:szCs w:val="20"/>
          <w:lang w:val="en-US" w:eastAsia="de-DE"/>
          <w14:ligatures w14:val="none"/>
        </w:rPr>
        <w:t>retains</w:t>
      </w:r>
      <w:r w:rsidRPr="00040E23">
        <w:rPr>
          <w:rFonts w:ascii="Arial" w:eastAsia="Times New Roman" w:hAnsi="Arial" w:cs="Arial"/>
          <w:kern w:val="0"/>
          <w:sz w:val="20"/>
          <w:szCs w:val="20"/>
          <w:lang w:val="en-US" w:eastAsia="de-DE"/>
          <w14:ligatures w14:val="none"/>
        </w:rPr>
        <w:t xml:space="preserve"> the sealed-cabinet architecture that has long been </w:t>
      </w:r>
      <w:r>
        <w:rPr>
          <w:rFonts w:ascii="Arial" w:eastAsia="Times New Roman" w:hAnsi="Arial" w:cs="Arial"/>
          <w:kern w:val="0"/>
          <w:sz w:val="20"/>
          <w:szCs w:val="20"/>
          <w:lang w:val="en-US" w:eastAsia="de-DE"/>
          <w14:ligatures w14:val="none"/>
        </w:rPr>
        <w:t>prized</w:t>
      </w:r>
      <w:r w:rsidRPr="00040E23">
        <w:rPr>
          <w:rFonts w:ascii="Arial" w:eastAsia="Times New Roman" w:hAnsi="Arial" w:cs="Arial"/>
          <w:kern w:val="0"/>
          <w:sz w:val="20"/>
          <w:szCs w:val="20"/>
          <w:lang w:val="en-US" w:eastAsia="de-DE"/>
          <w14:ligatures w14:val="none"/>
        </w:rPr>
        <w:t xml:space="preserve"> for its fast transient response, low group delay, and </w:t>
      </w:r>
      <w:r>
        <w:rPr>
          <w:rFonts w:ascii="Arial" w:eastAsia="Times New Roman" w:hAnsi="Arial" w:cs="Arial"/>
          <w:kern w:val="0"/>
          <w:sz w:val="20"/>
          <w:szCs w:val="20"/>
          <w:lang w:val="en-US" w:eastAsia="de-DE"/>
          <w14:ligatures w14:val="none"/>
        </w:rPr>
        <w:t>precisely</w:t>
      </w:r>
      <w:r w:rsidRPr="00040E23">
        <w:rPr>
          <w:rFonts w:ascii="Arial" w:eastAsia="Times New Roman" w:hAnsi="Arial" w:cs="Arial"/>
          <w:kern w:val="0"/>
          <w:sz w:val="20"/>
          <w:szCs w:val="20"/>
          <w:lang w:val="en-US" w:eastAsia="de-DE"/>
          <w14:ligatures w14:val="none"/>
        </w:rPr>
        <w:t xml:space="preserve"> controlled bass reproduction. Neumann's celebrated 3" soft-dome midrange driver also remains unchanged, maintaining the natural tonal balance and vocal clarity that helped establish the KH 310's reputation.</w:t>
      </w:r>
    </w:p>
    <w:p w14:paraId="64F2B371" w14:textId="7777777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At the same time, the system has been extensively re-engineered. A newly developed woofer, </w:t>
      </w:r>
      <w:r>
        <w:rPr>
          <w:rFonts w:ascii="Arial" w:eastAsia="Times New Roman" w:hAnsi="Arial" w:cs="Arial"/>
          <w:kern w:val="0"/>
          <w:sz w:val="20"/>
          <w:szCs w:val="20"/>
          <w:lang w:val="en-US" w:eastAsia="de-DE"/>
          <w14:ligatures w14:val="none"/>
        </w:rPr>
        <w:t>massively</w:t>
      </w:r>
      <w:r w:rsidRPr="00040E23">
        <w:rPr>
          <w:rFonts w:ascii="Arial" w:eastAsia="Times New Roman" w:hAnsi="Arial" w:cs="Arial"/>
          <w:kern w:val="0"/>
          <w:sz w:val="20"/>
          <w:szCs w:val="20"/>
          <w:lang w:val="en-US" w:eastAsia="de-DE"/>
          <w14:ligatures w14:val="none"/>
        </w:rPr>
        <w:t xml:space="preserve"> increased amplifier power, advanced DSP processing, improved linearity, and reduced distortion deliver a substantial performance upgrade. Despite offering </w:t>
      </w:r>
      <w:r w:rsidRPr="3ADDEEED">
        <w:rPr>
          <w:rFonts w:ascii="Arial" w:eastAsia="Times New Roman" w:hAnsi="Arial" w:cs="Arial"/>
          <w:b/>
          <w:sz w:val="20"/>
          <w:szCs w:val="20"/>
          <w:lang w:val="en-US" w:eastAsia="de-DE"/>
        </w:rPr>
        <w:t>5 dB higher maximum SPL</w:t>
      </w:r>
      <w:r w:rsidRPr="3ADDEEED">
        <w:rPr>
          <w:rFonts w:ascii="Arial" w:eastAsia="Times New Roman" w:hAnsi="Arial" w:cs="Arial"/>
          <w:sz w:val="20"/>
          <w:szCs w:val="20"/>
          <w:lang w:val="en-US" w:eastAsia="de-DE"/>
        </w:rPr>
        <w:t xml:space="preserve"> than its predecessor, the KH 310 II retains identical cabinet dimensions to allow for easy integration into existing studios and installations.</w:t>
      </w:r>
    </w:p>
    <w:p w14:paraId="4DDAF1C2" w14:textId="77777777" w:rsidR="001E4A01" w:rsidRPr="00A3408C"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The result is a monitor that stays true to its heritage while setting new benchmark</w:t>
      </w:r>
      <w:r>
        <w:rPr>
          <w:rFonts w:ascii="Arial" w:eastAsia="Times New Roman" w:hAnsi="Arial" w:cs="Arial"/>
          <w:kern w:val="0"/>
          <w:sz w:val="20"/>
          <w:szCs w:val="20"/>
          <w:lang w:val="en-US" w:eastAsia="de-DE"/>
          <w14:ligatures w14:val="none"/>
        </w:rPr>
        <w:t>s</w:t>
      </w:r>
      <w:r w:rsidRPr="00040E23">
        <w:rPr>
          <w:rFonts w:ascii="Arial" w:eastAsia="Times New Roman" w:hAnsi="Arial" w:cs="Arial"/>
          <w:kern w:val="0"/>
          <w:sz w:val="20"/>
          <w:szCs w:val="20"/>
          <w:lang w:val="en-US" w:eastAsia="de-DE"/>
          <w14:ligatures w14:val="none"/>
        </w:rPr>
        <w:t xml:space="preserve"> </w:t>
      </w:r>
      <w:r>
        <w:rPr>
          <w:rFonts w:ascii="Arial" w:eastAsia="Times New Roman" w:hAnsi="Arial" w:cs="Arial"/>
          <w:kern w:val="0"/>
          <w:sz w:val="20"/>
          <w:szCs w:val="20"/>
          <w:lang w:val="en-US" w:eastAsia="de-DE"/>
          <w14:ligatures w14:val="none"/>
        </w:rPr>
        <w:t>in</w:t>
      </w:r>
      <w:r w:rsidRPr="00040E23">
        <w:rPr>
          <w:rFonts w:ascii="Arial" w:eastAsia="Times New Roman" w:hAnsi="Arial" w:cs="Arial"/>
          <w:kern w:val="0"/>
          <w:sz w:val="20"/>
          <w:szCs w:val="20"/>
          <w:lang w:val="en-US" w:eastAsia="de-DE"/>
          <w14:ligatures w14:val="none"/>
        </w:rPr>
        <w:t xml:space="preserve"> precision, consistency, and workflow integration.</w:t>
      </w:r>
    </w:p>
    <w:p w14:paraId="1A903740" w14:textId="77777777" w:rsidR="001E4A01" w:rsidRDefault="001E4A01" w:rsidP="001E4A01">
      <w:pPr>
        <w:spacing w:before="100" w:beforeAutospacing="1" w:after="100" w:afterAutospacing="1" w:line="300" w:lineRule="atLeast"/>
        <w:outlineLvl w:val="1"/>
        <w:rPr>
          <w:rFonts w:ascii="Arial" w:eastAsia="Times New Roman" w:hAnsi="Arial" w:cs="Arial"/>
          <w:b/>
          <w:bCs/>
          <w:kern w:val="0"/>
          <w:sz w:val="20"/>
          <w:szCs w:val="20"/>
          <w:lang w:val="en-US" w:eastAsia="de-DE"/>
          <w14:ligatures w14:val="none"/>
        </w:rPr>
      </w:pPr>
    </w:p>
    <w:p w14:paraId="6379750B" w14:textId="5DC6469F" w:rsidR="001E4A01" w:rsidRPr="00040E23" w:rsidRDefault="001E4A01" w:rsidP="001E4A01">
      <w:pPr>
        <w:spacing w:before="100" w:beforeAutospacing="1" w:after="100" w:afterAutospacing="1" w:line="300" w:lineRule="atLeast"/>
        <w:outlineLvl w:val="1"/>
        <w:rPr>
          <w:rFonts w:ascii="Arial" w:eastAsia="Times New Roman" w:hAnsi="Arial" w:cs="Arial"/>
          <w:b/>
          <w:bCs/>
          <w:kern w:val="0"/>
          <w:sz w:val="20"/>
          <w:szCs w:val="20"/>
          <w:lang w:val="en-US" w:eastAsia="de-DE"/>
          <w14:ligatures w14:val="none"/>
        </w:rPr>
      </w:pPr>
      <w:r w:rsidRPr="00040E23">
        <w:rPr>
          <w:rFonts w:ascii="Arial" w:eastAsia="Times New Roman" w:hAnsi="Arial" w:cs="Arial"/>
          <w:b/>
          <w:bCs/>
          <w:kern w:val="0"/>
          <w:sz w:val="20"/>
          <w:szCs w:val="20"/>
          <w:lang w:val="en-US" w:eastAsia="de-DE"/>
          <w14:ligatures w14:val="none"/>
        </w:rPr>
        <w:t>KH 350</w:t>
      </w:r>
      <w:r>
        <w:rPr>
          <w:rFonts w:ascii="Arial" w:eastAsia="Times New Roman" w:hAnsi="Arial" w:cs="Arial"/>
          <w:b/>
          <w:bCs/>
          <w:kern w:val="0"/>
          <w:sz w:val="20"/>
          <w:szCs w:val="20"/>
          <w:lang w:val="en-US" w:eastAsia="de-DE"/>
          <w14:ligatures w14:val="none"/>
        </w:rPr>
        <w:t xml:space="preserve">: </w:t>
      </w:r>
      <w:r w:rsidRPr="00040E23">
        <w:rPr>
          <w:rFonts w:ascii="Arial" w:eastAsia="Times New Roman" w:hAnsi="Arial" w:cs="Arial"/>
          <w:b/>
          <w:bCs/>
          <w:kern w:val="0"/>
          <w:sz w:val="20"/>
          <w:szCs w:val="20"/>
          <w:lang w:val="en-US" w:eastAsia="de-DE"/>
          <w14:ligatures w14:val="none"/>
        </w:rPr>
        <w:t>Full-Range Authority</w:t>
      </w:r>
    </w:p>
    <w:p w14:paraId="458C1178" w14:textId="41E5DCE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The KH 350 introduces an entirely new monitoring option within the Neumann portfolio.</w:t>
      </w:r>
    </w:p>
    <w:p w14:paraId="298706B5" w14:textId="5AA86D4A"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Designed for both nearfield and midfield applications, the KH 350 combines Neumann's proven midrange and high-frequency platform with a bass-reflex design engineered for deeper low-frequency extension, greater physical impact, and effortless full-range performance.</w:t>
      </w:r>
    </w:p>
    <w:p w14:paraId="3C1906A0" w14:textId="0A75A1A1" w:rsidR="001E4A01" w:rsidRPr="00AA1C2F"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b/>
          <w:bCs/>
          <w:noProof/>
          <w:kern w:val="0"/>
          <w:sz w:val="20"/>
          <w:szCs w:val="20"/>
          <w:lang w:val="en-US" w:eastAsia="de-DE"/>
        </w:rPr>
        <w:lastRenderedPageBreak/>
        <w:drawing>
          <wp:anchor distT="0" distB="0" distL="114300" distR="114300" simplePos="0" relativeHeight="251661312" behindDoc="1" locked="0" layoutInCell="1" allowOverlap="1" wp14:anchorId="475AEB9A" wp14:editId="727CEC1E">
            <wp:simplePos x="0" y="0"/>
            <wp:positionH relativeFrom="column">
              <wp:posOffset>-19050</wp:posOffset>
            </wp:positionH>
            <wp:positionV relativeFrom="paragraph">
              <wp:posOffset>60325</wp:posOffset>
            </wp:positionV>
            <wp:extent cx="2860675" cy="4638675"/>
            <wp:effectExtent l="0" t="0" r="0" b="0"/>
            <wp:wrapTight wrapText="bothSides">
              <wp:wrapPolygon edited="0">
                <wp:start x="0" y="0"/>
                <wp:lineTo x="0" y="21526"/>
                <wp:lineTo x="21480" y="21526"/>
                <wp:lineTo x="21480" y="0"/>
                <wp:lineTo x="0" y="0"/>
              </wp:wrapPolygon>
            </wp:wrapTight>
            <wp:docPr id="155902974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29745" name="Grafik 1559029745"/>
                    <pic:cNvPicPr/>
                  </pic:nvPicPr>
                  <pic:blipFill rotWithShape="1">
                    <a:blip r:embed="rId12" cstate="print">
                      <a:extLst>
                        <a:ext uri="{28A0092B-C50C-407E-A947-70E740481C1C}">
                          <a14:useLocalDpi xmlns:a14="http://schemas.microsoft.com/office/drawing/2010/main" val="0"/>
                        </a:ext>
                      </a:extLst>
                    </a:blip>
                    <a:srcRect l="12330" t="6604" r="47035" b="20646"/>
                    <a:stretch>
                      <a:fillRect/>
                    </a:stretch>
                  </pic:blipFill>
                  <pic:spPr bwMode="auto">
                    <a:xfrm>
                      <a:off x="0" y="0"/>
                      <a:ext cx="2860675" cy="4638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1C2F">
        <w:rPr>
          <w:rFonts w:ascii="Arial" w:eastAsia="Times New Roman" w:hAnsi="Arial" w:cs="Arial"/>
          <w:kern w:val="0"/>
          <w:sz w:val="20"/>
          <w:szCs w:val="20"/>
          <w:lang w:val="en-US" w:eastAsia="de-DE"/>
          <w14:ligatures w14:val="none"/>
        </w:rPr>
        <w:t xml:space="preserve">With a cabinet </w:t>
      </w:r>
      <w:r w:rsidRPr="33746D50">
        <w:rPr>
          <w:rFonts w:ascii="Arial" w:eastAsia="Times New Roman" w:hAnsi="Arial" w:cs="Arial"/>
          <w:sz w:val="20"/>
          <w:szCs w:val="20"/>
          <w:lang w:val="en-US" w:eastAsia="de-DE"/>
        </w:rPr>
        <w:t xml:space="preserve">almost twice the size of the KH 310 II and </w:t>
      </w:r>
      <w:r w:rsidRPr="00AA1C2F">
        <w:rPr>
          <w:rFonts w:ascii="Arial" w:eastAsia="Times New Roman" w:hAnsi="Arial" w:cs="Arial"/>
          <w:kern w:val="0"/>
          <w:sz w:val="20"/>
          <w:szCs w:val="20"/>
          <w:lang w:val="en-US" w:eastAsia="de-DE"/>
          <w14:ligatures w14:val="none"/>
        </w:rPr>
        <w:t xml:space="preserve">a vertical speaker arrangement, the KH 350 is designed for larger listening environments requiring higher SPL capability and immersive mix rooms. Thanks to a large MMD waveguide, the KH 350 offers precise directivity control across its entire frequency range, which is key to stable imaging, reliable </w:t>
      </w:r>
      <w:r w:rsidRPr="33746D50">
        <w:rPr>
          <w:rFonts w:ascii="Arial" w:eastAsia="Times New Roman" w:hAnsi="Arial" w:cs="Arial"/>
          <w:sz w:val="20"/>
          <w:szCs w:val="20"/>
          <w:lang w:val="en-US" w:eastAsia="de-DE"/>
        </w:rPr>
        <w:t xml:space="preserve">translation, and actual in-room performance. This also makes the KH 350 the perfect LCR and surround </w:t>
      </w:r>
      <w:bookmarkStart w:id="3" w:name="_Int_bSIZryuq"/>
      <w:r w:rsidRPr="3ADDEEED">
        <w:rPr>
          <w:rFonts w:ascii="Arial" w:eastAsia="Times New Roman" w:hAnsi="Arial" w:cs="Arial"/>
          <w:sz w:val="20"/>
          <w:szCs w:val="20"/>
          <w:lang w:val="en-US" w:eastAsia="de-DE"/>
        </w:rPr>
        <w:t>loudspeaker</w:t>
      </w:r>
      <w:bookmarkEnd w:id="3"/>
      <w:r w:rsidRPr="3ADDEEED">
        <w:rPr>
          <w:rFonts w:ascii="Arial" w:eastAsia="Times New Roman" w:hAnsi="Arial" w:cs="Arial"/>
          <w:sz w:val="20"/>
          <w:szCs w:val="20"/>
          <w:lang w:val="en-US" w:eastAsia="de-DE"/>
        </w:rPr>
        <w:t xml:space="preserve"> in immersive setups.</w:t>
      </w:r>
    </w:p>
    <w:p w14:paraId="271FFCCC" w14:textId="7777777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With low-frequency extension down to </w:t>
      </w:r>
      <w:r w:rsidRPr="00040E23">
        <w:rPr>
          <w:rFonts w:ascii="Arial" w:eastAsia="Times New Roman" w:hAnsi="Arial" w:cs="Arial"/>
          <w:b/>
          <w:bCs/>
          <w:kern w:val="0"/>
          <w:sz w:val="20"/>
          <w:szCs w:val="20"/>
          <w:lang w:val="en-US" w:eastAsia="de-DE"/>
          <w14:ligatures w14:val="none"/>
        </w:rPr>
        <w:t xml:space="preserve">27 Hz </w:t>
      </w:r>
      <w:r w:rsidRPr="00B962D8">
        <w:rPr>
          <w:rFonts w:ascii="Arial" w:eastAsia="Times New Roman" w:hAnsi="Arial" w:cs="Arial"/>
          <w:kern w:val="0"/>
          <w:sz w:val="20"/>
          <w:szCs w:val="20"/>
          <w:lang w:val="en-US" w:eastAsia="de-DE"/>
          <w14:ligatures w14:val="none"/>
        </w:rPr>
        <w:t>(±6 dB)</w:t>
      </w:r>
      <w:r w:rsidRPr="00040E23">
        <w:rPr>
          <w:rFonts w:ascii="Arial" w:eastAsia="Times New Roman" w:hAnsi="Arial" w:cs="Arial"/>
          <w:kern w:val="0"/>
          <w:sz w:val="20"/>
          <w:szCs w:val="20"/>
          <w:lang w:val="en-US" w:eastAsia="de-DE"/>
          <w14:ligatures w14:val="none"/>
        </w:rPr>
        <w:t>, increased output capability, and greater listening</w:t>
      </w:r>
      <w:r>
        <w:rPr>
          <w:rFonts w:ascii="Arial" w:eastAsia="Times New Roman" w:hAnsi="Arial" w:cs="Arial"/>
          <w:kern w:val="0"/>
          <w:sz w:val="20"/>
          <w:szCs w:val="20"/>
          <w:lang w:val="en-US" w:eastAsia="de-DE"/>
          <w14:ligatures w14:val="none"/>
        </w:rPr>
        <w:t xml:space="preserve"> </w:t>
      </w:r>
      <w:r w:rsidRPr="00040E23">
        <w:rPr>
          <w:rFonts w:ascii="Arial" w:eastAsia="Times New Roman" w:hAnsi="Arial" w:cs="Arial"/>
          <w:kern w:val="0"/>
          <w:sz w:val="20"/>
          <w:szCs w:val="20"/>
          <w:lang w:val="en-US" w:eastAsia="de-DE"/>
          <w14:ligatures w14:val="none"/>
        </w:rPr>
        <w:t>distance flexibility, the KH 350 delivers the scale and confidence required for modern music production, film scoring, post-production, broadcast, and immersive audio workflows.</w:t>
      </w:r>
    </w:p>
    <w:p w14:paraId="1131DB54" w14:textId="77777777" w:rsidR="001E4A01"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Positioned between the KH 310 II and the flagship KH 420, the KH 350 creates a new option for engineers seeking deeper bass performance and a more versatile monitoring solution without compromising accuracy.</w:t>
      </w:r>
    </w:p>
    <w:p w14:paraId="37C8B1F6" w14:textId="77777777" w:rsidR="001E4A01" w:rsidRDefault="001E4A01" w:rsidP="001E4A01">
      <w:pPr>
        <w:spacing w:before="100" w:beforeAutospacing="1" w:after="100" w:afterAutospacing="1" w:line="300" w:lineRule="atLeast"/>
        <w:outlineLvl w:val="1"/>
        <w:rPr>
          <w:rFonts w:ascii="Arial" w:eastAsia="Times New Roman" w:hAnsi="Arial" w:cs="Arial"/>
          <w:b/>
          <w:bCs/>
          <w:kern w:val="0"/>
          <w:sz w:val="20"/>
          <w:szCs w:val="20"/>
          <w:lang w:val="en-US" w:eastAsia="de-DE"/>
          <w14:ligatures w14:val="none"/>
        </w:rPr>
      </w:pPr>
    </w:p>
    <w:p w14:paraId="40B7E85A" w14:textId="3D7B21B3" w:rsidR="001E4A01" w:rsidRPr="00040E23" w:rsidRDefault="001E4A01" w:rsidP="001E4A01">
      <w:pPr>
        <w:spacing w:before="100" w:beforeAutospacing="1" w:after="100" w:afterAutospacing="1" w:line="300" w:lineRule="atLeast"/>
        <w:outlineLvl w:val="1"/>
        <w:rPr>
          <w:rFonts w:ascii="Arial" w:eastAsia="Times New Roman" w:hAnsi="Arial" w:cs="Arial"/>
          <w:b/>
          <w:bCs/>
          <w:kern w:val="0"/>
          <w:sz w:val="20"/>
          <w:szCs w:val="20"/>
          <w:lang w:val="en-US" w:eastAsia="de-DE"/>
          <w14:ligatures w14:val="none"/>
        </w:rPr>
      </w:pPr>
      <w:r>
        <w:rPr>
          <w:rFonts w:ascii="Arial" w:eastAsia="Times New Roman" w:hAnsi="Arial" w:cs="Arial"/>
          <w:b/>
          <w:bCs/>
          <w:kern w:val="0"/>
          <w:sz w:val="20"/>
          <w:szCs w:val="20"/>
          <w:lang w:val="en-US" w:eastAsia="de-DE"/>
          <w14:ligatures w14:val="none"/>
        </w:rPr>
        <w:t>Next Generation 3-Way Monitoring</w:t>
      </w:r>
    </w:p>
    <w:p w14:paraId="6A599F6E" w14:textId="77777777" w:rsidR="001E4A01"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The introduction of the KH 310 II and KH 350 marks the </w:t>
      </w:r>
      <w:r>
        <w:rPr>
          <w:rFonts w:ascii="Arial" w:eastAsia="Times New Roman" w:hAnsi="Arial" w:cs="Arial"/>
          <w:kern w:val="0"/>
          <w:sz w:val="20"/>
          <w:szCs w:val="20"/>
          <w:lang w:val="en-US" w:eastAsia="de-DE"/>
          <w14:ligatures w14:val="none"/>
        </w:rPr>
        <w:t>latest step in the evolution of Neumann’s monitoring portfolio. All Neumann KH speakers follow the same design philosophy: highest linearity, lowest distortion, and perfect adaptability to the acoustic environment. This means</w:t>
      </w:r>
      <w:r w:rsidRPr="33746D50">
        <w:rPr>
          <w:rFonts w:ascii="Arial" w:eastAsia="Times New Roman" w:hAnsi="Arial" w:cs="Arial"/>
          <w:sz w:val="20"/>
          <w:szCs w:val="20"/>
          <w:lang w:val="en-US" w:eastAsia="de-DE"/>
        </w:rPr>
        <w:t xml:space="preserve"> that all KH line speakers may be combined in surround and immersive setups.</w:t>
      </w:r>
    </w:p>
    <w:p w14:paraId="0B463DE5" w14:textId="77777777" w:rsidR="001E4A01" w:rsidRPr="00040E23" w:rsidRDefault="001E4A01" w:rsidP="001E4A01">
      <w:p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AE299E">
        <w:rPr>
          <w:rFonts w:ascii="Arial" w:eastAsia="Times New Roman" w:hAnsi="Arial" w:cs="Arial"/>
          <w:kern w:val="0"/>
          <w:sz w:val="20"/>
          <w:szCs w:val="20"/>
          <w:lang w:val="en-US" w:eastAsia="de-DE"/>
          <w14:ligatures w14:val="none"/>
        </w:rPr>
        <w:t xml:space="preserve">Neumann’s KH series continues the legacy of the German loudspeaker pioneer Klein + Hummel, </w:t>
      </w:r>
      <w:r w:rsidRPr="00ED4292">
        <w:rPr>
          <w:rFonts w:ascii="Arial" w:eastAsia="Times New Roman" w:hAnsi="Arial" w:cs="Arial"/>
          <w:kern w:val="0"/>
          <w:sz w:val="20"/>
          <w:szCs w:val="20"/>
          <w:lang w:val="en-US" w:eastAsia="de-DE"/>
          <w14:ligatures w14:val="none"/>
        </w:rPr>
        <w:t>whose monitoring solutions became a reference for broadcasters and recording studios across Europe</w:t>
      </w:r>
      <w:r>
        <w:rPr>
          <w:rFonts w:ascii="Arial" w:eastAsia="Times New Roman" w:hAnsi="Arial" w:cs="Arial"/>
          <w:kern w:val="0"/>
          <w:sz w:val="20"/>
          <w:szCs w:val="20"/>
          <w:lang w:val="en-US" w:eastAsia="de-DE"/>
          <w14:ligatures w14:val="none"/>
        </w:rPr>
        <w:t xml:space="preserve">. </w:t>
      </w:r>
      <w:r w:rsidRPr="33746D50">
        <w:rPr>
          <w:rFonts w:ascii="Arial" w:eastAsia="Times New Roman" w:hAnsi="Arial" w:cs="Arial"/>
          <w:sz w:val="20"/>
          <w:szCs w:val="20"/>
          <w:lang w:val="en-US" w:eastAsia="de-DE"/>
        </w:rPr>
        <w:t>It was Klein + Hummel who invented the modern concept of powered studio monitor</w:t>
      </w:r>
      <w:r>
        <w:rPr>
          <w:rFonts w:ascii="Arial" w:eastAsia="Times New Roman" w:hAnsi="Arial" w:cs="Arial"/>
          <w:kern w:val="0"/>
          <w:sz w:val="20"/>
          <w:szCs w:val="20"/>
          <w:lang w:val="en-US" w:eastAsia="de-DE"/>
          <w14:ligatures w14:val="none"/>
        </w:rPr>
        <w:t>s</w:t>
      </w:r>
      <w:r w:rsidRPr="00AE299E">
        <w:rPr>
          <w:rFonts w:ascii="Arial" w:eastAsia="Times New Roman" w:hAnsi="Arial" w:cs="Arial"/>
          <w:kern w:val="0"/>
          <w:sz w:val="20"/>
          <w:szCs w:val="20"/>
          <w:lang w:val="en-US" w:eastAsia="de-DE"/>
          <w14:ligatures w14:val="none"/>
        </w:rPr>
        <w:t xml:space="preserve"> with active crossover</w:t>
      </w:r>
      <w:r>
        <w:rPr>
          <w:rFonts w:ascii="Arial" w:eastAsia="Times New Roman" w:hAnsi="Arial" w:cs="Arial"/>
          <w:kern w:val="0"/>
          <w:sz w:val="20"/>
          <w:szCs w:val="20"/>
          <w:lang w:val="en-US" w:eastAsia="de-DE"/>
          <w14:ligatures w14:val="none"/>
        </w:rPr>
        <w:t xml:space="preserve">s – </w:t>
      </w:r>
      <w:r w:rsidRPr="00AE299E">
        <w:rPr>
          <w:rFonts w:ascii="Arial" w:eastAsia="Times New Roman" w:hAnsi="Arial" w:cs="Arial"/>
          <w:kern w:val="0"/>
          <w:sz w:val="20"/>
          <w:szCs w:val="20"/>
          <w:lang w:val="en-US" w:eastAsia="de-DE"/>
          <w14:ligatures w14:val="none"/>
        </w:rPr>
        <w:t xml:space="preserve">as early as 1967 with the legendary OY </w:t>
      </w:r>
      <w:r w:rsidRPr="33746D50">
        <w:rPr>
          <w:rFonts w:ascii="Arial" w:eastAsia="Times New Roman" w:hAnsi="Arial" w:cs="Arial"/>
          <w:sz w:val="20"/>
          <w:szCs w:val="20"/>
          <w:lang w:val="en-US" w:eastAsia="de-DE"/>
        </w:rPr>
        <w:t xml:space="preserve">3-way </w:t>
      </w:r>
      <w:r w:rsidRPr="00AE299E">
        <w:rPr>
          <w:rFonts w:ascii="Arial" w:eastAsia="Times New Roman" w:hAnsi="Arial" w:cs="Arial"/>
          <w:kern w:val="0"/>
          <w:sz w:val="20"/>
          <w:szCs w:val="20"/>
          <w:lang w:val="en-US" w:eastAsia="de-DE"/>
          <w14:ligatures w14:val="none"/>
        </w:rPr>
        <w:t xml:space="preserve">monitor, </w:t>
      </w:r>
      <w:r w:rsidRPr="33746D50">
        <w:rPr>
          <w:rFonts w:ascii="Arial" w:eastAsia="Times New Roman" w:hAnsi="Arial" w:cs="Arial"/>
          <w:sz w:val="20"/>
          <w:szCs w:val="20"/>
          <w:lang w:val="en-US" w:eastAsia="de-DE"/>
        </w:rPr>
        <w:t xml:space="preserve">the great-great-great-grandfather of </w:t>
      </w:r>
      <w:r w:rsidRPr="6D62C514">
        <w:rPr>
          <w:rFonts w:ascii="Arial" w:eastAsia="Times New Roman" w:hAnsi="Arial" w:cs="Arial"/>
          <w:sz w:val="20"/>
          <w:szCs w:val="20"/>
          <w:lang w:val="en-US" w:eastAsia="de-DE"/>
        </w:rPr>
        <w:t>today’s KH 310 II.</w:t>
      </w:r>
    </w:p>
    <w:p w14:paraId="20C12221" w14:textId="77777777" w:rsidR="001E4A01" w:rsidRPr="00AB5011" w:rsidRDefault="001E4A01" w:rsidP="001E4A01">
      <w:pPr>
        <w:spacing w:before="100" w:beforeAutospacing="1" w:after="100" w:afterAutospacing="1" w:line="300" w:lineRule="atLeast"/>
        <w:outlineLvl w:val="1"/>
        <w:rPr>
          <w:rFonts w:ascii="Arial" w:eastAsia="Times New Roman" w:hAnsi="Arial" w:cs="Arial"/>
          <w:b/>
          <w:bCs/>
          <w:kern w:val="0"/>
          <w:lang w:val="en-US" w:eastAsia="de-DE"/>
          <w14:ligatures w14:val="none"/>
        </w:rPr>
      </w:pPr>
      <w:r w:rsidRPr="00AB5011">
        <w:rPr>
          <w:rFonts w:ascii="Arial" w:eastAsia="Times New Roman" w:hAnsi="Arial" w:cs="Arial"/>
          <w:b/>
          <w:bCs/>
          <w:kern w:val="0"/>
          <w:lang w:val="en-US" w:eastAsia="de-DE"/>
          <w14:ligatures w14:val="none"/>
        </w:rPr>
        <w:lastRenderedPageBreak/>
        <w:t>Key Features</w:t>
      </w:r>
    </w:p>
    <w:p w14:paraId="2C471EB6" w14:textId="77777777" w:rsidR="001E4A01" w:rsidRPr="00320D15" w:rsidRDefault="001E4A01" w:rsidP="001E4A01">
      <w:pPr>
        <w:spacing w:before="100" w:beforeAutospacing="1" w:after="100" w:afterAutospacing="1" w:line="300" w:lineRule="atLeast"/>
        <w:outlineLvl w:val="2"/>
        <w:rPr>
          <w:rFonts w:ascii="Arial" w:eastAsia="Times New Roman" w:hAnsi="Arial" w:cs="Arial"/>
          <w:b/>
          <w:bCs/>
          <w:kern w:val="0"/>
          <w:sz w:val="20"/>
          <w:szCs w:val="20"/>
          <w:lang w:val="en-US" w:eastAsia="de-DE"/>
          <w14:ligatures w14:val="none"/>
        </w:rPr>
      </w:pPr>
      <w:r w:rsidRPr="00040E23">
        <w:rPr>
          <w:rFonts w:ascii="Arial" w:eastAsia="Times New Roman" w:hAnsi="Arial" w:cs="Arial"/>
          <w:b/>
          <w:bCs/>
          <w:kern w:val="0"/>
          <w:sz w:val="20"/>
          <w:szCs w:val="20"/>
          <w:lang w:val="en-US" w:eastAsia="de-DE"/>
          <w14:ligatures w14:val="none"/>
        </w:rPr>
        <w:t>Shared Features</w:t>
      </w:r>
    </w:p>
    <w:p w14:paraId="3F71F3F9" w14:textId="77777777"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kern w:val="0"/>
          <w:sz w:val="20"/>
          <w:szCs w:val="20"/>
          <w:lang w:val="en-US" w:eastAsia="de-DE"/>
          <w14:ligatures w14:val="none"/>
        </w:rPr>
        <w:t>In-house designed custom drivers</w:t>
      </w:r>
    </w:p>
    <w:p w14:paraId="11A978B8" w14:textId="77777777" w:rsidR="001E4A01" w:rsidRPr="00B60B3C"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kern w:val="0"/>
          <w:sz w:val="20"/>
          <w:szCs w:val="20"/>
          <w:lang w:val="en-US" w:eastAsia="de-DE"/>
          <w14:ligatures w14:val="none"/>
        </w:rPr>
        <w:t>Exceptional midrange resolution thanks to dedicated</w:t>
      </w:r>
      <w:r w:rsidRPr="00040E23">
        <w:rPr>
          <w:rFonts w:ascii="Arial" w:eastAsia="Times New Roman" w:hAnsi="Arial" w:cs="Arial"/>
          <w:kern w:val="0"/>
          <w:sz w:val="20"/>
          <w:szCs w:val="20"/>
          <w:lang w:val="en-US" w:eastAsia="de-DE"/>
          <w14:ligatures w14:val="none"/>
        </w:rPr>
        <w:t xml:space="preserve"> 3" soft-dome </w:t>
      </w:r>
      <w:r w:rsidRPr="00B60B3C">
        <w:rPr>
          <w:rFonts w:ascii="Arial" w:eastAsia="Times New Roman" w:hAnsi="Arial" w:cs="Arial"/>
          <w:kern w:val="0"/>
          <w:sz w:val="20"/>
          <w:szCs w:val="20"/>
          <w:lang w:val="en-US" w:eastAsia="de-DE"/>
          <w14:ligatures w14:val="none"/>
        </w:rPr>
        <w:t>driver</w:t>
      </w:r>
    </w:p>
    <w:p w14:paraId="2D88D57B" w14:textId="77777777"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kern w:val="0"/>
          <w:sz w:val="20"/>
          <w:szCs w:val="20"/>
          <w:lang w:val="en-US" w:eastAsia="de-DE"/>
          <w14:ligatures w14:val="none"/>
        </w:rPr>
        <w:t xml:space="preserve">Advanced precision with </w:t>
      </w:r>
      <w:r w:rsidRPr="00040E23">
        <w:rPr>
          <w:rFonts w:ascii="Arial" w:eastAsia="Times New Roman" w:hAnsi="Arial" w:cs="Arial"/>
          <w:kern w:val="0"/>
          <w:sz w:val="20"/>
          <w:szCs w:val="20"/>
          <w:lang w:val="en-US" w:eastAsia="de-DE"/>
          <w14:ligatures w14:val="none"/>
        </w:rPr>
        <w:t>32-bit DSP processing</w:t>
      </w:r>
    </w:p>
    <w:p w14:paraId="757290B8" w14:textId="77777777"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MA 1 Automatic Monitor Alignment compatibility</w:t>
      </w:r>
    </w:p>
    <w:p w14:paraId="4726D629" w14:textId="77777777"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 xml:space="preserve">Analog and </w:t>
      </w:r>
      <w:r>
        <w:rPr>
          <w:rFonts w:ascii="Arial" w:eastAsia="Times New Roman" w:hAnsi="Arial" w:cs="Arial"/>
          <w:kern w:val="0"/>
          <w:sz w:val="20"/>
          <w:szCs w:val="20"/>
          <w:lang w:val="en-US" w:eastAsia="de-DE"/>
          <w14:ligatures w14:val="none"/>
        </w:rPr>
        <w:t>AES3 coaxial (</w:t>
      </w:r>
      <w:r w:rsidRPr="00040E23">
        <w:rPr>
          <w:rFonts w:ascii="Arial" w:eastAsia="Times New Roman" w:hAnsi="Arial" w:cs="Arial"/>
          <w:kern w:val="0"/>
          <w:sz w:val="20"/>
          <w:szCs w:val="20"/>
          <w:lang w:val="en-US" w:eastAsia="de-DE"/>
          <w14:ligatures w14:val="none"/>
        </w:rPr>
        <w:t>AES3id</w:t>
      </w:r>
      <w:r>
        <w:rPr>
          <w:rFonts w:ascii="Arial" w:eastAsia="Times New Roman" w:hAnsi="Arial" w:cs="Arial"/>
          <w:kern w:val="0"/>
          <w:sz w:val="20"/>
          <w:szCs w:val="20"/>
          <w:lang w:val="en-US" w:eastAsia="de-DE"/>
          <w14:ligatures w14:val="none"/>
        </w:rPr>
        <w:t>)</w:t>
      </w:r>
      <w:r w:rsidRPr="00040E23">
        <w:rPr>
          <w:rFonts w:ascii="Arial" w:eastAsia="Times New Roman" w:hAnsi="Arial" w:cs="Arial"/>
          <w:kern w:val="0"/>
          <w:sz w:val="20"/>
          <w:szCs w:val="20"/>
          <w:lang w:val="en-US" w:eastAsia="de-DE"/>
          <w14:ligatures w14:val="none"/>
        </w:rPr>
        <w:t xml:space="preserve"> digital connectivity</w:t>
      </w:r>
    </w:p>
    <w:p w14:paraId="37F2AB5A" w14:textId="77777777"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Pr>
          <w:rFonts w:ascii="Arial" w:eastAsia="Times New Roman" w:hAnsi="Arial" w:cs="Arial"/>
          <w:kern w:val="0"/>
          <w:sz w:val="20"/>
          <w:szCs w:val="20"/>
          <w:lang w:val="en-US" w:eastAsia="de-DE"/>
          <w14:ligatures w14:val="none"/>
        </w:rPr>
        <w:t>585 W</w:t>
      </w:r>
      <w:r w:rsidRPr="00040E23">
        <w:rPr>
          <w:rFonts w:ascii="Arial" w:eastAsia="Times New Roman" w:hAnsi="Arial" w:cs="Arial"/>
          <w:kern w:val="0"/>
          <w:sz w:val="20"/>
          <w:szCs w:val="20"/>
          <w:lang w:val="en-US" w:eastAsia="de-DE"/>
          <w14:ligatures w14:val="none"/>
        </w:rPr>
        <w:t xml:space="preserve"> amplifier power </w:t>
      </w:r>
      <w:r>
        <w:rPr>
          <w:rFonts w:ascii="Arial" w:eastAsia="Times New Roman" w:hAnsi="Arial" w:cs="Arial"/>
          <w:kern w:val="0"/>
          <w:sz w:val="20"/>
          <w:szCs w:val="20"/>
          <w:lang w:val="en-US" w:eastAsia="de-DE"/>
          <w14:ligatures w14:val="none"/>
        </w:rPr>
        <w:t>with</w:t>
      </w:r>
      <w:r w:rsidRPr="00040E23">
        <w:rPr>
          <w:rFonts w:ascii="Arial" w:eastAsia="Times New Roman" w:hAnsi="Arial" w:cs="Arial"/>
          <w:kern w:val="0"/>
          <w:sz w:val="20"/>
          <w:szCs w:val="20"/>
          <w:lang w:val="en-US" w:eastAsia="de-DE"/>
          <w14:ligatures w14:val="none"/>
        </w:rPr>
        <w:t xml:space="preserve"> </w:t>
      </w:r>
      <w:r>
        <w:rPr>
          <w:rFonts w:ascii="Arial" w:eastAsia="Times New Roman" w:hAnsi="Arial" w:cs="Arial"/>
          <w:kern w:val="0"/>
          <w:sz w:val="20"/>
          <w:szCs w:val="20"/>
          <w:lang w:val="en-US" w:eastAsia="de-DE"/>
          <w14:ligatures w14:val="none"/>
        </w:rPr>
        <w:t>high energy</w:t>
      </w:r>
      <w:r w:rsidRPr="00040E23">
        <w:rPr>
          <w:rFonts w:ascii="Arial" w:eastAsia="Times New Roman" w:hAnsi="Arial" w:cs="Arial"/>
          <w:kern w:val="0"/>
          <w:sz w:val="20"/>
          <w:szCs w:val="20"/>
          <w:lang w:val="en-US" w:eastAsia="de-DE"/>
          <w14:ligatures w14:val="none"/>
        </w:rPr>
        <w:t xml:space="preserve"> efficiency</w:t>
      </w:r>
    </w:p>
    <w:p w14:paraId="73A467F8" w14:textId="77777777"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Consistent voicing across stereo, surround, and immersive setups</w:t>
      </w:r>
    </w:p>
    <w:p w14:paraId="053591DA" w14:textId="2369F838" w:rsidR="001E4A01" w:rsidRPr="00040E23" w:rsidRDefault="001E4A01" w:rsidP="001E4A01">
      <w:pPr>
        <w:numPr>
          <w:ilvl w:val="0"/>
          <w:numId w:val="6"/>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Exceptional unit-to-unit consistency for precise imaging and multichannel installations</w:t>
      </w:r>
    </w:p>
    <w:p w14:paraId="73291C4D" w14:textId="703D605A" w:rsidR="001E4A01" w:rsidRPr="00040E23" w:rsidRDefault="001E4A01" w:rsidP="001E4A01">
      <w:pPr>
        <w:spacing w:before="100" w:beforeAutospacing="1" w:after="100" w:afterAutospacing="1" w:line="300" w:lineRule="atLeast"/>
        <w:outlineLvl w:val="2"/>
        <w:rPr>
          <w:rFonts w:ascii="Arial" w:eastAsia="Times New Roman" w:hAnsi="Arial" w:cs="Arial"/>
          <w:b/>
          <w:bCs/>
          <w:kern w:val="0"/>
          <w:sz w:val="20"/>
          <w:szCs w:val="20"/>
          <w:lang w:val="en-US" w:eastAsia="de-DE"/>
          <w14:ligatures w14:val="none"/>
        </w:rPr>
      </w:pPr>
      <w:r w:rsidRPr="00040E23">
        <w:rPr>
          <w:rFonts w:ascii="Arial" w:eastAsia="Times New Roman" w:hAnsi="Arial" w:cs="Arial"/>
          <w:b/>
          <w:bCs/>
          <w:kern w:val="0"/>
          <w:sz w:val="20"/>
          <w:szCs w:val="20"/>
          <w:lang w:val="en-US" w:eastAsia="de-DE"/>
          <w14:ligatures w14:val="none"/>
        </w:rPr>
        <w:t>KH 310 II</w:t>
      </w:r>
    </w:p>
    <w:p w14:paraId="0B2FBA73" w14:textId="2E4D754B" w:rsidR="001E4A01" w:rsidRPr="00040E23" w:rsidRDefault="001E4A01" w:rsidP="001E4A01">
      <w:pPr>
        <w:numPr>
          <w:ilvl w:val="0"/>
          <w:numId w:val="7"/>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Sealed-cabinet design for exceptional transient accuracy and low group delay</w:t>
      </w:r>
    </w:p>
    <w:p w14:paraId="411086A6" w14:textId="234EA71A" w:rsidR="001E4A01" w:rsidRPr="00040E23" w:rsidRDefault="001E4A01" w:rsidP="001E4A01">
      <w:pPr>
        <w:numPr>
          <w:ilvl w:val="0"/>
          <w:numId w:val="7"/>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Optimized for critical nearfield monitoring</w:t>
      </w:r>
    </w:p>
    <w:p w14:paraId="320A62FA" w14:textId="37FFD8B6" w:rsidR="001E4A01" w:rsidRPr="00040E23" w:rsidRDefault="001E4A01" w:rsidP="001E4A01">
      <w:pPr>
        <w:numPr>
          <w:ilvl w:val="0"/>
          <w:numId w:val="7"/>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Lower distortion and improved linearity</w:t>
      </w:r>
    </w:p>
    <w:p w14:paraId="5383CE09" w14:textId="4F9FE888" w:rsidR="001E4A01" w:rsidRPr="00040E23" w:rsidRDefault="001E4A01" w:rsidP="001E4A01">
      <w:pPr>
        <w:numPr>
          <w:ilvl w:val="0"/>
          <w:numId w:val="7"/>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3ADDEEED">
        <w:rPr>
          <w:rFonts w:ascii="Arial" w:eastAsia="Times New Roman" w:hAnsi="Arial" w:cs="Arial"/>
          <w:sz w:val="20"/>
          <w:szCs w:val="20"/>
          <w:lang w:val="en-US" w:eastAsia="de-DE"/>
        </w:rPr>
        <w:t>5 dB higher SPL than KH 310 A</w:t>
      </w:r>
    </w:p>
    <w:p w14:paraId="02841879" w14:textId="64E9298E" w:rsidR="001E4A01" w:rsidRPr="00040E23" w:rsidRDefault="001E4A01" w:rsidP="001E4A01">
      <w:pPr>
        <w:numPr>
          <w:ilvl w:val="0"/>
          <w:numId w:val="7"/>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Identical cabinet dimensions for straightforward retrofit</w:t>
      </w:r>
    </w:p>
    <w:p w14:paraId="20AB8E56" w14:textId="0C86886A" w:rsidR="001E4A01" w:rsidRPr="00040E23" w:rsidRDefault="001E4A01" w:rsidP="001E4A01">
      <w:pPr>
        <w:spacing w:before="100" w:beforeAutospacing="1" w:after="100" w:afterAutospacing="1" w:line="300" w:lineRule="atLeast"/>
        <w:outlineLvl w:val="2"/>
        <w:rPr>
          <w:rFonts w:ascii="Arial" w:eastAsia="Times New Roman" w:hAnsi="Arial" w:cs="Arial"/>
          <w:b/>
          <w:bCs/>
          <w:kern w:val="0"/>
          <w:sz w:val="20"/>
          <w:szCs w:val="20"/>
          <w:lang w:val="en-US" w:eastAsia="de-DE"/>
          <w14:ligatures w14:val="none"/>
        </w:rPr>
      </w:pPr>
      <w:r w:rsidRPr="00040E23">
        <w:rPr>
          <w:rFonts w:ascii="Arial" w:eastAsia="Times New Roman" w:hAnsi="Arial" w:cs="Arial"/>
          <w:b/>
          <w:bCs/>
          <w:kern w:val="0"/>
          <w:sz w:val="20"/>
          <w:szCs w:val="20"/>
          <w:lang w:val="en-US" w:eastAsia="de-DE"/>
          <w14:ligatures w14:val="none"/>
        </w:rPr>
        <w:t>KH 350</w:t>
      </w:r>
    </w:p>
    <w:p w14:paraId="70802B72" w14:textId="5403C19F" w:rsidR="001E4A01" w:rsidRPr="00040E23" w:rsidRDefault="001E4A01" w:rsidP="001E4A01">
      <w:pPr>
        <w:numPr>
          <w:ilvl w:val="0"/>
          <w:numId w:val="8"/>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New bass-reflex design with extended low-frequency response</w:t>
      </w:r>
    </w:p>
    <w:p w14:paraId="000F99B9" w14:textId="3524E77D" w:rsidR="001E4A01" w:rsidRPr="00040E23" w:rsidRDefault="001E4A01" w:rsidP="001E4A01">
      <w:pPr>
        <w:numPr>
          <w:ilvl w:val="0"/>
          <w:numId w:val="8"/>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Nearfield and midfield monitoring capability</w:t>
      </w:r>
    </w:p>
    <w:p w14:paraId="7188F17F" w14:textId="3FFA9C9E" w:rsidR="001E4A01" w:rsidRPr="00040E23" w:rsidRDefault="001E4A01" w:rsidP="001E4A01">
      <w:pPr>
        <w:numPr>
          <w:ilvl w:val="0"/>
          <w:numId w:val="8"/>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Large MMD waveguide for</w:t>
      </w:r>
      <w:r>
        <w:rPr>
          <w:rFonts w:ascii="Arial" w:eastAsia="Times New Roman" w:hAnsi="Arial" w:cs="Arial"/>
          <w:kern w:val="0"/>
          <w:sz w:val="20"/>
          <w:szCs w:val="20"/>
          <w:lang w:val="en-US" w:eastAsia="de-DE"/>
          <w14:ligatures w14:val="none"/>
        </w:rPr>
        <w:t xml:space="preserve"> precisely</w:t>
      </w:r>
      <w:r w:rsidRPr="00040E23">
        <w:rPr>
          <w:rFonts w:ascii="Arial" w:eastAsia="Times New Roman" w:hAnsi="Arial" w:cs="Arial"/>
          <w:kern w:val="0"/>
          <w:sz w:val="20"/>
          <w:szCs w:val="20"/>
          <w:lang w:val="en-US" w:eastAsia="de-DE"/>
          <w14:ligatures w14:val="none"/>
        </w:rPr>
        <w:t xml:space="preserve"> controlled directivity</w:t>
      </w:r>
    </w:p>
    <w:p w14:paraId="2DA5842F" w14:textId="7D443979" w:rsidR="001E4A01" w:rsidRPr="00040E23" w:rsidRDefault="001E4A01" w:rsidP="001E4A01">
      <w:pPr>
        <w:numPr>
          <w:ilvl w:val="0"/>
          <w:numId w:val="8"/>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Enhanced low-frequency authority and full-range performance</w:t>
      </w:r>
    </w:p>
    <w:p w14:paraId="41CCC788" w14:textId="79A208B8" w:rsidR="001E4A01" w:rsidRPr="00DA1D39" w:rsidRDefault="001E4A01" w:rsidP="001E4A01">
      <w:pPr>
        <w:numPr>
          <w:ilvl w:val="0"/>
          <w:numId w:val="8"/>
        </w:numPr>
        <w:spacing w:before="100" w:beforeAutospacing="1" w:after="100" w:afterAutospacing="1" w:line="300" w:lineRule="atLeast"/>
        <w:rPr>
          <w:rFonts w:ascii="Arial" w:eastAsia="Times New Roman" w:hAnsi="Arial" w:cs="Arial"/>
          <w:kern w:val="0"/>
          <w:sz w:val="20"/>
          <w:szCs w:val="20"/>
          <w:lang w:val="en-US" w:eastAsia="de-DE"/>
          <w14:ligatures w14:val="none"/>
        </w:rPr>
      </w:pPr>
      <w:r w:rsidRPr="00040E23">
        <w:rPr>
          <w:rFonts w:ascii="Arial" w:eastAsia="Times New Roman" w:hAnsi="Arial" w:cs="Arial"/>
          <w:kern w:val="0"/>
          <w:sz w:val="20"/>
          <w:szCs w:val="20"/>
          <w:lang w:val="en-US" w:eastAsia="de-DE"/>
          <w14:ligatures w14:val="none"/>
        </w:rPr>
        <w:t>Ideal for larger control rooms and immersive audio applications</w:t>
      </w:r>
    </w:p>
    <w:p w14:paraId="2E1A2ACB" w14:textId="767AFF1B" w:rsidR="001E4A01" w:rsidRDefault="001E4A01" w:rsidP="001E4A01">
      <w:pPr>
        <w:spacing w:before="100" w:beforeAutospacing="1" w:after="100" w:afterAutospacing="1" w:line="300" w:lineRule="atLeast"/>
        <w:outlineLvl w:val="1"/>
        <w:rPr>
          <w:rFonts w:ascii="Arial" w:eastAsia="Times New Roman" w:hAnsi="Arial" w:cs="Arial"/>
          <w:b/>
          <w:bCs/>
          <w:kern w:val="0"/>
          <w:sz w:val="18"/>
          <w:szCs w:val="18"/>
          <w:lang w:val="en-US" w:eastAsia="de-DE"/>
          <w14:ligatures w14:val="none"/>
        </w:rPr>
      </w:pPr>
      <w:r>
        <w:rPr>
          <w:rFonts w:ascii="Arial" w:eastAsia="Times New Roman" w:hAnsi="Arial" w:cs="Arial"/>
          <w:b/>
          <w:bCs/>
          <w:kern w:val="0"/>
          <w:sz w:val="20"/>
          <w:szCs w:val="20"/>
          <w:lang w:val="en-US" w:eastAsia="de-DE"/>
          <w14:ligatures w14:val="none"/>
        </w:rPr>
        <w:br/>
      </w:r>
    </w:p>
    <w:p w14:paraId="3D89EF7A" w14:textId="5CA8F39D" w:rsidR="001E4A01" w:rsidRDefault="001E4A01">
      <w:pPr>
        <w:spacing w:after="0" w:line="240" w:lineRule="auto"/>
        <w:rPr>
          <w:rFonts w:ascii="Arial" w:eastAsia="Times New Roman" w:hAnsi="Arial" w:cs="Arial"/>
          <w:b/>
          <w:bCs/>
          <w:kern w:val="0"/>
          <w:sz w:val="18"/>
          <w:szCs w:val="18"/>
          <w:lang w:val="en-US" w:eastAsia="de-DE"/>
          <w14:ligatures w14:val="none"/>
        </w:rPr>
      </w:pPr>
      <w:r>
        <w:rPr>
          <w:rFonts w:ascii="Arial" w:eastAsia="Times New Roman" w:hAnsi="Arial" w:cs="Arial"/>
          <w:b/>
          <w:bCs/>
          <w:kern w:val="0"/>
          <w:sz w:val="18"/>
          <w:szCs w:val="18"/>
          <w:lang w:val="en-US" w:eastAsia="de-DE"/>
          <w14:ligatures w14:val="none"/>
        </w:rPr>
        <w:br w:type="page"/>
      </w:r>
    </w:p>
    <w:p w14:paraId="680F78AE" w14:textId="3CE87980" w:rsidR="001E4A01" w:rsidRPr="0033267D" w:rsidRDefault="001E4A01" w:rsidP="001E4A01">
      <w:pPr>
        <w:spacing w:before="100" w:beforeAutospacing="1" w:after="100" w:afterAutospacing="1" w:line="300" w:lineRule="atLeast"/>
        <w:outlineLvl w:val="1"/>
        <w:rPr>
          <w:rFonts w:ascii="Arial" w:eastAsia="Times New Roman" w:hAnsi="Arial" w:cs="Arial"/>
          <w:b/>
          <w:bCs/>
          <w:kern w:val="0"/>
          <w:sz w:val="18"/>
          <w:szCs w:val="18"/>
          <w:lang w:val="en-US" w:eastAsia="de-DE"/>
          <w14:ligatures w14:val="none"/>
        </w:rPr>
      </w:pPr>
      <w:r w:rsidRPr="0033267D">
        <w:rPr>
          <w:rFonts w:ascii="Arial" w:eastAsia="Times New Roman" w:hAnsi="Arial" w:cs="Arial"/>
          <w:b/>
          <w:bCs/>
          <w:kern w:val="0"/>
          <w:sz w:val="18"/>
          <w:szCs w:val="18"/>
          <w:lang w:val="en-US" w:eastAsia="de-DE"/>
          <w14:ligatures w14:val="none"/>
        </w:rPr>
        <w:lastRenderedPageBreak/>
        <w:t>About Neumann</w:t>
      </w:r>
    </w:p>
    <w:p w14:paraId="3495A7F8" w14:textId="77777777" w:rsidR="001E4A01" w:rsidRPr="0033267D" w:rsidRDefault="001E4A01" w:rsidP="001E4A01">
      <w:pPr>
        <w:spacing w:before="100" w:beforeAutospacing="1" w:after="100" w:afterAutospacing="1" w:line="300" w:lineRule="atLeast"/>
        <w:rPr>
          <w:rFonts w:ascii="Arial" w:eastAsia="Times New Roman" w:hAnsi="Arial" w:cs="Arial"/>
          <w:kern w:val="0"/>
          <w:sz w:val="18"/>
          <w:szCs w:val="18"/>
          <w:lang w:val="en-US" w:eastAsia="de-DE"/>
          <w14:ligatures w14:val="none"/>
        </w:rPr>
      </w:pPr>
      <w:r w:rsidRPr="0033267D">
        <w:rPr>
          <w:rFonts w:ascii="Arial" w:eastAsia="Times New Roman" w:hAnsi="Arial" w:cs="Arial"/>
          <w:kern w:val="0"/>
          <w:sz w:val="18"/>
          <w:szCs w:val="18"/>
          <w:lang w:val="en-US" w:eastAsia="de-DE"/>
          <w14:ligatures w14:val="none"/>
        </w:rPr>
        <w:t>Founded in 1928, Neumann is a global leader in professional audio technology and has been setting the benchmark for reference-quality sound for nearly a century. Renowned for iconic products such as the legendary U 47, M 49, U 67 and U 87 microphones, Neumann combines decades of innovation with German engineering excellence, earning the trust of recording studios, broadcasters, and creators worldwide.</w:t>
      </w:r>
      <w:r>
        <w:rPr>
          <w:rFonts w:ascii="Arial" w:eastAsia="Times New Roman" w:hAnsi="Arial" w:cs="Arial"/>
          <w:kern w:val="0"/>
          <w:sz w:val="18"/>
          <w:szCs w:val="18"/>
          <w:lang w:val="en-US" w:eastAsia="de-DE"/>
          <w14:ligatures w14:val="none"/>
        </w:rPr>
        <w:t xml:space="preserve"> </w:t>
      </w:r>
      <w:r w:rsidRPr="0033267D">
        <w:rPr>
          <w:rFonts w:ascii="Arial" w:eastAsia="Times New Roman" w:hAnsi="Arial" w:cs="Arial"/>
          <w:kern w:val="0"/>
          <w:sz w:val="18"/>
          <w:szCs w:val="18"/>
          <w:lang w:val="en-US" w:eastAsia="de-DE"/>
          <w14:ligatures w14:val="none"/>
        </w:rPr>
        <w:t>Since 1991, Neumann has been part of the Sennheiser Group. Over the years, the company has expanded its portfolio through the addition of Klein + Hummel's renowned studio monitor expertise and the integration of Merging Technologies into Neumann most recently. Today, Neumann offers a complete ecosystem of industry-leading audio solutions spanning microphones, audio interfaces, headphones, studio monitors, immersive audio technologies, and digital audio solutions, covering the entire signal chain from sound capture to reproduction. www.neumann.com</w:t>
      </w:r>
    </w:p>
    <w:p w14:paraId="6C599920" w14:textId="77777777" w:rsidR="001E4A01" w:rsidRDefault="001E4A01" w:rsidP="001E4A01">
      <w:pPr>
        <w:rPr>
          <w:rFonts w:ascii="Arial" w:hAnsi="Arial" w:cs="Arial"/>
          <w:b/>
          <w:bCs/>
          <w:sz w:val="18"/>
          <w:szCs w:val="18"/>
          <w:lang w:val="en-US"/>
        </w:rPr>
      </w:pPr>
    </w:p>
    <w:p w14:paraId="79245DE4" w14:textId="77777777" w:rsidR="002470D9" w:rsidRPr="002470D9" w:rsidRDefault="002470D9" w:rsidP="002470D9">
      <w:pPr>
        <w:rPr>
          <w:rFonts w:ascii="Arial" w:hAnsi="Arial" w:cs="Arial"/>
          <w:b/>
          <w:bCs/>
          <w:sz w:val="18"/>
          <w:szCs w:val="18"/>
          <w:lang w:val="en-US"/>
        </w:rPr>
      </w:pPr>
      <w:r w:rsidRPr="002470D9">
        <w:rPr>
          <w:rFonts w:ascii="Arial" w:hAnsi="Arial" w:cs="Arial"/>
          <w:b/>
          <w:bCs/>
          <w:sz w:val="18"/>
          <w:szCs w:val="18"/>
          <w:lang w:val="en-US"/>
        </w:rPr>
        <w:t>Press Contact: </w:t>
      </w:r>
    </w:p>
    <w:p w14:paraId="0332EF17" w14:textId="77777777" w:rsidR="002470D9" w:rsidRPr="002470D9" w:rsidRDefault="002470D9" w:rsidP="002470D9">
      <w:pPr>
        <w:rPr>
          <w:rFonts w:ascii="Arial" w:hAnsi="Arial" w:cs="Arial"/>
          <w:sz w:val="18"/>
          <w:szCs w:val="18"/>
          <w:lang w:val="es-419"/>
        </w:rPr>
      </w:pPr>
      <w:r w:rsidRPr="002470D9">
        <w:rPr>
          <w:rFonts w:ascii="Arial" w:hAnsi="Arial" w:cs="Arial"/>
          <w:sz w:val="18"/>
          <w:szCs w:val="18"/>
          <w:lang w:val="en-US"/>
        </w:rPr>
        <w:t>Burson Finland Oy (previously Hill and Knowlton)</w:t>
      </w:r>
      <w:r w:rsidRPr="002470D9">
        <w:rPr>
          <w:rFonts w:ascii="Arial" w:hAnsi="Arial" w:cs="Arial"/>
          <w:sz w:val="18"/>
          <w:szCs w:val="18"/>
          <w:lang w:val="en-US"/>
        </w:rPr>
        <w:br/>
      </w:r>
      <w:hyperlink r:id="rId13" w:history="1">
        <w:r w:rsidRPr="002470D9">
          <w:rPr>
            <w:rStyle w:val="Hyperlink"/>
            <w:rFonts w:ascii="Arial" w:hAnsi="Arial" w:cs="Arial"/>
            <w:sz w:val="18"/>
            <w:szCs w:val="18"/>
            <w:lang w:val="en-US"/>
          </w:rPr>
          <w:t>sennheiser.finland@hkstrategies.com</w:t>
        </w:r>
      </w:hyperlink>
    </w:p>
    <w:p w14:paraId="73ABFB6A" w14:textId="77777777" w:rsidR="001E4A01" w:rsidRPr="002470D9" w:rsidRDefault="001E4A01" w:rsidP="001E4A01">
      <w:pPr>
        <w:rPr>
          <w:rFonts w:ascii="Arial" w:hAnsi="Arial" w:cs="Arial"/>
          <w:sz w:val="18"/>
          <w:szCs w:val="18"/>
          <w:lang w:val="es-419"/>
        </w:rPr>
      </w:pPr>
    </w:p>
    <w:p w14:paraId="37E775EB" w14:textId="77777777" w:rsidR="00280534" w:rsidRPr="001E4A01" w:rsidRDefault="00280534" w:rsidP="001E4A01"/>
    <w:sectPr w:rsidR="00280534" w:rsidRPr="001E4A01" w:rsidSect="00164671">
      <w:headerReference w:type="default" r:id="rId14"/>
      <w:headerReference w:type="first" r:id="rId15"/>
      <w:pgSz w:w="11906" w:h="16838" w:code="9"/>
      <w:pgMar w:top="2754" w:right="2266" w:bottom="835" w:left="1418" w:header="62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18E3E" w14:textId="77777777" w:rsidR="00474C79" w:rsidRDefault="00474C79" w:rsidP="00CF26E7">
      <w:pPr>
        <w:spacing w:line="240" w:lineRule="auto"/>
      </w:pPr>
      <w:r>
        <w:separator/>
      </w:r>
    </w:p>
  </w:endnote>
  <w:endnote w:type="continuationSeparator" w:id="0">
    <w:p w14:paraId="30497396" w14:textId="77777777" w:rsidR="00474C79" w:rsidRDefault="00474C79" w:rsidP="00CF26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nnheiser Office">
    <w:altName w:val="Calibri"/>
    <w:charset w:val="00"/>
    <w:family w:val="swiss"/>
    <w:pitch w:val="variable"/>
    <w:sig w:usb0="A00000AF" w:usb1="500020D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C118683E-0027-47EC-9395-63DD7D7ADC0B}"/>
  </w:font>
  <w:font w:name="Avenir Next Condensed Regular">
    <w:altName w:val="Calibri"/>
    <w:charset w:val="00"/>
    <w:family w:val="swiss"/>
    <w:pitch w:val="variable"/>
    <w:sig w:usb0="8000002F" w:usb1="5000204A"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embedBold r:id="rId2" w:fontKey="{9461AFAE-2A6A-4B38-874D-26E87E2B2882}"/>
  </w:font>
  <w:font w:name="UnitPro">
    <w:altName w:val="Segoe Script"/>
    <w:panose1 w:val="00000000000000000000"/>
    <w:charset w:val="00"/>
    <w:family w:val="swiss"/>
    <w:notTrueType/>
    <w:pitch w:val="variable"/>
    <w:sig w:usb0="A00002FF" w:usb1="5000207B" w:usb2="00000008"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864D9" w14:textId="77777777" w:rsidR="00474C79" w:rsidRDefault="00474C79" w:rsidP="00CF26E7">
      <w:pPr>
        <w:spacing w:line="240" w:lineRule="auto"/>
      </w:pPr>
      <w:r>
        <w:separator/>
      </w:r>
    </w:p>
  </w:footnote>
  <w:footnote w:type="continuationSeparator" w:id="0">
    <w:p w14:paraId="1DB7668F" w14:textId="77777777" w:rsidR="00474C79" w:rsidRDefault="00474C79" w:rsidP="00CF26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9FBF" w14:textId="77777777" w:rsidR="00CF26E7" w:rsidRPr="00A22F27" w:rsidRDefault="00B61B25" w:rsidP="00CF26E7">
    <w:pPr>
      <w:pStyle w:val="Header"/>
      <w:rPr>
        <w:rFonts w:cstheme="minorHAnsi"/>
      </w:rPr>
    </w:pPr>
    <w:r w:rsidRPr="00A22F27">
      <w:rPr>
        <w:rFonts w:cstheme="minorHAnsi"/>
        <w:caps w:val="0"/>
        <w:noProof/>
        <w:color w:val="414141" w:themeColor="accent2"/>
        <w:lang w:eastAsia="de-DE"/>
      </w:rPr>
      <w:drawing>
        <wp:anchor distT="0" distB="0" distL="114300" distR="114300" simplePos="0" relativeHeight="251661824" behindDoc="0" locked="1" layoutInCell="1" allowOverlap="1" wp14:anchorId="11550E1C" wp14:editId="69635864">
          <wp:simplePos x="0" y="0"/>
          <wp:positionH relativeFrom="page">
            <wp:posOffset>683895</wp:posOffset>
          </wp:positionH>
          <wp:positionV relativeFrom="page">
            <wp:posOffset>396240</wp:posOffset>
          </wp:positionV>
          <wp:extent cx="3153600" cy="694800"/>
          <wp:effectExtent l="0" t="0" r="0" b="0"/>
          <wp:wrapNone/>
          <wp:docPr id="1"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53600" cy="69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6E7" w:rsidRPr="00A22F27">
      <w:rPr>
        <w:rFonts w:cstheme="minorHAnsi"/>
      </w:rPr>
      <w:fldChar w:fldCharType="begin"/>
    </w:r>
    <w:r w:rsidR="00CF26E7" w:rsidRPr="00A22F27">
      <w:rPr>
        <w:rFonts w:cstheme="minorHAnsi"/>
      </w:rPr>
      <w:instrText xml:space="preserve"> PAGE  \* Arabic  \* MERGEFORMAT </w:instrText>
    </w:r>
    <w:r w:rsidR="00CF26E7" w:rsidRPr="00A22F27">
      <w:rPr>
        <w:rFonts w:cstheme="minorHAnsi"/>
      </w:rPr>
      <w:fldChar w:fldCharType="separate"/>
    </w:r>
    <w:r w:rsidR="00E46A04">
      <w:rPr>
        <w:rFonts w:cstheme="minorHAnsi"/>
        <w:noProof/>
      </w:rPr>
      <w:t>2</w:t>
    </w:r>
    <w:r w:rsidR="00CF26E7" w:rsidRPr="00A22F27">
      <w:rPr>
        <w:rFonts w:cstheme="minorHAnsi"/>
      </w:rPr>
      <w:fldChar w:fldCharType="end"/>
    </w:r>
    <w:r w:rsidR="00CF26E7" w:rsidRPr="00A22F27">
      <w:rPr>
        <w:rFonts w:cstheme="minorHAnsi"/>
      </w:rPr>
      <w:t>/</w:t>
    </w:r>
    <w:r w:rsidR="00293F7D" w:rsidRPr="00A22F27">
      <w:rPr>
        <w:rFonts w:cstheme="minorHAnsi"/>
      </w:rPr>
      <w:fldChar w:fldCharType="begin"/>
    </w:r>
    <w:r w:rsidR="00293F7D" w:rsidRPr="00A22F27">
      <w:rPr>
        <w:rFonts w:cstheme="minorHAnsi"/>
      </w:rPr>
      <w:instrText xml:space="preserve"> NUMPAGES  \* Arabic  \* MERGEFORMAT </w:instrText>
    </w:r>
    <w:r w:rsidR="00293F7D" w:rsidRPr="00A22F27">
      <w:rPr>
        <w:rFonts w:cstheme="minorHAnsi"/>
      </w:rPr>
      <w:fldChar w:fldCharType="separate"/>
    </w:r>
    <w:r w:rsidR="00E46A04">
      <w:rPr>
        <w:rFonts w:cstheme="minorHAnsi"/>
        <w:noProof/>
      </w:rPr>
      <w:t>5</w:t>
    </w:r>
    <w:r w:rsidR="00293F7D" w:rsidRPr="00A22F27">
      <w:rPr>
        <w:rFonts w:cstheme="minorHAnsi"/>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4034" w14:textId="77777777" w:rsidR="00CF26E7" w:rsidRPr="00A22F27" w:rsidRDefault="007C00CC" w:rsidP="00CF26E7">
    <w:pPr>
      <w:pStyle w:val="Header"/>
      <w:rPr>
        <w:rFonts w:cstheme="minorHAnsi"/>
        <w:color w:val="414141" w:themeColor="accent2"/>
      </w:rPr>
    </w:pPr>
    <w:r w:rsidRPr="00A22F27">
      <w:rPr>
        <w:rFonts w:cstheme="minorHAnsi"/>
        <w:color w:val="414141" w:themeColor="accent2"/>
        <w:lang w:val="en-US"/>
      </w:rPr>
      <w:t>PRESS</w:t>
    </w:r>
    <w:r w:rsidR="008824FF" w:rsidRPr="00A22F27">
      <w:rPr>
        <w:rFonts w:cstheme="minorHAnsi"/>
        <w:caps w:val="0"/>
        <w:noProof/>
        <w:color w:val="414141" w:themeColor="accent2"/>
        <w:lang w:eastAsia="de-DE"/>
      </w:rPr>
      <w:drawing>
        <wp:anchor distT="0" distB="0" distL="114300" distR="114300" simplePos="0" relativeHeight="251653632" behindDoc="0" locked="1" layoutInCell="1" allowOverlap="1" wp14:anchorId="610C7E28" wp14:editId="1B2A28B6">
          <wp:simplePos x="0" y="0"/>
          <wp:positionH relativeFrom="page">
            <wp:posOffset>683895</wp:posOffset>
          </wp:positionH>
          <wp:positionV relativeFrom="page">
            <wp:posOffset>396240</wp:posOffset>
          </wp:positionV>
          <wp:extent cx="3153600" cy="694800"/>
          <wp:effectExtent l="0" t="0" r="0" b="0"/>
          <wp:wrapNone/>
          <wp:docPr id="2"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53600" cy="69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5B6D">
      <w:rPr>
        <w:rFonts w:cstheme="minorHAnsi"/>
        <w:color w:val="414141" w:themeColor="accent2"/>
      </w:rPr>
      <w:t xml:space="preserve"> </w:t>
    </w:r>
    <w:r w:rsidR="00E75B6D">
      <w:rPr>
        <w:rFonts w:cstheme="minorHAnsi"/>
        <w:color w:val="414141" w:themeColor="accent2"/>
      </w:rPr>
      <w:t>Release</w:t>
    </w:r>
  </w:p>
  <w:p w14:paraId="4F95D13F" w14:textId="77777777" w:rsidR="00CF26E7" w:rsidRPr="000D0839" w:rsidRDefault="00CF26E7" w:rsidP="00CF26E7">
    <w:pPr>
      <w:pStyle w:val="Header"/>
      <w:rPr>
        <w:rFonts w:ascii="UnitPro" w:hAnsi="UnitPro" w:cs="UnitPro"/>
        <w:color w:val="414141" w:themeColor="accent2"/>
      </w:rPr>
    </w:pPr>
    <w:r w:rsidRPr="00A22F27">
      <w:rPr>
        <w:rFonts w:cstheme="minorHAnsi"/>
        <w:color w:val="414141" w:themeColor="accent2"/>
      </w:rPr>
      <w:fldChar w:fldCharType="begin"/>
    </w:r>
    <w:r w:rsidRPr="00A22F27">
      <w:rPr>
        <w:rFonts w:cstheme="minorHAnsi"/>
        <w:color w:val="414141" w:themeColor="accent2"/>
      </w:rPr>
      <w:instrText xml:space="preserve"> PAGE  \* Arabic  \* MERGEFORMAT </w:instrText>
    </w:r>
    <w:r w:rsidRPr="00A22F27">
      <w:rPr>
        <w:rFonts w:cstheme="minorHAnsi"/>
        <w:color w:val="414141" w:themeColor="accent2"/>
      </w:rPr>
      <w:fldChar w:fldCharType="separate"/>
    </w:r>
    <w:r w:rsidR="00E46A04">
      <w:rPr>
        <w:rFonts w:cstheme="minorHAnsi"/>
        <w:noProof/>
        <w:color w:val="414141" w:themeColor="accent2"/>
      </w:rPr>
      <w:t>1</w:t>
    </w:r>
    <w:r w:rsidRPr="00A22F27">
      <w:rPr>
        <w:rFonts w:cstheme="minorHAnsi"/>
        <w:color w:val="414141" w:themeColor="accent2"/>
      </w:rPr>
      <w:fldChar w:fldCharType="end"/>
    </w:r>
    <w:r w:rsidRPr="00A22F27">
      <w:rPr>
        <w:rFonts w:cstheme="minorHAnsi"/>
        <w:color w:val="414141" w:themeColor="accent2"/>
      </w:rPr>
      <w:t>/</w:t>
    </w:r>
    <w:r w:rsidRPr="00A22F27">
      <w:rPr>
        <w:rFonts w:cstheme="minorHAnsi"/>
        <w:color w:val="414141" w:themeColor="accent2"/>
      </w:rPr>
      <w:fldChar w:fldCharType="begin"/>
    </w:r>
    <w:r w:rsidRPr="00A22F27">
      <w:rPr>
        <w:rFonts w:cstheme="minorHAnsi"/>
        <w:color w:val="414141" w:themeColor="accent2"/>
      </w:rPr>
      <w:instrText xml:space="preserve"> NUMPAGES  \* Arabic  \* MERGEFORMAT </w:instrText>
    </w:r>
    <w:r w:rsidRPr="00A22F27">
      <w:rPr>
        <w:rFonts w:cstheme="minorHAnsi"/>
        <w:color w:val="414141" w:themeColor="accent2"/>
      </w:rPr>
      <w:fldChar w:fldCharType="separate"/>
    </w:r>
    <w:r w:rsidR="00E46A04">
      <w:rPr>
        <w:rFonts w:cstheme="minorHAnsi"/>
        <w:noProof/>
        <w:color w:val="414141" w:themeColor="accent2"/>
      </w:rPr>
      <w:t>5</w:t>
    </w:r>
    <w:r w:rsidRPr="00A22F27">
      <w:rPr>
        <w:rFonts w:cstheme="minorHAnsi"/>
        <w:color w:val="414141" w:themeColor="accent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2BC74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B136671"/>
    <w:multiLevelType w:val="hybridMultilevel"/>
    <w:tmpl w:val="9CCE3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E62126"/>
    <w:multiLevelType w:val="multilevel"/>
    <w:tmpl w:val="E096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3371D"/>
    <w:multiLevelType w:val="multilevel"/>
    <w:tmpl w:val="2882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1163F"/>
    <w:multiLevelType w:val="hybridMultilevel"/>
    <w:tmpl w:val="3B6277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2E2769"/>
    <w:multiLevelType w:val="multilevel"/>
    <w:tmpl w:val="5972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1E5BCF"/>
    <w:multiLevelType w:val="hybridMultilevel"/>
    <w:tmpl w:val="E1E46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57358A6"/>
    <w:multiLevelType w:val="multilevel"/>
    <w:tmpl w:val="29F4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593830">
    <w:abstractNumId w:val="0"/>
  </w:num>
  <w:num w:numId="2" w16cid:durableId="477772331">
    <w:abstractNumId w:val="1"/>
  </w:num>
  <w:num w:numId="3" w16cid:durableId="601957067">
    <w:abstractNumId w:val="5"/>
  </w:num>
  <w:num w:numId="4" w16cid:durableId="118038607">
    <w:abstractNumId w:val="2"/>
  </w:num>
  <w:num w:numId="5" w16cid:durableId="1056515693">
    <w:abstractNumId w:val="7"/>
  </w:num>
  <w:num w:numId="6" w16cid:durableId="1055197850">
    <w:abstractNumId w:val="6"/>
  </w:num>
  <w:num w:numId="7" w16cid:durableId="1519812580">
    <w:abstractNumId w:val="8"/>
  </w:num>
  <w:num w:numId="8" w16cid:durableId="970794225">
    <w:abstractNumId w:val="4"/>
  </w:num>
  <w:num w:numId="9" w16cid:durableId="456414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TrueTypeFonts/>
  <w:activeWritingStyle w:appName="MSWord" w:lang="en-US" w:vendorID="64" w:dllVersion="0" w:nlCheck="1" w:checkStyle="0"/>
  <w:activeWritingStyle w:appName="MSWord" w:lang="en-US" w:vendorID="64" w:dllVersion="6" w:nlCheck="1" w:checkStyle="1"/>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01"/>
    <w:rsid w:val="00003FE8"/>
    <w:rsid w:val="00005543"/>
    <w:rsid w:val="0002408C"/>
    <w:rsid w:val="00027F42"/>
    <w:rsid w:val="00044081"/>
    <w:rsid w:val="0004618F"/>
    <w:rsid w:val="000532C7"/>
    <w:rsid w:val="00056A42"/>
    <w:rsid w:val="00062157"/>
    <w:rsid w:val="00066743"/>
    <w:rsid w:val="00073E9C"/>
    <w:rsid w:val="000922DA"/>
    <w:rsid w:val="0009516E"/>
    <w:rsid w:val="000A0D27"/>
    <w:rsid w:val="000A5CAD"/>
    <w:rsid w:val="000A6BD0"/>
    <w:rsid w:val="000C1343"/>
    <w:rsid w:val="000C5D49"/>
    <w:rsid w:val="000D0839"/>
    <w:rsid w:val="000E3661"/>
    <w:rsid w:val="000E6D9B"/>
    <w:rsid w:val="000F78EB"/>
    <w:rsid w:val="000F7E1C"/>
    <w:rsid w:val="001606E4"/>
    <w:rsid w:val="00164671"/>
    <w:rsid w:val="00166E18"/>
    <w:rsid w:val="00174D2F"/>
    <w:rsid w:val="00177C89"/>
    <w:rsid w:val="00190044"/>
    <w:rsid w:val="00196993"/>
    <w:rsid w:val="001A1478"/>
    <w:rsid w:val="001A1AF6"/>
    <w:rsid w:val="001B0C61"/>
    <w:rsid w:val="001C0401"/>
    <w:rsid w:val="001E4A01"/>
    <w:rsid w:val="001E6BD7"/>
    <w:rsid w:val="001F0467"/>
    <w:rsid w:val="001F275C"/>
    <w:rsid w:val="00200078"/>
    <w:rsid w:val="002053BA"/>
    <w:rsid w:val="00210EFD"/>
    <w:rsid w:val="00213C61"/>
    <w:rsid w:val="002354A9"/>
    <w:rsid w:val="002374D9"/>
    <w:rsid w:val="00243C61"/>
    <w:rsid w:val="00245058"/>
    <w:rsid w:val="002470D9"/>
    <w:rsid w:val="002611B4"/>
    <w:rsid w:val="00262CA7"/>
    <w:rsid w:val="00266501"/>
    <w:rsid w:val="00266FEB"/>
    <w:rsid w:val="00270B3D"/>
    <w:rsid w:val="002744A8"/>
    <w:rsid w:val="00280534"/>
    <w:rsid w:val="002919D0"/>
    <w:rsid w:val="002938E4"/>
    <w:rsid w:val="00293F7D"/>
    <w:rsid w:val="002A5353"/>
    <w:rsid w:val="002B0623"/>
    <w:rsid w:val="002C3ECF"/>
    <w:rsid w:val="002C4EEA"/>
    <w:rsid w:val="002C6BE7"/>
    <w:rsid w:val="002D089E"/>
    <w:rsid w:val="002D2D00"/>
    <w:rsid w:val="002E1B40"/>
    <w:rsid w:val="002E1FB4"/>
    <w:rsid w:val="002F2D34"/>
    <w:rsid w:val="002F48BF"/>
    <w:rsid w:val="002F7F4D"/>
    <w:rsid w:val="003044B9"/>
    <w:rsid w:val="0030619E"/>
    <w:rsid w:val="00311D5F"/>
    <w:rsid w:val="00312A53"/>
    <w:rsid w:val="003154D6"/>
    <w:rsid w:val="00315E38"/>
    <w:rsid w:val="0032216D"/>
    <w:rsid w:val="003342A3"/>
    <w:rsid w:val="00334743"/>
    <w:rsid w:val="003349E9"/>
    <w:rsid w:val="00343A56"/>
    <w:rsid w:val="003456D8"/>
    <w:rsid w:val="00350C01"/>
    <w:rsid w:val="00351AEC"/>
    <w:rsid w:val="00357DD7"/>
    <w:rsid w:val="003614FC"/>
    <w:rsid w:val="00362CAF"/>
    <w:rsid w:val="00367B35"/>
    <w:rsid w:val="00375D35"/>
    <w:rsid w:val="00381C20"/>
    <w:rsid w:val="00382963"/>
    <w:rsid w:val="00386DB2"/>
    <w:rsid w:val="00393969"/>
    <w:rsid w:val="00395731"/>
    <w:rsid w:val="00397338"/>
    <w:rsid w:val="003A3466"/>
    <w:rsid w:val="003A7159"/>
    <w:rsid w:val="003A771E"/>
    <w:rsid w:val="003B29AF"/>
    <w:rsid w:val="003B39A1"/>
    <w:rsid w:val="003B480B"/>
    <w:rsid w:val="003C141C"/>
    <w:rsid w:val="003C434D"/>
    <w:rsid w:val="003C7436"/>
    <w:rsid w:val="003D0B73"/>
    <w:rsid w:val="003D792B"/>
    <w:rsid w:val="003F1E33"/>
    <w:rsid w:val="0041111F"/>
    <w:rsid w:val="00431FB0"/>
    <w:rsid w:val="00443762"/>
    <w:rsid w:val="00451C28"/>
    <w:rsid w:val="004620AA"/>
    <w:rsid w:val="00462EDE"/>
    <w:rsid w:val="0046468F"/>
    <w:rsid w:val="004649EB"/>
    <w:rsid w:val="0047074B"/>
    <w:rsid w:val="0047464A"/>
    <w:rsid w:val="0047481B"/>
    <w:rsid w:val="00474C79"/>
    <w:rsid w:val="00483F9B"/>
    <w:rsid w:val="00485E2F"/>
    <w:rsid w:val="004871DE"/>
    <w:rsid w:val="00491BAC"/>
    <w:rsid w:val="00497681"/>
    <w:rsid w:val="004A2524"/>
    <w:rsid w:val="004A3713"/>
    <w:rsid w:val="004A402E"/>
    <w:rsid w:val="004A77C4"/>
    <w:rsid w:val="004B22D2"/>
    <w:rsid w:val="004B6663"/>
    <w:rsid w:val="004C217A"/>
    <w:rsid w:val="004C32C6"/>
    <w:rsid w:val="004E3C5C"/>
    <w:rsid w:val="004E7CB6"/>
    <w:rsid w:val="004F6546"/>
    <w:rsid w:val="00507C89"/>
    <w:rsid w:val="00515D9B"/>
    <w:rsid w:val="00524569"/>
    <w:rsid w:val="005250F0"/>
    <w:rsid w:val="00530E48"/>
    <w:rsid w:val="00532FF8"/>
    <w:rsid w:val="00533A34"/>
    <w:rsid w:val="005456CF"/>
    <w:rsid w:val="00555C0A"/>
    <w:rsid w:val="00557944"/>
    <w:rsid w:val="00566C47"/>
    <w:rsid w:val="00573F90"/>
    <w:rsid w:val="0057445E"/>
    <w:rsid w:val="00577A6D"/>
    <w:rsid w:val="00582A3B"/>
    <w:rsid w:val="00585245"/>
    <w:rsid w:val="005A722A"/>
    <w:rsid w:val="005B0D2E"/>
    <w:rsid w:val="005B4459"/>
    <w:rsid w:val="005C35A8"/>
    <w:rsid w:val="005C53E1"/>
    <w:rsid w:val="005D5856"/>
    <w:rsid w:val="005E04FB"/>
    <w:rsid w:val="005E77A0"/>
    <w:rsid w:val="005F4A55"/>
    <w:rsid w:val="00612F23"/>
    <w:rsid w:val="00613BFA"/>
    <w:rsid w:val="00614597"/>
    <w:rsid w:val="00627C37"/>
    <w:rsid w:val="00633C4E"/>
    <w:rsid w:val="006419E7"/>
    <w:rsid w:val="006428F7"/>
    <w:rsid w:val="006519A9"/>
    <w:rsid w:val="0065217F"/>
    <w:rsid w:val="006603FD"/>
    <w:rsid w:val="006655D2"/>
    <w:rsid w:val="00673436"/>
    <w:rsid w:val="00681BAD"/>
    <w:rsid w:val="00696CA5"/>
    <w:rsid w:val="006A447B"/>
    <w:rsid w:val="006A6042"/>
    <w:rsid w:val="006B3CC4"/>
    <w:rsid w:val="006C1715"/>
    <w:rsid w:val="006D1B21"/>
    <w:rsid w:val="006D45CF"/>
    <w:rsid w:val="006E284E"/>
    <w:rsid w:val="0070279B"/>
    <w:rsid w:val="007069FD"/>
    <w:rsid w:val="007074A3"/>
    <w:rsid w:val="00710E9D"/>
    <w:rsid w:val="00714A7F"/>
    <w:rsid w:val="007259B7"/>
    <w:rsid w:val="00730659"/>
    <w:rsid w:val="007356C0"/>
    <w:rsid w:val="00740E2A"/>
    <w:rsid w:val="00741C3E"/>
    <w:rsid w:val="00743192"/>
    <w:rsid w:val="0075278A"/>
    <w:rsid w:val="00761FAD"/>
    <w:rsid w:val="00782DD5"/>
    <w:rsid w:val="007850BC"/>
    <w:rsid w:val="007904C2"/>
    <w:rsid w:val="00790884"/>
    <w:rsid w:val="007930A8"/>
    <w:rsid w:val="00793461"/>
    <w:rsid w:val="0079791B"/>
    <w:rsid w:val="007A19F1"/>
    <w:rsid w:val="007A6246"/>
    <w:rsid w:val="007B3825"/>
    <w:rsid w:val="007B383C"/>
    <w:rsid w:val="007C00CC"/>
    <w:rsid w:val="007C1FBF"/>
    <w:rsid w:val="007C4CA3"/>
    <w:rsid w:val="007C4CE9"/>
    <w:rsid w:val="007C4EA0"/>
    <w:rsid w:val="007C6E88"/>
    <w:rsid w:val="007D1E06"/>
    <w:rsid w:val="007E012D"/>
    <w:rsid w:val="007F03AE"/>
    <w:rsid w:val="007F362A"/>
    <w:rsid w:val="00800C80"/>
    <w:rsid w:val="00811D3F"/>
    <w:rsid w:val="00825292"/>
    <w:rsid w:val="00833C76"/>
    <w:rsid w:val="00835141"/>
    <w:rsid w:val="0083740F"/>
    <w:rsid w:val="00842AAC"/>
    <w:rsid w:val="00852BC5"/>
    <w:rsid w:val="00855777"/>
    <w:rsid w:val="00862BE8"/>
    <w:rsid w:val="0086488B"/>
    <w:rsid w:val="008666EB"/>
    <w:rsid w:val="00870785"/>
    <w:rsid w:val="00872B58"/>
    <w:rsid w:val="00872BB0"/>
    <w:rsid w:val="008824FF"/>
    <w:rsid w:val="008833CE"/>
    <w:rsid w:val="0088456C"/>
    <w:rsid w:val="00891275"/>
    <w:rsid w:val="00893898"/>
    <w:rsid w:val="008C1C03"/>
    <w:rsid w:val="008C3C29"/>
    <w:rsid w:val="008C55EA"/>
    <w:rsid w:val="008C7F85"/>
    <w:rsid w:val="008D12F5"/>
    <w:rsid w:val="008E0E73"/>
    <w:rsid w:val="008E7194"/>
    <w:rsid w:val="008F131A"/>
    <w:rsid w:val="008F1B03"/>
    <w:rsid w:val="008F67CE"/>
    <w:rsid w:val="009007EE"/>
    <w:rsid w:val="00902035"/>
    <w:rsid w:val="00910242"/>
    <w:rsid w:val="009121D8"/>
    <w:rsid w:val="0091364D"/>
    <w:rsid w:val="00917065"/>
    <w:rsid w:val="0091722D"/>
    <w:rsid w:val="0091796F"/>
    <w:rsid w:val="00927812"/>
    <w:rsid w:val="00933C79"/>
    <w:rsid w:val="00937A2D"/>
    <w:rsid w:val="00945A95"/>
    <w:rsid w:val="00952076"/>
    <w:rsid w:val="00957D7D"/>
    <w:rsid w:val="009633E2"/>
    <w:rsid w:val="009635C9"/>
    <w:rsid w:val="009715DC"/>
    <w:rsid w:val="00980325"/>
    <w:rsid w:val="00980B46"/>
    <w:rsid w:val="00992024"/>
    <w:rsid w:val="0099477D"/>
    <w:rsid w:val="00996809"/>
    <w:rsid w:val="009A3403"/>
    <w:rsid w:val="009A4934"/>
    <w:rsid w:val="009A798D"/>
    <w:rsid w:val="009B03AE"/>
    <w:rsid w:val="009B6181"/>
    <w:rsid w:val="009B7338"/>
    <w:rsid w:val="009C1D53"/>
    <w:rsid w:val="009D44AA"/>
    <w:rsid w:val="009E4634"/>
    <w:rsid w:val="009E71F2"/>
    <w:rsid w:val="009E76DD"/>
    <w:rsid w:val="009F37BB"/>
    <w:rsid w:val="00A02855"/>
    <w:rsid w:val="00A11461"/>
    <w:rsid w:val="00A124A2"/>
    <w:rsid w:val="00A22F27"/>
    <w:rsid w:val="00A23FD8"/>
    <w:rsid w:val="00A24241"/>
    <w:rsid w:val="00A2436D"/>
    <w:rsid w:val="00A36F4A"/>
    <w:rsid w:val="00A42F9D"/>
    <w:rsid w:val="00A45AF0"/>
    <w:rsid w:val="00A479D0"/>
    <w:rsid w:val="00A510C4"/>
    <w:rsid w:val="00A70D7D"/>
    <w:rsid w:val="00A73D62"/>
    <w:rsid w:val="00A801AE"/>
    <w:rsid w:val="00A80CB3"/>
    <w:rsid w:val="00A91C60"/>
    <w:rsid w:val="00A96A6B"/>
    <w:rsid w:val="00AA0134"/>
    <w:rsid w:val="00AB3FD8"/>
    <w:rsid w:val="00AB5ECA"/>
    <w:rsid w:val="00AC40EE"/>
    <w:rsid w:val="00AD1692"/>
    <w:rsid w:val="00AE51D7"/>
    <w:rsid w:val="00B02778"/>
    <w:rsid w:val="00B03197"/>
    <w:rsid w:val="00B143E1"/>
    <w:rsid w:val="00B26365"/>
    <w:rsid w:val="00B271B2"/>
    <w:rsid w:val="00B31624"/>
    <w:rsid w:val="00B3396F"/>
    <w:rsid w:val="00B35CF4"/>
    <w:rsid w:val="00B36423"/>
    <w:rsid w:val="00B36A54"/>
    <w:rsid w:val="00B47409"/>
    <w:rsid w:val="00B539E3"/>
    <w:rsid w:val="00B61B25"/>
    <w:rsid w:val="00B719DD"/>
    <w:rsid w:val="00B72EA1"/>
    <w:rsid w:val="00B8122B"/>
    <w:rsid w:val="00B82875"/>
    <w:rsid w:val="00B90EA0"/>
    <w:rsid w:val="00B97EA0"/>
    <w:rsid w:val="00BA1D72"/>
    <w:rsid w:val="00BA2A1E"/>
    <w:rsid w:val="00BA698C"/>
    <w:rsid w:val="00BB2808"/>
    <w:rsid w:val="00BB448B"/>
    <w:rsid w:val="00BB7EEE"/>
    <w:rsid w:val="00BC01FF"/>
    <w:rsid w:val="00BC13F5"/>
    <w:rsid w:val="00BC30EA"/>
    <w:rsid w:val="00BC79E0"/>
    <w:rsid w:val="00BE1B81"/>
    <w:rsid w:val="00BE3406"/>
    <w:rsid w:val="00BF00EF"/>
    <w:rsid w:val="00BF131D"/>
    <w:rsid w:val="00BF537B"/>
    <w:rsid w:val="00BF6469"/>
    <w:rsid w:val="00BF6D7D"/>
    <w:rsid w:val="00C02E3C"/>
    <w:rsid w:val="00C06949"/>
    <w:rsid w:val="00C12350"/>
    <w:rsid w:val="00C1451A"/>
    <w:rsid w:val="00C14E95"/>
    <w:rsid w:val="00C21489"/>
    <w:rsid w:val="00C21CFC"/>
    <w:rsid w:val="00C21DC0"/>
    <w:rsid w:val="00C2336F"/>
    <w:rsid w:val="00C3446D"/>
    <w:rsid w:val="00C36442"/>
    <w:rsid w:val="00C40026"/>
    <w:rsid w:val="00C401EC"/>
    <w:rsid w:val="00C60D9D"/>
    <w:rsid w:val="00C66FBA"/>
    <w:rsid w:val="00C726F3"/>
    <w:rsid w:val="00C72CF9"/>
    <w:rsid w:val="00C74764"/>
    <w:rsid w:val="00C82199"/>
    <w:rsid w:val="00C856D0"/>
    <w:rsid w:val="00C85939"/>
    <w:rsid w:val="00C90C90"/>
    <w:rsid w:val="00C92068"/>
    <w:rsid w:val="00C964A3"/>
    <w:rsid w:val="00CA1EB9"/>
    <w:rsid w:val="00CA419E"/>
    <w:rsid w:val="00CA6036"/>
    <w:rsid w:val="00CB126F"/>
    <w:rsid w:val="00CC2ED0"/>
    <w:rsid w:val="00CD2505"/>
    <w:rsid w:val="00CD4FBD"/>
    <w:rsid w:val="00CE58AE"/>
    <w:rsid w:val="00CE5BD9"/>
    <w:rsid w:val="00CE772F"/>
    <w:rsid w:val="00CF26E7"/>
    <w:rsid w:val="00CF2CE6"/>
    <w:rsid w:val="00CF338D"/>
    <w:rsid w:val="00D0291E"/>
    <w:rsid w:val="00D07E59"/>
    <w:rsid w:val="00D10DA4"/>
    <w:rsid w:val="00D10F54"/>
    <w:rsid w:val="00D12AB9"/>
    <w:rsid w:val="00D1657C"/>
    <w:rsid w:val="00D179A5"/>
    <w:rsid w:val="00D33BCC"/>
    <w:rsid w:val="00D36A22"/>
    <w:rsid w:val="00D44D0F"/>
    <w:rsid w:val="00D55736"/>
    <w:rsid w:val="00D55DF8"/>
    <w:rsid w:val="00D56528"/>
    <w:rsid w:val="00D64556"/>
    <w:rsid w:val="00D64723"/>
    <w:rsid w:val="00D652BB"/>
    <w:rsid w:val="00D7470D"/>
    <w:rsid w:val="00D83BBF"/>
    <w:rsid w:val="00D9317B"/>
    <w:rsid w:val="00DA1385"/>
    <w:rsid w:val="00DB2515"/>
    <w:rsid w:val="00DB3650"/>
    <w:rsid w:val="00DC6C3E"/>
    <w:rsid w:val="00DD61FE"/>
    <w:rsid w:val="00DE1922"/>
    <w:rsid w:val="00DF5B53"/>
    <w:rsid w:val="00E06661"/>
    <w:rsid w:val="00E162FE"/>
    <w:rsid w:val="00E243F0"/>
    <w:rsid w:val="00E248DA"/>
    <w:rsid w:val="00E26BB2"/>
    <w:rsid w:val="00E27FD7"/>
    <w:rsid w:val="00E40A05"/>
    <w:rsid w:val="00E44C31"/>
    <w:rsid w:val="00E45F80"/>
    <w:rsid w:val="00E46A04"/>
    <w:rsid w:val="00E46D95"/>
    <w:rsid w:val="00E6646A"/>
    <w:rsid w:val="00E70B1B"/>
    <w:rsid w:val="00E75B6D"/>
    <w:rsid w:val="00E76E96"/>
    <w:rsid w:val="00E809B8"/>
    <w:rsid w:val="00E8118A"/>
    <w:rsid w:val="00E854C0"/>
    <w:rsid w:val="00E86ACE"/>
    <w:rsid w:val="00E90BA5"/>
    <w:rsid w:val="00E93487"/>
    <w:rsid w:val="00E973AD"/>
    <w:rsid w:val="00EA3FEC"/>
    <w:rsid w:val="00EB559C"/>
    <w:rsid w:val="00EB5F2A"/>
    <w:rsid w:val="00EB7EB2"/>
    <w:rsid w:val="00ED76CB"/>
    <w:rsid w:val="00EE3DCA"/>
    <w:rsid w:val="00EE71C7"/>
    <w:rsid w:val="00EF3322"/>
    <w:rsid w:val="00EF4118"/>
    <w:rsid w:val="00EF76A8"/>
    <w:rsid w:val="00F028AA"/>
    <w:rsid w:val="00F0302D"/>
    <w:rsid w:val="00F06E63"/>
    <w:rsid w:val="00F075DF"/>
    <w:rsid w:val="00F15A15"/>
    <w:rsid w:val="00F206E1"/>
    <w:rsid w:val="00F20FE1"/>
    <w:rsid w:val="00F24C58"/>
    <w:rsid w:val="00F252EE"/>
    <w:rsid w:val="00F26C71"/>
    <w:rsid w:val="00F2797C"/>
    <w:rsid w:val="00F3303C"/>
    <w:rsid w:val="00F33491"/>
    <w:rsid w:val="00F411D4"/>
    <w:rsid w:val="00F426AF"/>
    <w:rsid w:val="00F45D82"/>
    <w:rsid w:val="00F46BAD"/>
    <w:rsid w:val="00F52E52"/>
    <w:rsid w:val="00F564BB"/>
    <w:rsid w:val="00F66BBF"/>
    <w:rsid w:val="00F67F98"/>
    <w:rsid w:val="00F7209B"/>
    <w:rsid w:val="00F745BA"/>
    <w:rsid w:val="00F7549B"/>
    <w:rsid w:val="00F77B7A"/>
    <w:rsid w:val="00F832AE"/>
    <w:rsid w:val="00F945B4"/>
    <w:rsid w:val="00F95AC7"/>
    <w:rsid w:val="00FA353C"/>
    <w:rsid w:val="00FA4739"/>
    <w:rsid w:val="00FA7C22"/>
    <w:rsid w:val="00FB2055"/>
    <w:rsid w:val="00FB3795"/>
    <w:rsid w:val="00FC0C67"/>
    <w:rsid w:val="00FC1E64"/>
    <w:rsid w:val="00FC663A"/>
    <w:rsid w:val="00FD1FC9"/>
    <w:rsid w:val="00FF001B"/>
    <w:rsid w:val="00FF2D99"/>
    <w:rsid w:val="00FF57B2"/>
    <w:rsid w:val="00FF7B39"/>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650639"/>
  <w15:docId w15:val="{4820EAEC-3A1B-C040-9A4E-DD82DF76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nnheiser Office" w:eastAsia="Sennheiser Office" w:hAnsi="Sennheiser Office"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A01"/>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link w:val="Heading1Char"/>
    <w:uiPriority w:val="9"/>
    <w:qFormat/>
    <w:rsid w:val="009C45A2"/>
    <w:pPr>
      <w:outlineLvl w:val="0"/>
    </w:pPr>
    <w:rPr>
      <w:b/>
      <w:caps/>
      <w:color w:val="0095D5"/>
      <w:lang w:eastAsia="x-none"/>
    </w:rPr>
  </w:style>
  <w:style w:type="paragraph" w:styleId="Heading2">
    <w:name w:val="heading 2"/>
    <w:basedOn w:val="Normal"/>
    <w:next w:val="Normal"/>
    <w:link w:val="Heading2Char"/>
    <w:uiPriority w:val="9"/>
    <w:qFormat/>
    <w:rsid w:val="009C45A2"/>
    <w:pPr>
      <w:outlineLvl w:val="1"/>
    </w:pPr>
    <w:rPr>
      <w:b/>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lang w:eastAsia="x-none"/>
    </w:rPr>
  </w:style>
  <w:style w:type="character" w:customStyle="1" w:styleId="HeaderChar">
    <w:name w:val="Header Char"/>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lang w:eastAsia="x-none"/>
    </w:rPr>
  </w:style>
  <w:style w:type="character" w:customStyle="1" w:styleId="FooterChar">
    <w:name w:val="Footer Char"/>
    <w:link w:val="Footer"/>
    <w:uiPriority w:val="99"/>
    <w:rsid w:val="00AB5767"/>
    <w:rPr>
      <w:sz w:val="12"/>
      <w:lang w:val="en-GB"/>
    </w:rPr>
  </w:style>
  <w:style w:type="table" w:styleId="TableGrid">
    <w:name w:val="Table Grid"/>
    <w:basedOn w:val="TableNormal"/>
    <w:uiPriority w:val="59"/>
    <w:unhideWhenUsed/>
    <w:rsid w:val="00532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qFormat/>
    <w:rsid w:val="00AC4E77"/>
    <w:pPr>
      <w:spacing w:before="440" w:after="200"/>
      <w:contextualSpacing/>
    </w:pPr>
    <w:rPr>
      <w:lang w:eastAsia="x-none"/>
    </w:rPr>
  </w:style>
  <w:style w:type="character" w:customStyle="1" w:styleId="TitleChar">
    <w:name w:val="Title Char"/>
    <w:link w:val="Title"/>
    <w:uiPriority w:val="10"/>
    <w:rsid w:val="00AC4E77"/>
    <w:rPr>
      <w:sz w:val="24"/>
      <w:lang w:val="en-GB"/>
    </w:rPr>
  </w:style>
  <w:style w:type="character" w:customStyle="1" w:styleId="Heading1Char">
    <w:name w:val="Heading 1 Char"/>
    <w:link w:val="Heading1"/>
    <w:uiPriority w:val="9"/>
    <w:rsid w:val="009C45A2"/>
    <w:rPr>
      <w:b/>
      <w:caps/>
      <w:color w:val="0095D5"/>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uiPriority w:val="99"/>
    <w:unhideWhenUsed/>
    <w:rsid w:val="00C24DAB"/>
    <w:rPr>
      <w:color w:val="000000"/>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qFormat/>
    <w:rsid w:val="009320A9"/>
    <w:pPr>
      <w:spacing w:line="210" w:lineRule="atLeast"/>
    </w:pPr>
    <w:rPr>
      <w:sz w:val="15"/>
    </w:rPr>
  </w:style>
  <w:style w:type="paragraph" w:customStyle="1" w:styleId="About">
    <w:name w:val="About"/>
    <w:basedOn w:val="Normal"/>
    <w:qFormat/>
    <w:rsid w:val="00B476AD"/>
    <w:pPr>
      <w:spacing w:line="240" w:lineRule="auto"/>
    </w:pPr>
  </w:style>
  <w:style w:type="character" w:styleId="CommentReference">
    <w:name w:val="annotation reference"/>
    <w:rsid w:val="005C1648"/>
    <w:rPr>
      <w:sz w:val="16"/>
      <w:szCs w:val="16"/>
    </w:rPr>
  </w:style>
  <w:style w:type="paragraph" w:styleId="CommentText">
    <w:name w:val="annotation text"/>
    <w:basedOn w:val="Normal"/>
    <w:link w:val="CommentTextChar"/>
    <w:rsid w:val="005C1648"/>
    <w:rPr>
      <w:lang w:val="x-none"/>
    </w:rPr>
  </w:style>
  <w:style w:type="character" w:customStyle="1" w:styleId="CommentTextChar">
    <w:name w:val="Comment Text Char"/>
    <w:link w:val="CommentText"/>
    <w:rsid w:val="005C1648"/>
    <w:rPr>
      <w:lang w:eastAsia="en-US"/>
    </w:rPr>
  </w:style>
  <w:style w:type="paragraph" w:styleId="CommentSubject">
    <w:name w:val="annotation subject"/>
    <w:basedOn w:val="CommentText"/>
    <w:next w:val="CommentText"/>
    <w:link w:val="CommentSubjectChar"/>
    <w:rsid w:val="005C1648"/>
    <w:rPr>
      <w:b/>
      <w:bCs/>
    </w:rPr>
  </w:style>
  <w:style w:type="character" w:customStyle="1" w:styleId="CommentSubjectChar">
    <w:name w:val="Comment Subject Char"/>
    <w:link w:val="CommentSubject"/>
    <w:rsid w:val="005C1648"/>
    <w:rPr>
      <w:b/>
      <w:bCs/>
      <w:lang w:eastAsia="en-US"/>
    </w:rPr>
  </w:style>
  <w:style w:type="paragraph" w:styleId="BalloonText">
    <w:name w:val="Balloon Text"/>
    <w:basedOn w:val="Normal"/>
    <w:link w:val="BalloonTextChar"/>
    <w:rsid w:val="005C1648"/>
    <w:pPr>
      <w:spacing w:line="240" w:lineRule="auto"/>
    </w:pPr>
    <w:rPr>
      <w:rFonts w:ascii="Arial" w:hAnsi="Arial"/>
      <w:szCs w:val="18"/>
      <w:lang w:val="x-none"/>
    </w:rPr>
  </w:style>
  <w:style w:type="character" w:customStyle="1" w:styleId="BalloonTextChar">
    <w:name w:val="Balloon Text Char"/>
    <w:link w:val="BalloonText"/>
    <w:rsid w:val="005C1648"/>
    <w:rPr>
      <w:rFonts w:ascii="Arial" w:hAnsi="Arial" w:cs="Segoe UI"/>
      <w:sz w:val="18"/>
      <w:szCs w:val="18"/>
      <w:lang w:eastAsia="en-US"/>
    </w:rPr>
  </w:style>
  <w:style w:type="character" w:styleId="FollowedHyperlink">
    <w:name w:val="FollowedHyperlink"/>
    <w:basedOn w:val="DefaultParagraphFont"/>
    <w:semiHidden/>
    <w:unhideWhenUsed/>
    <w:rsid w:val="00F15A15"/>
    <w:rPr>
      <w:color w:val="000000" w:themeColor="followedHyperlink"/>
      <w:u w:val="single"/>
    </w:rPr>
  </w:style>
  <w:style w:type="paragraph" w:customStyle="1" w:styleId="NeumannTabelle9pt">
    <w:name w:val="Neumann Tabelle 9 pt"/>
    <w:basedOn w:val="Normal"/>
    <w:rsid w:val="002919D0"/>
    <w:pPr>
      <w:spacing w:line="240" w:lineRule="auto"/>
    </w:pPr>
    <w:rPr>
      <w:rFonts w:ascii="Avenir Next Condensed Regular" w:eastAsia="MS Mincho" w:hAnsi="Avenir Next Condensed Regular"/>
      <w:sz w:val="18"/>
      <w:szCs w:val="18"/>
      <w:lang w:val="en-US"/>
    </w:rPr>
  </w:style>
  <w:style w:type="character" w:customStyle="1" w:styleId="apple-converted-space">
    <w:name w:val="apple-converted-space"/>
    <w:basedOn w:val="DefaultParagraphFont"/>
    <w:rsid w:val="00F075DF"/>
  </w:style>
  <w:style w:type="paragraph" w:customStyle="1" w:styleId="p1">
    <w:name w:val="p1"/>
    <w:basedOn w:val="Normal"/>
    <w:rsid w:val="008666EB"/>
    <w:pPr>
      <w:spacing w:before="100" w:beforeAutospacing="1" w:after="100" w:afterAutospacing="1" w:line="240" w:lineRule="auto"/>
    </w:pPr>
    <w:rPr>
      <w:rFonts w:ascii="Times New Roman" w:eastAsia="Times New Roman" w:hAnsi="Times New Roman"/>
    </w:rPr>
  </w:style>
  <w:style w:type="paragraph" w:customStyle="1" w:styleId="p2">
    <w:name w:val="p2"/>
    <w:basedOn w:val="Normal"/>
    <w:rsid w:val="008666EB"/>
    <w:pPr>
      <w:spacing w:before="100" w:beforeAutospacing="1" w:after="100" w:afterAutospacing="1" w:line="240" w:lineRule="auto"/>
    </w:pPr>
    <w:rPr>
      <w:rFonts w:ascii="Times New Roman" w:eastAsia="Times New Roman" w:hAnsi="Times New Roman"/>
    </w:rPr>
  </w:style>
  <w:style w:type="character" w:customStyle="1" w:styleId="NichtaufgelsteErwhnung1">
    <w:name w:val="Nicht aufgelöste Erwähnung1"/>
    <w:basedOn w:val="DefaultParagraphFont"/>
    <w:rsid w:val="00C14E95"/>
    <w:rPr>
      <w:color w:val="605E5C"/>
      <w:shd w:val="clear" w:color="auto" w:fill="E1DFDD"/>
    </w:rPr>
  </w:style>
  <w:style w:type="paragraph" w:customStyle="1" w:styleId="BildunterschriftHau">
    <w:name w:val="Bildunterschrift Hau"/>
    <w:basedOn w:val="Normal"/>
    <w:rsid w:val="007B3825"/>
    <w:pPr>
      <w:spacing w:line="240" w:lineRule="auto"/>
    </w:pPr>
    <w:rPr>
      <w:rFonts w:ascii="Arial Narrow" w:eastAsia="MS Mincho" w:hAnsi="Arial Narrow"/>
      <w:b/>
    </w:rPr>
  </w:style>
  <w:style w:type="paragraph" w:styleId="ListParagraph">
    <w:name w:val="List Paragraph"/>
    <w:basedOn w:val="Normal"/>
    <w:qFormat/>
    <w:rsid w:val="00633C4E"/>
    <w:pPr>
      <w:ind w:left="720"/>
      <w:contextualSpacing/>
    </w:pPr>
  </w:style>
  <w:style w:type="character" w:customStyle="1" w:styleId="NichtaufgelsteErwhnung2">
    <w:name w:val="Nicht aufgelöste Erwähnung2"/>
    <w:basedOn w:val="DefaultParagraphFont"/>
    <w:uiPriority w:val="99"/>
    <w:semiHidden/>
    <w:unhideWhenUsed/>
    <w:rsid w:val="00F45D82"/>
    <w:rPr>
      <w:color w:val="605E5C"/>
      <w:shd w:val="clear" w:color="auto" w:fill="E1DFDD"/>
    </w:rPr>
  </w:style>
  <w:style w:type="character" w:customStyle="1" w:styleId="NichtaufgelsteErwhnung3">
    <w:name w:val="Nicht aufgelöste Erwähnung3"/>
    <w:basedOn w:val="DefaultParagraphFont"/>
    <w:uiPriority w:val="99"/>
    <w:semiHidden/>
    <w:unhideWhenUsed/>
    <w:rsid w:val="00B36423"/>
    <w:rPr>
      <w:color w:val="605E5C"/>
      <w:shd w:val="clear" w:color="auto" w:fill="E1DFDD"/>
    </w:rPr>
  </w:style>
  <w:style w:type="character" w:styleId="UnresolvedMention">
    <w:name w:val="Unresolved Mention"/>
    <w:basedOn w:val="DefaultParagraphFont"/>
    <w:uiPriority w:val="99"/>
    <w:semiHidden/>
    <w:unhideWhenUsed/>
    <w:rsid w:val="006B3CC4"/>
    <w:rPr>
      <w:color w:val="605E5C"/>
      <w:shd w:val="clear" w:color="auto" w:fill="E1DFDD"/>
    </w:rPr>
  </w:style>
  <w:style w:type="paragraph" w:customStyle="1" w:styleId="berschriftStandardVersalien">
    <w:name w:val="Überschrift Standard Versalien"/>
    <w:basedOn w:val="Normal"/>
    <w:qFormat/>
    <w:rsid w:val="001E4A01"/>
    <w:pPr>
      <w:tabs>
        <w:tab w:val="left" w:pos="2051"/>
      </w:tabs>
      <w:spacing w:after="0" w:line="240" w:lineRule="auto"/>
    </w:pPr>
    <w:rPr>
      <w:rFonts w:ascii="Arial" w:eastAsia="MS Mincho" w:hAnsi="Arial" w:cs="Arial"/>
      <w:cap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7021">
      <w:bodyDiv w:val="1"/>
      <w:marLeft w:val="0"/>
      <w:marRight w:val="0"/>
      <w:marTop w:val="0"/>
      <w:marBottom w:val="0"/>
      <w:divBdr>
        <w:top w:val="none" w:sz="0" w:space="0" w:color="auto"/>
        <w:left w:val="none" w:sz="0" w:space="0" w:color="auto"/>
        <w:bottom w:val="none" w:sz="0" w:space="0" w:color="auto"/>
        <w:right w:val="none" w:sz="0" w:space="0" w:color="auto"/>
      </w:divBdr>
    </w:div>
    <w:div w:id="36469902">
      <w:bodyDiv w:val="1"/>
      <w:marLeft w:val="0"/>
      <w:marRight w:val="0"/>
      <w:marTop w:val="0"/>
      <w:marBottom w:val="0"/>
      <w:divBdr>
        <w:top w:val="none" w:sz="0" w:space="0" w:color="auto"/>
        <w:left w:val="none" w:sz="0" w:space="0" w:color="auto"/>
        <w:bottom w:val="none" w:sz="0" w:space="0" w:color="auto"/>
        <w:right w:val="none" w:sz="0" w:space="0" w:color="auto"/>
      </w:divBdr>
    </w:div>
    <w:div w:id="202717897">
      <w:bodyDiv w:val="1"/>
      <w:marLeft w:val="0"/>
      <w:marRight w:val="0"/>
      <w:marTop w:val="0"/>
      <w:marBottom w:val="0"/>
      <w:divBdr>
        <w:top w:val="none" w:sz="0" w:space="0" w:color="auto"/>
        <w:left w:val="none" w:sz="0" w:space="0" w:color="auto"/>
        <w:bottom w:val="none" w:sz="0" w:space="0" w:color="auto"/>
        <w:right w:val="none" w:sz="0" w:space="0" w:color="auto"/>
      </w:divBdr>
    </w:div>
    <w:div w:id="395322334">
      <w:bodyDiv w:val="1"/>
      <w:marLeft w:val="0"/>
      <w:marRight w:val="0"/>
      <w:marTop w:val="0"/>
      <w:marBottom w:val="0"/>
      <w:divBdr>
        <w:top w:val="none" w:sz="0" w:space="0" w:color="auto"/>
        <w:left w:val="none" w:sz="0" w:space="0" w:color="auto"/>
        <w:bottom w:val="none" w:sz="0" w:space="0" w:color="auto"/>
        <w:right w:val="none" w:sz="0" w:space="0" w:color="auto"/>
      </w:divBdr>
    </w:div>
    <w:div w:id="407307407">
      <w:bodyDiv w:val="1"/>
      <w:marLeft w:val="0"/>
      <w:marRight w:val="0"/>
      <w:marTop w:val="0"/>
      <w:marBottom w:val="0"/>
      <w:divBdr>
        <w:top w:val="none" w:sz="0" w:space="0" w:color="auto"/>
        <w:left w:val="none" w:sz="0" w:space="0" w:color="auto"/>
        <w:bottom w:val="none" w:sz="0" w:space="0" w:color="auto"/>
        <w:right w:val="none" w:sz="0" w:space="0" w:color="auto"/>
      </w:divBdr>
    </w:div>
    <w:div w:id="617682940">
      <w:bodyDiv w:val="1"/>
      <w:marLeft w:val="0"/>
      <w:marRight w:val="0"/>
      <w:marTop w:val="0"/>
      <w:marBottom w:val="0"/>
      <w:divBdr>
        <w:top w:val="none" w:sz="0" w:space="0" w:color="auto"/>
        <w:left w:val="none" w:sz="0" w:space="0" w:color="auto"/>
        <w:bottom w:val="none" w:sz="0" w:space="0" w:color="auto"/>
        <w:right w:val="none" w:sz="0" w:space="0" w:color="auto"/>
      </w:divBdr>
    </w:div>
    <w:div w:id="902299653">
      <w:bodyDiv w:val="1"/>
      <w:marLeft w:val="0"/>
      <w:marRight w:val="0"/>
      <w:marTop w:val="0"/>
      <w:marBottom w:val="0"/>
      <w:divBdr>
        <w:top w:val="none" w:sz="0" w:space="0" w:color="auto"/>
        <w:left w:val="none" w:sz="0" w:space="0" w:color="auto"/>
        <w:bottom w:val="none" w:sz="0" w:space="0" w:color="auto"/>
        <w:right w:val="none" w:sz="0" w:space="0" w:color="auto"/>
      </w:divBdr>
    </w:div>
    <w:div w:id="909000950">
      <w:bodyDiv w:val="1"/>
      <w:marLeft w:val="0"/>
      <w:marRight w:val="0"/>
      <w:marTop w:val="0"/>
      <w:marBottom w:val="0"/>
      <w:divBdr>
        <w:top w:val="none" w:sz="0" w:space="0" w:color="auto"/>
        <w:left w:val="none" w:sz="0" w:space="0" w:color="auto"/>
        <w:bottom w:val="none" w:sz="0" w:space="0" w:color="auto"/>
        <w:right w:val="none" w:sz="0" w:space="0" w:color="auto"/>
      </w:divBdr>
    </w:div>
    <w:div w:id="979725911">
      <w:bodyDiv w:val="1"/>
      <w:marLeft w:val="0"/>
      <w:marRight w:val="0"/>
      <w:marTop w:val="0"/>
      <w:marBottom w:val="0"/>
      <w:divBdr>
        <w:top w:val="none" w:sz="0" w:space="0" w:color="auto"/>
        <w:left w:val="none" w:sz="0" w:space="0" w:color="auto"/>
        <w:bottom w:val="none" w:sz="0" w:space="0" w:color="auto"/>
        <w:right w:val="none" w:sz="0" w:space="0" w:color="auto"/>
      </w:divBdr>
    </w:div>
    <w:div w:id="1006786725">
      <w:bodyDiv w:val="1"/>
      <w:marLeft w:val="0"/>
      <w:marRight w:val="0"/>
      <w:marTop w:val="0"/>
      <w:marBottom w:val="0"/>
      <w:divBdr>
        <w:top w:val="none" w:sz="0" w:space="0" w:color="auto"/>
        <w:left w:val="none" w:sz="0" w:space="0" w:color="auto"/>
        <w:bottom w:val="none" w:sz="0" w:space="0" w:color="auto"/>
        <w:right w:val="none" w:sz="0" w:space="0" w:color="auto"/>
      </w:divBdr>
    </w:div>
    <w:div w:id="1403869337">
      <w:bodyDiv w:val="1"/>
      <w:marLeft w:val="0"/>
      <w:marRight w:val="0"/>
      <w:marTop w:val="0"/>
      <w:marBottom w:val="0"/>
      <w:divBdr>
        <w:top w:val="none" w:sz="0" w:space="0" w:color="auto"/>
        <w:left w:val="none" w:sz="0" w:space="0" w:color="auto"/>
        <w:bottom w:val="none" w:sz="0" w:space="0" w:color="auto"/>
        <w:right w:val="none" w:sz="0" w:space="0" w:color="auto"/>
      </w:divBdr>
    </w:div>
    <w:div w:id="1450315095">
      <w:bodyDiv w:val="1"/>
      <w:marLeft w:val="0"/>
      <w:marRight w:val="0"/>
      <w:marTop w:val="0"/>
      <w:marBottom w:val="0"/>
      <w:divBdr>
        <w:top w:val="none" w:sz="0" w:space="0" w:color="auto"/>
        <w:left w:val="none" w:sz="0" w:space="0" w:color="auto"/>
        <w:bottom w:val="none" w:sz="0" w:space="0" w:color="auto"/>
        <w:right w:val="none" w:sz="0" w:space="0" w:color="auto"/>
      </w:divBdr>
    </w:div>
    <w:div w:id="1533227606">
      <w:bodyDiv w:val="1"/>
      <w:marLeft w:val="0"/>
      <w:marRight w:val="0"/>
      <w:marTop w:val="0"/>
      <w:marBottom w:val="0"/>
      <w:divBdr>
        <w:top w:val="none" w:sz="0" w:space="0" w:color="auto"/>
        <w:left w:val="none" w:sz="0" w:space="0" w:color="auto"/>
        <w:bottom w:val="none" w:sz="0" w:space="0" w:color="auto"/>
        <w:right w:val="none" w:sz="0" w:space="0" w:color="auto"/>
      </w:divBdr>
    </w:div>
    <w:div w:id="1805152504">
      <w:bodyDiv w:val="1"/>
      <w:marLeft w:val="0"/>
      <w:marRight w:val="0"/>
      <w:marTop w:val="0"/>
      <w:marBottom w:val="0"/>
      <w:divBdr>
        <w:top w:val="none" w:sz="0" w:space="0" w:color="auto"/>
        <w:left w:val="none" w:sz="0" w:space="0" w:color="auto"/>
        <w:bottom w:val="none" w:sz="0" w:space="0" w:color="auto"/>
        <w:right w:val="none" w:sz="0" w:space="0" w:color="auto"/>
      </w:divBdr>
    </w:div>
    <w:div w:id="2011516655">
      <w:bodyDiv w:val="1"/>
      <w:marLeft w:val="0"/>
      <w:marRight w:val="0"/>
      <w:marTop w:val="0"/>
      <w:marBottom w:val="0"/>
      <w:divBdr>
        <w:top w:val="none" w:sz="0" w:space="0" w:color="auto"/>
        <w:left w:val="none" w:sz="0" w:space="0" w:color="auto"/>
        <w:bottom w:val="none" w:sz="0" w:space="0" w:color="auto"/>
        <w:right w:val="none" w:sz="0" w:space="0" w:color="auto"/>
      </w:divBdr>
    </w:div>
    <w:div w:id="20511022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ennheiser.finland@hkstrategi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Benutzerdefiniert 2">
      <a:dk1>
        <a:srgbClr val="000000"/>
      </a:dk1>
      <a:lt1>
        <a:srgbClr val="FFFFFF"/>
      </a:lt1>
      <a:dk2>
        <a:srgbClr val="E0E0E0"/>
      </a:dk2>
      <a:lt2>
        <a:srgbClr val="E0E0E0"/>
      </a:lt2>
      <a:accent1>
        <a:srgbClr val="E8833B"/>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F386E25-BA85-44A9-96E0-2376FDD77957}">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7125</Characters>
  <Application>Microsoft Office Word</Application>
  <DocSecurity>0</DocSecurity>
  <Lines>129</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Hau, Andreas</dc:creator>
  <cp:lastModifiedBy>Antti Valkonen</cp:lastModifiedBy>
  <cp:revision>2</cp:revision>
  <cp:lastPrinted>2026-09-04T10:51:00Z</cp:lastPrinted>
  <dcterms:created xsi:type="dcterms:W3CDTF">2026-09-11T08:08:00Z</dcterms:created>
  <dcterms:modified xsi:type="dcterms:W3CDTF">2026-09-11T08:08:00Z</dcterms:modified>
</cp:coreProperties>
</file>