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A54" w:rsidRPr="00481157" w:rsidRDefault="00D82A54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82A54" w:rsidRPr="00915F6E" w:rsidRDefault="001E5534" w:rsidP="00D30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Gill Sans MT" w:eastAsia="Arial Unicode MS" w:hAnsi="Gill Sans MT" w:cs="Arial Unicode MS"/>
          <w:b/>
          <w:color w:val="auto"/>
        </w:rPr>
      </w:pPr>
      <w:r>
        <w:rPr>
          <w:rFonts w:ascii="Gill Sans MT" w:eastAsia="Arial Unicode MS" w:hAnsi="Gill Sans MT" w:cs="Arial Unicode MS"/>
          <w:b/>
          <w:color w:val="auto"/>
        </w:rPr>
        <w:t>RME’s</w:t>
      </w:r>
      <w:r w:rsidR="00D27296">
        <w:rPr>
          <w:rFonts w:ascii="Gill Sans MT" w:eastAsia="Arial Unicode MS" w:hAnsi="Gill Sans MT" w:cs="Arial Unicode MS"/>
          <w:b/>
          <w:color w:val="auto"/>
        </w:rPr>
        <w:t xml:space="preserve"> New</w:t>
      </w:r>
      <w:r>
        <w:rPr>
          <w:rFonts w:ascii="Gill Sans MT" w:eastAsia="Arial Unicode MS" w:hAnsi="Gill Sans MT" w:cs="Arial Unicode MS"/>
          <w:b/>
          <w:color w:val="auto"/>
        </w:rPr>
        <w:t xml:space="preserve"> DTOX Series</w:t>
      </w:r>
      <w:r w:rsidR="00D27296">
        <w:rPr>
          <w:rFonts w:ascii="Gill Sans MT" w:eastAsia="Arial Unicode MS" w:hAnsi="Gill Sans MT" w:cs="Arial Unicode MS"/>
          <w:b/>
          <w:color w:val="auto"/>
        </w:rPr>
        <w:t xml:space="preserve"> of Breakout Boxes Help</w:t>
      </w:r>
      <w:r>
        <w:rPr>
          <w:rFonts w:ascii="Gill Sans MT" w:eastAsia="Arial Unicode MS" w:hAnsi="Gill Sans MT" w:cs="Arial Unicode MS"/>
          <w:b/>
          <w:color w:val="auto"/>
        </w:rPr>
        <w:t xml:space="preserve"> Eliminate Cable Confusion</w:t>
      </w:r>
    </w:p>
    <w:p w:rsidR="00D82A54" w:rsidRPr="00915F6E" w:rsidRDefault="006B23F8" w:rsidP="0069201F">
      <w:pPr>
        <w:pStyle w:val="Normal1"/>
        <w:spacing w:after="0" w:line="336" w:lineRule="auto"/>
        <w:jc w:val="center"/>
        <w:rPr>
          <w:rFonts w:ascii="Gill Sans MT" w:eastAsia="Arial Unicode MS" w:hAnsi="Gill Sans MT" w:cs="Arial Unicode MS"/>
          <w:b/>
        </w:rPr>
      </w:pPr>
      <w:r w:rsidRPr="00915F6E">
        <w:rPr>
          <w:rFonts w:ascii="Gill Sans MT" w:eastAsia="Arial Unicode MS" w:hAnsi="Gill Sans MT" w:cs="Arial Unicode MS"/>
        </w:rPr>
        <w:br/>
      </w:r>
      <w:r w:rsidR="00D27296">
        <w:rPr>
          <w:rFonts w:ascii="Gill Sans MT" w:eastAsia="Arial Unicode MS" w:hAnsi="Gill Sans MT" w:cs="Arial Unicode MS"/>
          <w:i/>
        </w:rPr>
        <w:t>Available in four versions, the DTOX line of breakout panels replaces two usual multicore breakout cables with a 19-inch rack mount unit</w:t>
      </w:r>
    </w:p>
    <w:p w:rsidR="00D82A54" w:rsidRPr="00915F6E" w:rsidRDefault="00915F6E">
      <w:pPr>
        <w:pStyle w:val="Normal1"/>
        <w:rPr>
          <w:rFonts w:ascii="Gill Sans MT" w:eastAsia="Arial Unicode MS" w:hAnsi="Gill Sans MT" w:cs="Arial Unicode MS"/>
          <w:b/>
        </w:rPr>
      </w:pPr>
      <w:r w:rsidRPr="00915F6E">
        <w:rPr>
          <w:rFonts w:ascii="Gill Sans MT" w:eastAsia="Arial Unicode MS" w:hAnsi="Gill Sans MT" w:cs="Arial Unicode MS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52EE977" wp14:editId="43BF2923">
            <wp:simplePos x="0" y="0"/>
            <wp:positionH relativeFrom="column">
              <wp:posOffset>2758439</wp:posOffset>
            </wp:positionH>
            <wp:positionV relativeFrom="paragraph">
              <wp:posOffset>27940</wp:posOffset>
            </wp:positionV>
            <wp:extent cx="4445777" cy="2320290"/>
            <wp:effectExtent l="0" t="0" r="0" b="0"/>
            <wp:wrapTight wrapText="bothSides">
              <wp:wrapPolygon edited="0">
                <wp:start x="3332" y="4966"/>
                <wp:lineTo x="926" y="5675"/>
                <wp:lineTo x="555" y="5911"/>
                <wp:lineTo x="555" y="8985"/>
                <wp:lineTo x="1234" y="10877"/>
                <wp:lineTo x="1296" y="13360"/>
                <wp:lineTo x="7775" y="14660"/>
                <wp:lineTo x="10367" y="14778"/>
                <wp:lineTo x="16229" y="15961"/>
                <wp:lineTo x="16537" y="16197"/>
                <wp:lineTo x="18265" y="16197"/>
                <wp:lineTo x="19005" y="15961"/>
                <wp:lineTo x="21227" y="15015"/>
                <wp:lineTo x="21412" y="13951"/>
                <wp:lineTo x="21103" y="12768"/>
                <wp:lineTo x="20425" y="10877"/>
                <wp:lineTo x="20178" y="10286"/>
                <wp:lineTo x="19499" y="8985"/>
                <wp:lineTo x="19561" y="6384"/>
                <wp:lineTo x="12773" y="5557"/>
                <wp:lineTo x="4381" y="4966"/>
                <wp:lineTo x="3332" y="496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E-Digiface-AVB-Perspective-d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336" cy="232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D3D" w:rsidRPr="00915F6E" w:rsidRDefault="001D6DAE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bookmarkStart w:id="0" w:name="_24xujj1bhvkn" w:colFirst="0" w:colLast="0"/>
      <w:bookmarkEnd w:id="0"/>
      <w:r w:rsidRPr="00915F6E">
        <w:rPr>
          <w:rFonts w:ascii="Gill Sans MT" w:eastAsia="Arial Unicode MS" w:hAnsi="Gill Sans MT" w:cs="Arial Unicode MS"/>
          <w:b/>
        </w:rPr>
        <w:br/>
      </w:r>
      <w:r w:rsidR="00181346" w:rsidRPr="00915F6E">
        <w:rPr>
          <w:rFonts w:ascii="Gill Sans MT" w:eastAsia="Arial Unicode MS" w:hAnsi="Gill Sans MT" w:cs="Arial Unicode MS"/>
          <w:b/>
        </w:rPr>
        <w:t>New York</w:t>
      </w:r>
      <w:r w:rsidR="006B23F8" w:rsidRPr="00915F6E">
        <w:rPr>
          <w:rFonts w:ascii="Gill Sans MT" w:eastAsia="Arial Unicode MS" w:hAnsi="Gill Sans MT" w:cs="Arial Unicode MS"/>
          <w:b/>
        </w:rPr>
        <w:t xml:space="preserve">, </w:t>
      </w:r>
      <w:r w:rsidR="000F0343" w:rsidRPr="00915F6E">
        <w:rPr>
          <w:rFonts w:ascii="Gill Sans MT" w:eastAsia="Arial Unicode MS" w:hAnsi="Gill Sans MT" w:cs="Arial Unicode MS"/>
          <w:b/>
        </w:rPr>
        <w:t>October</w:t>
      </w:r>
      <w:r w:rsidR="006B23F8" w:rsidRPr="00915F6E">
        <w:rPr>
          <w:rFonts w:ascii="Gill Sans MT" w:eastAsia="Arial Unicode MS" w:hAnsi="Gill Sans MT" w:cs="Arial Unicode MS"/>
          <w:b/>
        </w:rPr>
        <w:t xml:space="preserve"> </w:t>
      </w:r>
      <w:r w:rsidR="000F0343" w:rsidRPr="00915F6E">
        <w:rPr>
          <w:rFonts w:ascii="Gill Sans MT" w:eastAsia="Arial Unicode MS" w:hAnsi="Gill Sans MT" w:cs="Arial Unicode MS"/>
          <w:b/>
        </w:rPr>
        <w:t>XX</w:t>
      </w:r>
      <w:r w:rsidR="006B23F8" w:rsidRPr="00915F6E">
        <w:rPr>
          <w:rFonts w:ascii="Gill Sans MT" w:eastAsia="Arial Unicode MS" w:hAnsi="Gill Sans MT" w:cs="Arial Unicode MS"/>
          <w:b/>
        </w:rPr>
        <w:t>, 2018 –</w:t>
      </w:r>
      <w:r w:rsidR="006B23F8" w:rsidRPr="00915F6E">
        <w:rPr>
          <w:rFonts w:ascii="Gill Sans MT" w:eastAsia="Arial Unicode MS" w:hAnsi="Gill Sans MT" w:cs="Arial Unicode MS"/>
        </w:rPr>
        <w:t xml:space="preserve"> </w:t>
      </w:r>
      <w:r w:rsidR="00915F6E">
        <w:rPr>
          <w:rFonts w:ascii="Gill Sans MT" w:eastAsia="Arial Unicode MS" w:hAnsi="Gill Sans MT" w:cs="Arial Unicode MS"/>
        </w:rPr>
        <w:t xml:space="preserve">Premium German interface manufacturer </w:t>
      </w:r>
      <w:hyperlink r:id="rId7">
        <w:r w:rsidR="00915F6E" w:rsidRPr="00915F6E">
          <w:rPr>
            <w:rFonts w:ascii="Gill Sans MT" w:eastAsia="Arial Unicode MS" w:hAnsi="Gill Sans MT" w:cs="Arial Unicode MS"/>
            <w:color w:val="0000FF"/>
            <w:u w:val="single"/>
          </w:rPr>
          <w:t>RME</w:t>
        </w:r>
      </w:hyperlink>
      <w:r w:rsidR="00915F6E" w:rsidRPr="00915F6E">
        <w:rPr>
          <w:rFonts w:ascii="Gill Sans MT" w:eastAsia="Arial Unicode MS" w:hAnsi="Gill Sans MT" w:cs="Arial Unicode MS"/>
        </w:rPr>
        <w:t xml:space="preserve"> </w:t>
      </w:r>
      <w:r w:rsidR="00F4431D" w:rsidRPr="00915F6E">
        <w:rPr>
          <w:rFonts w:ascii="Gill Sans MT" w:eastAsia="Arial Unicode MS" w:hAnsi="Gill Sans MT" w:cs="Arial Unicode MS"/>
        </w:rPr>
        <w:t>[</w:t>
      </w:r>
      <w:r w:rsidR="000F0343" w:rsidRPr="00915F6E">
        <w:rPr>
          <w:rFonts w:ascii="Gill Sans MT" w:eastAsia="Arial Unicode MS" w:hAnsi="Gill Sans MT" w:cs="Arial Unicode MS"/>
        </w:rPr>
        <w:t>AES 2018 NY</w:t>
      </w:r>
      <w:r w:rsidR="0079767C" w:rsidRPr="00915F6E">
        <w:rPr>
          <w:rFonts w:ascii="Gill Sans MT" w:eastAsia="Arial Unicode MS" w:hAnsi="Gill Sans MT" w:cs="Arial Unicode MS"/>
        </w:rPr>
        <w:t xml:space="preserve"> booth </w:t>
      </w:r>
      <w:r w:rsidR="000F0343" w:rsidRPr="00915F6E">
        <w:rPr>
          <w:rFonts w:ascii="Gill Sans MT" w:eastAsia="Arial Unicode MS" w:hAnsi="Gill Sans MT" w:cs="Arial Unicode MS"/>
        </w:rPr>
        <w:t>414</w:t>
      </w:r>
      <w:r w:rsidR="00915F6E">
        <w:rPr>
          <w:rFonts w:ascii="Gill Sans MT" w:eastAsia="Arial Unicode MS" w:hAnsi="Gill Sans MT" w:cs="Arial Unicode MS"/>
        </w:rPr>
        <w:t xml:space="preserve">] </w:t>
      </w:r>
      <w:r w:rsidR="00687A49" w:rsidRPr="00915F6E">
        <w:rPr>
          <w:rFonts w:ascii="Gill Sans MT" w:eastAsia="Arial Unicode MS" w:hAnsi="Gill Sans MT" w:cs="Arial Unicode MS"/>
        </w:rPr>
        <w:t xml:space="preserve">has </w:t>
      </w:r>
      <w:r w:rsidR="00915F6E">
        <w:rPr>
          <w:rFonts w:ascii="Gill Sans MT" w:eastAsia="Arial Unicode MS" w:hAnsi="Gill Sans MT" w:cs="Arial Unicode MS"/>
        </w:rPr>
        <w:t xml:space="preserve">officially </w:t>
      </w:r>
      <w:r w:rsidR="00687A49" w:rsidRPr="00915F6E">
        <w:rPr>
          <w:rFonts w:ascii="Gill Sans MT" w:eastAsia="Arial Unicode MS" w:hAnsi="Gill Sans MT" w:cs="Arial Unicode MS"/>
        </w:rPr>
        <w:t xml:space="preserve">announced </w:t>
      </w:r>
      <w:r w:rsidR="00915F6E">
        <w:rPr>
          <w:rFonts w:ascii="Gill Sans MT" w:eastAsia="Arial Unicode MS" w:hAnsi="Gill Sans MT" w:cs="Arial Unicode MS"/>
        </w:rPr>
        <w:t>its DTOX series of D-sub to XLR breakout boxes</w:t>
      </w:r>
      <w:r w:rsidR="00687A49" w:rsidRPr="00915F6E">
        <w:rPr>
          <w:rFonts w:ascii="Gill Sans MT" w:eastAsia="Arial Unicode MS" w:hAnsi="Gill Sans MT" w:cs="Arial Unicode MS"/>
          <w:color w:val="auto"/>
        </w:rPr>
        <w:t xml:space="preserve">. </w:t>
      </w:r>
      <w:r w:rsidR="00A11730" w:rsidRPr="00915F6E">
        <w:rPr>
          <w:rFonts w:ascii="Gill Sans MT" w:eastAsia="Arial Unicode MS" w:hAnsi="Gill Sans MT" w:cs="Arial Unicode MS"/>
          <w:color w:val="auto"/>
        </w:rPr>
        <w:t>Th</w:t>
      </w:r>
      <w:r w:rsidR="00687A49" w:rsidRPr="00915F6E">
        <w:rPr>
          <w:rFonts w:ascii="Gill Sans MT" w:eastAsia="Arial Unicode MS" w:hAnsi="Gill Sans MT" w:cs="Arial Unicode MS"/>
          <w:color w:val="auto"/>
        </w:rPr>
        <w:t xml:space="preserve">ese </w:t>
      </w:r>
      <w:r w:rsidR="00915F6E">
        <w:rPr>
          <w:rFonts w:ascii="Gill Sans MT" w:eastAsia="Arial Unicode MS" w:hAnsi="Gill Sans MT" w:cs="Arial Unicode MS"/>
          <w:color w:val="auto"/>
        </w:rPr>
        <w:t>boxes</w:t>
      </w:r>
      <w:r w:rsidR="00687A49" w:rsidRPr="00915F6E">
        <w:rPr>
          <w:rFonts w:ascii="Gill Sans MT" w:eastAsia="Arial Unicode MS" w:hAnsi="Gill Sans MT" w:cs="Arial Unicode MS"/>
          <w:color w:val="auto"/>
        </w:rPr>
        <w:t xml:space="preserve"> will be </w:t>
      </w:r>
      <w:r w:rsidR="00915F6E">
        <w:rPr>
          <w:rFonts w:ascii="Gill Sans MT" w:eastAsia="Arial Unicode MS" w:hAnsi="Gill Sans MT" w:cs="Arial Unicode MS"/>
          <w:color w:val="auto"/>
        </w:rPr>
        <w:t>highlighted</w:t>
      </w:r>
      <w:r w:rsidR="00687A49" w:rsidRPr="00915F6E">
        <w:rPr>
          <w:rFonts w:ascii="Gill Sans MT" w:eastAsia="Arial Unicode MS" w:hAnsi="Gill Sans MT" w:cs="Arial Unicode MS"/>
          <w:color w:val="auto"/>
        </w:rPr>
        <w:t xml:space="preserve"> at </w:t>
      </w:r>
      <w:r w:rsidR="00915F6E">
        <w:rPr>
          <w:rFonts w:ascii="Gill Sans MT" w:eastAsia="Arial Unicode MS" w:hAnsi="Gill Sans MT" w:cs="Arial Unicode MS"/>
          <w:color w:val="auto"/>
        </w:rPr>
        <w:t>RME’s</w:t>
      </w:r>
      <w:r w:rsidR="00687A49" w:rsidRPr="00915F6E">
        <w:rPr>
          <w:rFonts w:ascii="Gill Sans MT" w:eastAsia="Arial Unicode MS" w:hAnsi="Gill Sans MT" w:cs="Arial Unicode MS"/>
          <w:color w:val="auto"/>
        </w:rPr>
        <w:t xml:space="preserve"> booth 414</w:t>
      </w:r>
      <w:r w:rsidR="002E3911" w:rsidRPr="00915F6E">
        <w:rPr>
          <w:rFonts w:ascii="Gill Sans MT" w:eastAsia="Arial Unicode MS" w:hAnsi="Gill Sans MT" w:cs="Arial Unicode MS"/>
        </w:rPr>
        <w:t xml:space="preserve"> </w:t>
      </w:r>
      <w:r w:rsidR="00687A49" w:rsidRPr="00915F6E">
        <w:rPr>
          <w:rFonts w:ascii="Gill Sans MT" w:eastAsia="Arial Unicode MS" w:hAnsi="Gill Sans MT" w:cs="Arial Unicode MS"/>
        </w:rPr>
        <w:t xml:space="preserve">during </w:t>
      </w:r>
      <w:r w:rsidR="000F0343" w:rsidRPr="00915F6E">
        <w:rPr>
          <w:rFonts w:ascii="Gill Sans MT" w:eastAsia="Arial Unicode MS" w:hAnsi="Gill Sans MT" w:cs="Arial Unicode MS"/>
          <w:color w:val="auto"/>
        </w:rPr>
        <w:t>AES</w:t>
      </w:r>
      <w:r w:rsidR="006B23F8" w:rsidRPr="00915F6E">
        <w:rPr>
          <w:rFonts w:ascii="Gill Sans MT" w:eastAsia="Arial Unicode MS" w:hAnsi="Gill Sans MT" w:cs="Arial Unicode MS"/>
          <w:color w:val="auto"/>
        </w:rPr>
        <w:t xml:space="preserve"> </w:t>
      </w:r>
      <w:r w:rsidR="00B1753E" w:rsidRPr="00915F6E">
        <w:rPr>
          <w:rFonts w:ascii="Gill Sans MT" w:eastAsia="Arial Unicode MS" w:hAnsi="Gill Sans MT" w:cs="Arial Unicode MS"/>
          <w:color w:val="auto"/>
        </w:rPr>
        <w:t>2018</w:t>
      </w:r>
      <w:r w:rsidR="006B23F8" w:rsidRPr="00915F6E">
        <w:rPr>
          <w:rFonts w:ascii="Gill Sans MT" w:eastAsia="Arial Unicode MS" w:hAnsi="Gill Sans MT" w:cs="Arial Unicode MS"/>
          <w:color w:val="auto"/>
        </w:rPr>
        <w:t xml:space="preserve"> from </w:t>
      </w:r>
      <w:r w:rsidR="000F0343" w:rsidRPr="00915F6E">
        <w:rPr>
          <w:rFonts w:ascii="Gill Sans MT" w:eastAsia="Arial Unicode MS" w:hAnsi="Gill Sans MT" w:cs="Arial Unicode MS"/>
          <w:color w:val="auto"/>
        </w:rPr>
        <w:t>Oct</w:t>
      </w:r>
      <w:r w:rsidR="006B23F8" w:rsidRPr="00915F6E">
        <w:rPr>
          <w:rFonts w:ascii="Gill Sans MT" w:eastAsia="Arial Unicode MS" w:hAnsi="Gill Sans MT" w:cs="Arial Unicode MS"/>
          <w:color w:val="auto"/>
        </w:rPr>
        <w:t xml:space="preserve"> </w:t>
      </w:r>
      <w:r w:rsidR="000F0343" w:rsidRPr="00915F6E">
        <w:rPr>
          <w:rFonts w:ascii="Gill Sans MT" w:eastAsia="Arial Unicode MS" w:hAnsi="Gill Sans MT" w:cs="Arial Unicode MS"/>
          <w:color w:val="auto"/>
        </w:rPr>
        <w:t>17</w:t>
      </w:r>
      <w:r w:rsidR="006B23F8" w:rsidRPr="00915F6E">
        <w:rPr>
          <w:rFonts w:ascii="Gill Sans MT" w:eastAsia="Arial Unicode MS" w:hAnsi="Gill Sans MT" w:cs="Arial Unicode MS"/>
          <w:color w:val="auto"/>
        </w:rPr>
        <w:t>–</w:t>
      </w:r>
      <w:r w:rsidR="000F0343" w:rsidRPr="00915F6E">
        <w:rPr>
          <w:rFonts w:ascii="Gill Sans MT" w:eastAsia="Arial Unicode MS" w:hAnsi="Gill Sans MT" w:cs="Arial Unicode MS"/>
          <w:color w:val="auto"/>
        </w:rPr>
        <w:t>19</w:t>
      </w:r>
      <w:r w:rsidR="00660ECE" w:rsidRPr="00915F6E">
        <w:rPr>
          <w:rFonts w:ascii="Gill Sans MT" w:eastAsia="Arial Unicode MS" w:hAnsi="Gill Sans MT" w:cs="Arial Unicode MS"/>
          <w:color w:val="auto"/>
        </w:rPr>
        <w:t>, 2018,</w:t>
      </w:r>
      <w:r w:rsidR="006B23F8" w:rsidRPr="00915F6E">
        <w:rPr>
          <w:rFonts w:ascii="Gill Sans MT" w:eastAsia="Arial Unicode MS" w:hAnsi="Gill Sans MT" w:cs="Arial Unicode MS"/>
          <w:color w:val="auto"/>
        </w:rPr>
        <w:t xml:space="preserve"> at the </w:t>
      </w:r>
      <w:r w:rsidR="000F0343" w:rsidRPr="00915F6E">
        <w:rPr>
          <w:rFonts w:ascii="Gill Sans MT" w:eastAsia="Arial Unicode MS" w:hAnsi="Gill Sans MT" w:cs="Arial Unicode MS"/>
          <w:color w:val="auto"/>
        </w:rPr>
        <w:t>Javitis</w:t>
      </w:r>
      <w:r w:rsidR="006B23F8" w:rsidRPr="00915F6E">
        <w:rPr>
          <w:rFonts w:ascii="Gill Sans MT" w:eastAsia="Arial Unicode MS" w:hAnsi="Gill Sans MT" w:cs="Arial Unicode MS"/>
          <w:color w:val="auto"/>
        </w:rPr>
        <w:t xml:space="preserve"> Convention Center</w:t>
      </w:r>
      <w:r w:rsidR="00D302DC" w:rsidRPr="00915F6E">
        <w:rPr>
          <w:rFonts w:ascii="Gill Sans MT" w:eastAsia="Arial Unicode MS" w:hAnsi="Gill Sans MT" w:cs="Arial Unicode MS"/>
        </w:rPr>
        <w:t xml:space="preserve"> in New York.</w:t>
      </w:r>
    </w:p>
    <w:p w:rsidR="001E5534" w:rsidRDefault="00E66D28" w:rsidP="00045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eastAsia="Arial Unicode MS" w:hAnsi="Gill Sans MT" w:cs="Arial Unicode MS"/>
          <w:color w:val="auto"/>
        </w:rPr>
      </w:pPr>
      <w:r>
        <w:rPr>
          <w:rFonts w:ascii="Gill Sans MT" w:eastAsia="Arial Unicode MS" w:hAnsi="Gill Sans MT" w:cs="Arial Unicode MS"/>
          <w:color w:val="auto"/>
        </w:rPr>
        <w:t>The DTOX</w:t>
      </w:r>
      <w:r w:rsidR="001E5534">
        <w:rPr>
          <w:rFonts w:ascii="Gill Sans MT" w:eastAsia="Arial Unicode MS" w:hAnsi="Gill Sans MT" w:cs="Arial Unicode MS"/>
          <w:color w:val="auto"/>
        </w:rPr>
        <w:t xml:space="preserve"> breakout panels are the ideal rack solution for interconnecting multichannel XLRs with the common D-sub connector format. </w:t>
      </w:r>
    </w:p>
    <w:p w:rsidR="00265BCE" w:rsidRPr="00D24FD5" w:rsidRDefault="00713810" w:rsidP="00045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eastAsia="Arial Unicode MS" w:hAnsi="Gill Sans MT" w:cs="Arial Unicode MS"/>
          <w:color w:val="auto"/>
        </w:rPr>
      </w:pPr>
      <w:r w:rsidRPr="00915F6E">
        <w:rPr>
          <w:rFonts w:ascii="Gill Sans MT" w:eastAsia="Arial Unicode MS" w:hAnsi="Gill Sans MT" w:cs="Arial Unicode MS"/>
          <w:color w:val="auto"/>
        </w:rPr>
        <w:t>“</w:t>
      </w:r>
      <w:r w:rsidR="00D27296">
        <w:rPr>
          <w:rFonts w:ascii="Gill Sans MT" w:eastAsia="Arial Unicode MS" w:hAnsi="Gill Sans MT" w:cs="Arial Unicode MS"/>
          <w:color w:val="auto"/>
        </w:rPr>
        <w:t xml:space="preserve">Using D-sub to XLR breakout cables </w:t>
      </w:r>
      <w:r w:rsidR="00D24FD5">
        <w:rPr>
          <w:rFonts w:ascii="Gill Sans MT" w:eastAsia="Arial Unicode MS" w:hAnsi="Gill Sans MT" w:cs="Arial Unicode MS"/>
          <w:color w:val="auto"/>
        </w:rPr>
        <w:t>where other XLR cables need to be plugged into poorly labelled XLR plugs can result in errors and connection issues</w:t>
      </w:r>
      <w:r w:rsidR="00D27296">
        <w:rPr>
          <w:rFonts w:ascii="Gill Sans MT" w:eastAsia="Arial Unicode MS" w:hAnsi="Gill Sans MT" w:cs="Arial Unicode MS"/>
          <w:color w:val="auto"/>
        </w:rPr>
        <w:t xml:space="preserve">,” </w:t>
      </w:r>
      <w:r w:rsidR="00045F58" w:rsidRPr="00915F6E">
        <w:rPr>
          <w:rFonts w:ascii="Gill Sans MT" w:eastAsia="Arial Unicode MS" w:hAnsi="Gill Sans MT" w:cs="Arial Unicode MS"/>
          <w:color w:val="auto"/>
        </w:rPr>
        <w:t>said Derek Badala, Director of Sales, Americas for Synthax, distributor of RME. “</w:t>
      </w:r>
      <w:r w:rsidR="00D24FD5">
        <w:rPr>
          <w:rFonts w:ascii="Gill Sans MT" w:eastAsia="Arial Unicode MS" w:hAnsi="Gill Sans MT" w:cs="Arial Unicode MS"/>
          <w:color w:val="auto"/>
        </w:rPr>
        <w:t>The DTOX series of boxes provides a professional solution by replacing two usual multicore breakout cables with a space-ef</w:t>
      </w:r>
      <w:r w:rsidR="00412DC3">
        <w:rPr>
          <w:rFonts w:ascii="Gill Sans MT" w:eastAsia="Arial Unicode MS" w:hAnsi="Gill Sans MT" w:cs="Arial Unicode MS"/>
          <w:color w:val="auto"/>
        </w:rPr>
        <w:t>ficient 19-inch rack mount unit — streamlining the process and eliminating confusion.</w:t>
      </w:r>
      <w:r w:rsidR="00D24FD5">
        <w:rPr>
          <w:rFonts w:ascii="Gill Sans MT" w:eastAsia="Arial Unicode MS" w:hAnsi="Gill Sans MT" w:cs="Arial Unicode MS"/>
          <w:color w:val="auto"/>
        </w:rPr>
        <w:t>”</w:t>
      </w:r>
    </w:p>
    <w:p w:rsidR="00045F58" w:rsidRPr="00915F6E" w:rsidRDefault="00F315C2" w:rsidP="001E05E3">
      <w:pPr>
        <w:spacing w:line="336" w:lineRule="auto"/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Multiple Solutions: DTOX-32 &amp;</w:t>
      </w:r>
      <w:r w:rsidR="00412DC3">
        <w:rPr>
          <w:rFonts w:ascii="Gill Sans MT" w:hAnsi="Gill Sans MT"/>
          <w:b/>
        </w:rPr>
        <w:t xml:space="preserve"> DTOX-16</w:t>
      </w:r>
    </w:p>
    <w:p w:rsidR="00B1726F" w:rsidRDefault="00D24FD5" w:rsidP="00D24FD5">
      <w:pPr>
        <w:spacing w:line="336" w:lineRule="auto"/>
        <w:rPr>
          <w:rFonts w:ascii="Gill Sans MT" w:hAnsi="Gill Sans MT" w:cs="Helvetica"/>
          <w:color w:val="000000" w:themeColor="text1"/>
        </w:rPr>
      </w:pPr>
      <w:r>
        <w:rPr>
          <w:rFonts w:ascii="Gill Sans MT" w:hAnsi="Gill Sans MT" w:cs="Helvetica"/>
          <w:color w:val="000000" w:themeColor="text1"/>
        </w:rPr>
        <w:t xml:space="preserve">Named after their primary function, D(-sub) to X(LR), the DTOX </w:t>
      </w:r>
      <w:r w:rsidR="00B1726F">
        <w:rPr>
          <w:rFonts w:ascii="Gill Sans MT" w:hAnsi="Gill Sans MT" w:cs="Helvetica"/>
          <w:color w:val="000000" w:themeColor="text1"/>
        </w:rPr>
        <w:t>panels</w:t>
      </w:r>
      <w:r>
        <w:rPr>
          <w:rFonts w:ascii="Gill Sans MT" w:hAnsi="Gill Sans MT" w:cs="Helvetica"/>
          <w:color w:val="000000" w:themeColor="text1"/>
        </w:rPr>
        <w:t xml:space="preserve"> are 19-inch rack enclosu</w:t>
      </w:r>
      <w:r w:rsidR="00B1726F">
        <w:rPr>
          <w:rFonts w:ascii="Gill Sans MT" w:hAnsi="Gill Sans MT" w:cs="Helvetica"/>
          <w:color w:val="000000" w:themeColor="text1"/>
        </w:rPr>
        <w:t xml:space="preserve">res with 1 height unit featuring </w:t>
      </w:r>
      <w:r>
        <w:rPr>
          <w:rFonts w:ascii="Gill Sans MT" w:hAnsi="Gill Sans MT" w:cs="Helvetica"/>
          <w:color w:val="000000" w:themeColor="text1"/>
        </w:rPr>
        <w:t>16 XLR sockets on one side</w:t>
      </w:r>
      <w:r w:rsidR="00BF14AC" w:rsidRPr="00915F6E">
        <w:rPr>
          <w:rFonts w:ascii="Gill Sans MT" w:hAnsi="Gill Sans MT" w:cs="Helvetica"/>
          <w:color w:val="000000" w:themeColor="text1"/>
        </w:rPr>
        <w:t xml:space="preserve"> </w:t>
      </w:r>
      <w:r w:rsidR="00B1726F">
        <w:rPr>
          <w:rFonts w:ascii="Gill Sans MT" w:hAnsi="Gill Sans MT" w:cs="Helvetica"/>
          <w:color w:val="000000" w:themeColor="text1"/>
        </w:rPr>
        <w:t>and 2 D-sub connectors on the other. Due to differences between digital and analog formats, the DTOX series is available in four different models.</w:t>
      </w:r>
    </w:p>
    <w:p w:rsidR="00B1726F" w:rsidRDefault="00B1726F" w:rsidP="00D24FD5">
      <w:pPr>
        <w:spacing w:line="336" w:lineRule="auto"/>
        <w:rPr>
          <w:rFonts w:ascii="Gill Sans MT" w:hAnsi="Gill Sans MT" w:cs="Helvetica"/>
          <w:color w:val="000000" w:themeColor="text1"/>
        </w:rPr>
      </w:pPr>
      <w:r>
        <w:rPr>
          <w:rFonts w:ascii="Gill Sans MT" w:hAnsi="Gill Sans MT" w:cs="Helvetica"/>
          <w:color w:val="000000" w:themeColor="text1"/>
        </w:rPr>
        <w:t>The DTOX-32 is a double D-sub solution for AES/EBU signals with one D-sub converted to 4 XLR males and 4 XLR females each, equaling a total of 8 AES/EBU inputs and 8 AES/EBU outputs. The DTOX-32 is pin-compatible to the common TASCAM pinout as well as the popular Yamaha pino</w:t>
      </w:r>
      <w:r w:rsidR="00F315C2">
        <w:rPr>
          <w:rFonts w:ascii="Gill Sans MT" w:hAnsi="Gill Sans MT" w:cs="Helvetica"/>
          <w:color w:val="000000" w:themeColor="text1"/>
        </w:rPr>
        <w:t>ut. An</w:t>
      </w:r>
      <w:r>
        <w:rPr>
          <w:rFonts w:ascii="Gill Sans MT" w:hAnsi="Gill Sans MT" w:cs="Helvetica"/>
          <w:color w:val="000000" w:themeColor="text1"/>
        </w:rPr>
        <w:t xml:space="preserve"> internal connector allows the user to change between both formats separately for both D-subs.</w:t>
      </w:r>
    </w:p>
    <w:p w:rsidR="00B1726F" w:rsidRPr="00B1726F" w:rsidRDefault="00B1726F" w:rsidP="00D24FD5">
      <w:pPr>
        <w:spacing w:line="336" w:lineRule="auto"/>
        <w:rPr>
          <w:rFonts w:ascii="Gill Sans MT" w:hAnsi="Gill Sans MT" w:cs="Helvetica"/>
          <w:color w:val="000000" w:themeColor="text1"/>
        </w:rPr>
      </w:pPr>
      <w:r>
        <w:rPr>
          <w:rFonts w:ascii="Gill Sans MT" w:hAnsi="Gill Sans MT" w:cs="Helvetica"/>
          <w:color w:val="000000" w:themeColor="text1"/>
        </w:rPr>
        <w:lastRenderedPageBreak/>
        <w:t>For analog connections, the DTOX-16 is available in three versions:</w:t>
      </w:r>
      <w:r w:rsidR="00A409D2">
        <w:rPr>
          <w:rFonts w:ascii="Gill Sans MT" w:hAnsi="Gill Sans MT" w:cs="Helvetica"/>
          <w:color w:val="000000" w:themeColor="text1"/>
        </w:rPr>
        <w:t xml:space="preserve"> DTOX-16</w:t>
      </w:r>
      <w:r>
        <w:rPr>
          <w:rFonts w:ascii="Gill Sans MT" w:hAnsi="Gill Sans MT" w:cs="Helvetica"/>
          <w:color w:val="000000" w:themeColor="text1"/>
        </w:rPr>
        <w:t xml:space="preserve"> I</w:t>
      </w:r>
      <w:r w:rsidR="00F315C2">
        <w:rPr>
          <w:rFonts w:ascii="Gill Sans MT" w:hAnsi="Gill Sans MT" w:cs="Helvetica"/>
          <w:color w:val="000000" w:themeColor="text1"/>
        </w:rPr>
        <w:t xml:space="preserve"> –</w:t>
      </w:r>
      <w:r>
        <w:rPr>
          <w:rFonts w:ascii="Gill Sans MT" w:hAnsi="Gill Sans MT" w:cs="Helvetica"/>
          <w:color w:val="000000" w:themeColor="text1"/>
        </w:rPr>
        <w:t xml:space="preserve"> with only inputs (XLR female); </w:t>
      </w:r>
      <w:r w:rsidR="00A409D2">
        <w:rPr>
          <w:rFonts w:ascii="Gill Sans MT" w:hAnsi="Gill Sans MT" w:cs="Helvetica"/>
          <w:color w:val="000000" w:themeColor="text1"/>
        </w:rPr>
        <w:t xml:space="preserve">DTOX-16 </w:t>
      </w:r>
      <w:r>
        <w:rPr>
          <w:rFonts w:ascii="Gill Sans MT" w:hAnsi="Gill Sans MT" w:cs="Helvetica"/>
          <w:color w:val="000000" w:themeColor="text1"/>
        </w:rPr>
        <w:t>O</w:t>
      </w:r>
      <w:r w:rsidR="00F315C2">
        <w:rPr>
          <w:rFonts w:ascii="Gill Sans MT" w:hAnsi="Gill Sans MT" w:cs="Helvetica"/>
          <w:color w:val="000000" w:themeColor="text1"/>
        </w:rPr>
        <w:t xml:space="preserve"> – </w:t>
      </w:r>
      <w:r>
        <w:rPr>
          <w:rFonts w:ascii="Gill Sans MT" w:hAnsi="Gill Sans MT" w:cs="Helvetica"/>
          <w:color w:val="000000" w:themeColor="text1"/>
        </w:rPr>
        <w:t xml:space="preserve">with only outputs (XLR males); and </w:t>
      </w:r>
      <w:r w:rsidR="00A409D2">
        <w:rPr>
          <w:rFonts w:ascii="Gill Sans MT" w:hAnsi="Gill Sans MT" w:cs="Helvetica"/>
          <w:color w:val="000000" w:themeColor="text1"/>
        </w:rPr>
        <w:t xml:space="preserve">DTOX-16 </w:t>
      </w:r>
      <w:r>
        <w:rPr>
          <w:rFonts w:ascii="Gill Sans MT" w:hAnsi="Gill Sans MT" w:cs="Helvetica"/>
          <w:color w:val="000000" w:themeColor="text1"/>
        </w:rPr>
        <w:t>I/O</w:t>
      </w:r>
      <w:r w:rsidR="00F315C2">
        <w:rPr>
          <w:rFonts w:ascii="Gill Sans MT" w:hAnsi="Gill Sans MT" w:cs="Helvetica"/>
          <w:color w:val="000000" w:themeColor="text1"/>
        </w:rPr>
        <w:t xml:space="preserve"> –</w:t>
      </w:r>
      <w:r>
        <w:rPr>
          <w:rFonts w:ascii="Gill Sans MT" w:hAnsi="Gill Sans MT" w:cs="Helvetica"/>
          <w:color w:val="000000" w:themeColor="text1"/>
        </w:rPr>
        <w:t xml:space="preserve"> with 8 female and 8 male sockets.</w:t>
      </w:r>
    </w:p>
    <w:p w:rsidR="00BB1D81" w:rsidRPr="00915F6E" w:rsidRDefault="00FD7950" w:rsidP="00E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  <w:color w:val="auto"/>
        </w:rPr>
      </w:pPr>
      <w:r>
        <w:rPr>
          <w:rFonts w:ascii="Gill Sans MT" w:hAnsi="Gill Sans MT"/>
        </w:rPr>
        <w:t>All for</w:t>
      </w:r>
      <w:r w:rsidR="00A409D2">
        <w:rPr>
          <w:rFonts w:ascii="Gill Sans MT" w:hAnsi="Gill Sans MT"/>
        </w:rPr>
        <w:t xml:space="preserve"> DTOX units are </w:t>
      </w:r>
      <w:r>
        <w:rPr>
          <w:rFonts w:ascii="Gill Sans MT" w:hAnsi="Gill Sans MT"/>
        </w:rPr>
        <w:t>available for</w:t>
      </w:r>
      <w:bookmarkStart w:id="1" w:name="_GoBack"/>
      <w:bookmarkEnd w:id="1"/>
      <w:r>
        <w:rPr>
          <w:rFonts w:ascii="Gill Sans MT" w:hAnsi="Gill Sans MT"/>
        </w:rPr>
        <w:t xml:space="preserve"> $399 MAP.</w:t>
      </w:r>
    </w:p>
    <w:p w:rsidR="0041228E" w:rsidRPr="00915F6E" w:rsidRDefault="006B23F8" w:rsidP="0041228E">
      <w:pPr>
        <w:pStyle w:val="Normal1"/>
        <w:shd w:val="clear" w:color="auto" w:fill="FFFFFF"/>
        <w:spacing w:line="336" w:lineRule="auto"/>
        <w:rPr>
          <w:rFonts w:ascii="Gill Sans MT" w:eastAsia="Arial Unicode MS" w:hAnsi="Gill Sans MT" w:cs="Arial Unicode MS"/>
          <w:color w:val="0000FF"/>
          <w:u w:val="single"/>
        </w:rPr>
      </w:pPr>
      <w:r w:rsidRPr="00915F6E">
        <w:rPr>
          <w:rFonts w:ascii="Gill Sans MT" w:eastAsia="Arial Unicode MS" w:hAnsi="Gill Sans MT" w:cs="Arial Unicode MS"/>
        </w:rPr>
        <w:t xml:space="preserve">For more information on RME, visit </w:t>
      </w:r>
      <w:hyperlink r:id="rId8">
        <w:r w:rsidRPr="00915F6E">
          <w:rPr>
            <w:rFonts w:ascii="Gill Sans MT" w:eastAsia="Arial Unicode MS" w:hAnsi="Gill Sans MT" w:cs="Arial Unicode MS"/>
            <w:color w:val="0000FF"/>
            <w:u w:val="single"/>
          </w:rPr>
          <w:t>http://www.rme-usa.com/</w:t>
        </w:r>
      </w:hyperlink>
    </w:p>
    <w:p w:rsidR="00D82A54" w:rsidRPr="00915F6E" w:rsidRDefault="006B23F8">
      <w:pPr>
        <w:pStyle w:val="Normal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  <w:b/>
        </w:rPr>
        <w:t>About Synthax, Incorporated</w:t>
      </w:r>
      <w:r w:rsidRPr="00915F6E">
        <w:rPr>
          <w:rFonts w:ascii="Gill Sans MT" w:eastAsia="Arial Unicode MS" w:hAnsi="Gill Sans MT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9" w:history="1">
        <w:r w:rsidR="006236B9" w:rsidRPr="00915F6E">
          <w:rPr>
            <w:rStyle w:val="Hyperlink"/>
            <w:rFonts w:ascii="Gill Sans MT" w:eastAsia="Arial Unicode MS" w:hAnsi="Gill Sans MT" w:cs="Arial Unicode MS"/>
          </w:rPr>
          <w:t>http://www.synthax.com</w:t>
        </w:r>
      </w:hyperlink>
      <w:r w:rsidRPr="00915F6E">
        <w:rPr>
          <w:rFonts w:ascii="Gill Sans MT" w:eastAsia="Arial Unicode MS" w:hAnsi="Gill Sans MT" w:cs="Arial Unicode MS"/>
        </w:rPr>
        <w:t>.</w:t>
      </w:r>
    </w:p>
    <w:p w:rsidR="00D82A54" w:rsidRPr="00915F6E" w:rsidRDefault="00D82A54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</w:p>
    <w:p w:rsidR="001E05E3" w:rsidRPr="00915F6E" w:rsidRDefault="005845FA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  <w:r w:rsidRPr="00915F6E">
        <w:rPr>
          <w:rFonts w:ascii="Gill Sans MT" w:eastAsia="Arial Unicode MS" w:hAnsi="Gill Sans MT" w:cs="Arial Unicode MS"/>
          <w:b/>
        </w:rPr>
        <w:t>Media C</w:t>
      </w:r>
      <w:r w:rsidR="006B23F8" w:rsidRPr="00915F6E">
        <w:rPr>
          <w:rFonts w:ascii="Gill Sans MT" w:eastAsia="Arial Unicode MS" w:hAnsi="Gill Sans MT" w:cs="Arial Unicode MS"/>
          <w:b/>
        </w:rPr>
        <w:t>ontact</w:t>
      </w:r>
      <w:r w:rsidRPr="00915F6E">
        <w:rPr>
          <w:rFonts w:ascii="Gill Sans MT" w:eastAsia="Arial Unicode MS" w:hAnsi="Gill Sans MT" w:cs="Arial Unicode MS"/>
          <w:b/>
        </w:rPr>
        <w:t>s:</w:t>
      </w:r>
    </w:p>
    <w:p w:rsidR="001E05E3" w:rsidRPr="00915F6E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Katie Kailus</w:t>
      </w:r>
    </w:p>
    <w:p w:rsidR="001E05E3" w:rsidRPr="00915F6E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Public Relations</w:t>
      </w:r>
    </w:p>
    <w:p w:rsidR="001E05E3" w:rsidRPr="00915F6E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Hummingbird Media</w:t>
      </w:r>
    </w:p>
    <w:p w:rsidR="001E05E3" w:rsidRPr="00915F6E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+1 (630) 319-5226</w:t>
      </w:r>
    </w:p>
    <w:p w:rsidR="001E05E3" w:rsidRPr="00915F6E" w:rsidRDefault="00BC2718" w:rsidP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0">
        <w:r w:rsidR="001E05E3" w:rsidRPr="00915F6E">
          <w:rPr>
            <w:rFonts w:ascii="Gill Sans MT" w:eastAsia="Arial Unicode MS" w:hAnsi="Gill Sans MT" w:cs="Arial Unicode MS"/>
            <w:color w:val="0000FF"/>
            <w:u w:val="single"/>
          </w:rPr>
          <w:t>katie@hummingbirdmedia.com</w:t>
        </w:r>
      </w:hyperlink>
    </w:p>
    <w:p w:rsidR="001E05E3" w:rsidRPr="00915F6E" w:rsidRDefault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p w:rsidR="00D82A54" w:rsidRPr="00915F6E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Jeff Touzeau</w:t>
      </w:r>
    </w:p>
    <w:p w:rsidR="00D82A54" w:rsidRPr="00915F6E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Public Relations</w:t>
      </w:r>
    </w:p>
    <w:p w:rsidR="00D82A54" w:rsidRPr="00915F6E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Hummingbird Media</w:t>
      </w:r>
    </w:p>
    <w:p w:rsidR="00D82A54" w:rsidRPr="00915F6E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15F6E">
        <w:rPr>
          <w:rFonts w:ascii="Gill Sans MT" w:eastAsia="Arial Unicode MS" w:hAnsi="Gill Sans MT" w:cs="Arial Unicode MS"/>
        </w:rPr>
        <w:t>+1 (914) 602 2913</w:t>
      </w:r>
    </w:p>
    <w:p w:rsidR="00D82A54" w:rsidRPr="00915F6E" w:rsidRDefault="00BC2718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1">
        <w:r w:rsidR="006B23F8" w:rsidRPr="00915F6E">
          <w:rPr>
            <w:rFonts w:ascii="Gill Sans MT" w:eastAsia="Arial Unicode MS" w:hAnsi="Gill Sans MT" w:cs="Arial Unicode MS"/>
            <w:color w:val="0000FF"/>
            <w:u w:val="single"/>
          </w:rPr>
          <w:t>jeff@hummingbirdmedia.com</w:t>
        </w:r>
      </w:hyperlink>
    </w:p>
    <w:p w:rsidR="00D82A54" w:rsidRPr="00915F6E" w:rsidRDefault="00D82A54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sectPr w:rsidR="00D82A54" w:rsidRPr="00915F6E" w:rsidSect="00C87F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18" w:rsidRDefault="00BC2718">
      <w:pPr>
        <w:spacing w:after="0"/>
      </w:pPr>
      <w:r>
        <w:separator/>
      </w:r>
    </w:p>
  </w:endnote>
  <w:endnote w:type="continuationSeparator" w:id="0">
    <w:p w:rsidR="00BC2718" w:rsidRDefault="00BC2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18" w:rsidRDefault="00BC2718">
      <w:pPr>
        <w:spacing w:after="0"/>
      </w:pPr>
      <w:r>
        <w:separator/>
      </w:r>
    </w:p>
  </w:footnote>
  <w:footnote w:type="continuationSeparator" w:id="0">
    <w:p w:rsidR="00BC2718" w:rsidRDefault="00BC27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8" w:rsidRDefault="006B23F8">
    <w:pPr>
      <w:pStyle w:val="Normal1"/>
    </w:pPr>
    <w:r>
      <w:rPr>
        <w:noProof/>
      </w:rPr>
      <w:drawing>
        <wp:inline distT="0" distB="0" distL="0" distR="0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</w:t>
    </w:r>
    <w:r w:rsidR="00C3785D">
      <w:rPr>
        <w:b/>
      </w:rPr>
      <w:t xml:space="preserve">                                </w:t>
    </w:r>
    <w:r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54"/>
    <w:rsid w:val="00045F58"/>
    <w:rsid w:val="00074EF5"/>
    <w:rsid w:val="000F0343"/>
    <w:rsid w:val="00151458"/>
    <w:rsid w:val="00151E87"/>
    <w:rsid w:val="00177C14"/>
    <w:rsid w:val="00181346"/>
    <w:rsid w:val="001A0C4E"/>
    <w:rsid w:val="001C56CD"/>
    <w:rsid w:val="001D0ED9"/>
    <w:rsid w:val="001D6DAE"/>
    <w:rsid w:val="001E05E3"/>
    <w:rsid w:val="001E5534"/>
    <w:rsid w:val="001F39A9"/>
    <w:rsid w:val="00212E9C"/>
    <w:rsid w:val="00265BCE"/>
    <w:rsid w:val="00273938"/>
    <w:rsid w:val="00296810"/>
    <w:rsid w:val="00297A9D"/>
    <w:rsid w:val="002A7251"/>
    <w:rsid w:val="002B70D9"/>
    <w:rsid w:val="002B7F16"/>
    <w:rsid w:val="002C50B8"/>
    <w:rsid w:val="002E176B"/>
    <w:rsid w:val="002E3911"/>
    <w:rsid w:val="00382251"/>
    <w:rsid w:val="003964E0"/>
    <w:rsid w:val="003C38D8"/>
    <w:rsid w:val="0041228E"/>
    <w:rsid w:val="00412DC3"/>
    <w:rsid w:val="004462C2"/>
    <w:rsid w:val="004535AB"/>
    <w:rsid w:val="0047769F"/>
    <w:rsid w:val="00481157"/>
    <w:rsid w:val="00490BD0"/>
    <w:rsid w:val="004C49F8"/>
    <w:rsid w:val="005212AE"/>
    <w:rsid w:val="00551F7D"/>
    <w:rsid w:val="0057756C"/>
    <w:rsid w:val="005845FA"/>
    <w:rsid w:val="0059083A"/>
    <w:rsid w:val="005E1E98"/>
    <w:rsid w:val="006236B9"/>
    <w:rsid w:val="006273F0"/>
    <w:rsid w:val="00660ECE"/>
    <w:rsid w:val="00661EC3"/>
    <w:rsid w:val="00687A49"/>
    <w:rsid w:val="0069201F"/>
    <w:rsid w:val="00697388"/>
    <w:rsid w:val="006A13AB"/>
    <w:rsid w:val="006B1F16"/>
    <w:rsid w:val="006B23F8"/>
    <w:rsid w:val="00713810"/>
    <w:rsid w:val="0079767C"/>
    <w:rsid w:val="00805AE8"/>
    <w:rsid w:val="00813BA9"/>
    <w:rsid w:val="0081786D"/>
    <w:rsid w:val="008452DA"/>
    <w:rsid w:val="008A74E0"/>
    <w:rsid w:val="008B13F2"/>
    <w:rsid w:val="0091332F"/>
    <w:rsid w:val="00915F6E"/>
    <w:rsid w:val="00930838"/>
    <w:rsid w:val="009958B6"/>
    <w:rsid w:val="009B7415"/>
    <w:rsid w:val="009F1C0F"/>
    <w:rsid w:val="00A11730"/>
    <w:rsid w:val="00A24FE4"/>
    <w:rsid w:val="00A409D2"/>
    <w:rsid w:val="00B1726F"/>
    <w:rsid w:val="00B1753E"/>
    <w:rsid w:val="00BA10D7"/>
    <w:rsid w:val="00BA1607"/>
    <w:rsid w:val="00BA46A6"/>
    <w:rsid w:val="00BB1D81"/>
    <w:rsid w:val="00BC2714"/>
    <w:rsid w:val="00BC2718"/>
    <w:rsid w:val="00BE7489"/>
    <w:rsid w:val="00BF14AC"/>
    <w:rsid w:val="00C3785D"/>
    <w:rsid w:val="00C402FA"/>
    <w:rsid w:val="00C43F70"/>
    <w:rsid w:val="00C71E61"/>
    <w:rsid w:val="00C76978"/>
    <w:rsid w:val="00C87D02"/>
    <w:rsid w:val="00C87FA7"/>
    <w:rsid w:val="00CA5FF6"/>
    <w:rsid w:val="00CD293E"/>
    <w:rsid w:val="00CD3EA5"/>
    <w:rsid w:val="00CF771D"/>
    <w:rsid w:val="00CF7784"/>
    <w:rsid w:val="00D24FD5"/>
    <w:rsid w:val="00D25469"/>
    <w:rsid w:val="00D27296"/>
    <w:rsid w:val="00D27FAE"/>
    <w:rsid w:val="00D302DC"/>
    <w:rsid w:val="00D639A1"/>
    <w:rsid w:val="00D64771"/>
    <w:rsid w:val="00D82A54"/>
    <w:rsid w:val="00D857FC"/>
    <w:rsid w:val="00D96826"/>
    <w:rsid w:val="00DD1222"/>
    <w:rsid w:val="00DD3D3D"/>
    <w:rsid w:val="00DF23E8"/>
    <w:rsid w:val="00DF5163"/>
    <w:rsid w:val="00E03552"/>
    <w:rsid w:val="00E037D8"/>
    <w:rsid w:val="00E06C4E"/>
    <w:rsid w:val="00E42E7A"/>
    <w:rsid w:val="00E66D28"/>
    <w:rsid w:val="00EB0915"/>
    <w:rsid w:val="00EB0CA0"/>
    <w:rsid w:val="00EF78EB"/>
    <w:rsid w:val="00F06FEE"/>
    <w:rsid w:val="00F315C2"/>
    <w:rsid w:val="00F32F8F"/>
    <w:rsid w:val="00F35266"/>
    <w:rsid w:val="00F4431D"/>
    <w:rsid w:val="00F501DA"/>
    <w:rsid w:val="00F54440"/>
    <w:rsid w:val="00F70726"/>
    <w:rsid w:val="00F708D8"/>
    <w:rsid w:val="00F8574E"/>
    <w:rsid w:val="00F859D3"/>
    <w:rsid w:val="00F97385"/>
    <w:rsid w:val="00FB0808"/>
    <w:rsid w:val="00FD7950"/>
    <w:rsid w:val="00FF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7F54B"/>
  <w15:docId w15:val="{3E4451E6-087E-784C-95E0-C64607E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rsid w:val="00C87F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87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87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87F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87F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87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7FA7"/>
  </w:style>
  <w:style w:type="paragraph" w:styleId="Title">
    <w:name w:val="Title"/>
    <w:basedOn w:val="Normal1"/>
    <w:next w:val="Normal1"/>
    <w:rsid w:val="00C87F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87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  <w:style w:type="character" w:customStyle="1" w:styleId="m2812628963362724073gmail-normaltextrun">
    <w:name w:val="m_2812628963362724073gmail-normaltextrun"/>
    <w:basedOn w:val="DefaultParagraphFont"/>
    <w:rsid w:val="00FF14FF"/>
  </w:style>
  <w:style w:type="character" w:styleId="UnresolvedMention">
    <w:name w:val="Unresolved Mention"/>
    <w:basedOn w:val="DefaultParagraphFont"/>
    <w:uiPriority w:val="99"/>
    <w:semiHidden/>
    <w:unhideWhenUsed/>
    <w:rsid w:val="006236B9"/>
    <w:rPr>
      <w:color w:val="808080"/>
      <w:shd w:val="clear" w:color="auto" w:fill="E6E6E6"/>
    </w:rPr>
  </w:style>
  <w:style w:type="paragraph" w:customStyle="1" w:styleId="m2812628963362724073gmail-paragraph">
    <w:name w:val="m_2812628963362724073gmail-paragraph"/>
    <w:basedOn w:val="Normal"/>
    <w:rsid w:val="00623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me-usa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83</cp:revision>
  <dcterms:created xsi:type="dcterms:W3CDTF">2018-04-03T18:30:00Z</dcterms:created>
  <dcterms:modified xsi:type="dcterms:W3CDTF">2018-10-09T16:40:00Z</dcterms:modified>
</cp:coreProperties>
</file>