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040C2" w14:textId="7E273B86" w:rsidR="002C2BF9" w:rsidRDefault="002C2BF9" w:rsidP="002C2BF9">
      <w:pPr>
        <w:rPr>
          <w:rFonts w:asciiTheme="majorHAnsi" w:eastAsiaTheme="majorEastAsia" w:hAnsiTheme="majorHAnsi" w:cstheme="majorBidi"/>
          <w:color w:val="2F5496" w:themeColor="accent1" w:themeShade="BF"/>
          <w:sz w:val="40"/>
          <w:szCs w:val="40"/>
        </w:rPr>
      </w:pPr>
      <w:r w:rsidRPr="00FA2F67">
        <w:rPr>
          <w:rFonts w:asciiTheme="majorHAnsi" w:eastAsiaTheme="majorEastAsia" w:hAnsiTheme="majorHAnsi" w:cstheme="majorBidi"/>
          <w:color w:val="2F5496" w:themeColor="accent1" w:themeShade="BF"/>
          <w:sz w:val="40"/>
          <w:szCs w:val="40"/>
        </w:rPr>
        <w:t xml:space="preserve">Lubrizol announces an important milestone for its novel </w:t>
      </w:r>
      <w:r w:rsidR="00E600F3">
        <w:rPr>
          <w:rFonts w:asciiTheme="majorHAnsi" w:eastAsiaTheme="majorEastAsia" w:hAnsiTheme="majorHAnsi" w:cstheme="majorBidi"/>
          <w:color w:val="2F5496" w:themeColor="accent1" w:themeShade="BF"/>
          <w:sz w:val="40"/>
          <w:szCs w:val="40"/>
        </w:rPr>
        <w:t>p</w:t>
      </w:r>
      <w:r w:rsidRPr="00FA2F67">
        <w:rPr>
          <w:rFonts w:asciiTheme="majorHAnsi" w:eastAsiaTheme="majorEastAsia" w:hAnsiTheme="majorHAnsi" w:cstheme="majorBidi"/>
          <w:color w:val="2F5496" w:themeColor="accent1" w:themeShade="BF"/>
          <w:sz w:val="40"/>
          <w:szCs w:val="40"/>
        </w:rPr>
        <w:t>atented excipient</w:t>
      </w:r>
      <w:r>
        <w:rPr>
          <w:rFonts w:asciiTheme="majorHAnsi" w:eastAsiaTheme="majorEastAsia" w:hAnsiTheme="majorHAnsi" w:cstheme="majorBidi"/>
          <w:color w:val="2F5496" w:themeColor="accent1" w:themeShade="BF"/>
          <w:sz w:val="40"/>
          <w:szCs w:val="40"/>
        </w:rPr>
        <w:t>,</w:t>
      </w:r>
      <w:r w:rsidRPr="00FA2F67">
        <w:rPr>
          <w:rFonts w:asciiTheme="majorHAnsi" w:eastAsiaTheme="majorEastAsia" w:hAnsiTheme="majorHAnsi" w:cstheme="majorBidi"/>
          <w:color w:val="2F5496" w:themeColor="accent1" w:themeShade="BF"/>
          <w:sz w:val="40"/>
          <w:szCs w:val="40"/>
        </w:rPr>
        <w:t xml:space="preserve"> Apisolex™ polymer</w:t>
      </w:r>
    </w:p>
    <w:p w14:paraId="1BB108CD" w14:textId="77777777" w:rsidR="002C2BF9" w:rsidRPr="009E6BEF" w:rsidRDefault="002C2BF9" w:rsidP="002C2BF9"/>
    <w:p w14:paraId="489E7985" w14:textId="63585310" w:rsidR="001E4CE8" w:rsidRDefault="6C89784D" w:rsidP="00C15B5B">
      <w:pPr>
        <w:spacing w:before="120" w:after="240"/>
        <w:rPr>
          <w:rFonts w:ascii="Noto Sans" w:hAnsi="Noto Sans" w:cs="Noto Sans"/>
          <w:sz w:val="22"/>
          <w:szCs w:val="22"/>
        </w:rPr>
      </w:pPr>
      <w:r w:rsidRPr="1D39F7CC">
        <w:rPr>
          <w:rFonts w:ascii="Noto Sans" w:hAnsi="Noto Sans" w:cs="Noto Sans"/>
          <w:sz w:val="22"/>
          <w:szCs w:val="22"/>
        </w:rPr>
        <w:t xml:space="preserve">June </w:t>
      </w:r>
      <w:r w:rsidR="00635733">
        <w:rPr>
          <w:rFonts w:ascii="Noto Sans" w:hAnsi="Noto Sans" w:cs="Noto Sans"/>
          <w:sz w:val="22"/>
          <w:szCs w:val="22"/>
        </w:rPr>
        <w:t>10</w:t>
      </w:r>
      <w:r w:rsidRPr="1D39F7CC">
        <w:rPr>
          <w:rFonts w:ascii="Noto Sans" w:hAnsi="Noto Sans" w:cs="Noto Sans"/>
          <w:sz w:val="22"/>
          <w:szCs w:val="22"/>
        </w:rPr>
        <w:t>, 2025 - Lubrizol announce</w:t>
      </w:r>
      <w:r w:rsidR="00D03A03">
        <w:rPr>
          <w:rFonts w:ascii="Noto Sans" w:hAnsi="Noto Sans" w:cs="Noto Sans"/>
          <w:sz w:val="22"/>
          <w:szCs w:val="22"/>
        </w:rPr>
        <w:t xml:space="preserve">s </w:t>
      </w:r>
      <w:r w:rsidRPr="1D39F7CC">
        <w:rPr>
          <w:rFonts w:ascii="Noto Sans" w:hAnsi="Noto Sans" w:cs="Noto Sans"/>
          <w:sz w:val="22"/>
          <w:szCs w:val="22"/>
        </w:rPr>
        <w:t>that an Apisolex™ polymer</w:t>
      </w:r>
      <w:r w:rsidR="00C15B5B">
        <w:rPr>
          <w:rFonts w:ascii="Noto Sans" w:hAnsi="Noto Sans" w:cs="Noto Sans"/>
          <w:sz w:val="22"/>
          <w:szCs w:val="22"/>
        </w:rPr>
        <w:t xml:space="preserve"> excipient</w:t>
      </w:r>
      <w:r w:rsidRPr="1D39F7CC">
        <w:rPr>
          <w:rFonts w:ascii="Noto Sans" w:hAnsi="Noto Sans" w:cs="Noto Sans"/>
          <w:sz w:val="22"/>
          <w:szCs w:val="22"/>
        </w:rPr>
        <w:t xml:space="preserve">-enabled </w:t>
      </w:r>
      <w:r w:rsidR="00FE5F6E">
        <w:rPr>
          <w:rFonts w:ascii="Noto Sans" w:hAnsi="Noto Sans" w:cs="Noto Sans"/>
          <w:sz w:val="22"/>
          <w:szCs w:val="22"/>
        </w:rPr>
        <w:t>drug</w:t>
      </w:r>
      <w:r w:rsidR="00FE5F6E" w:rsidRPr="1D39F7CC">
        <w:rPr>
          <w:rFonts w:ascii="Noto Sans" w:hAnsi="Noto Sans" w:cs="Noto Sans"/>
          <w:sz w:val="22"/>
          <w:szCs w:val="22"/>
        </w:rPr>
        <w:t xml:space="preserve"> </w:t>
      </w:r>
      <w:r w:rsidRPr="1D39F7CC">
        <w:rPr>
          <w:rFonts w:ascii="Noto Sans" w:hAnsi="Noto Sans" w:cs="Noto Sans"/>
          <w:sz w:val="22"/>
          <w:szCs w:val="22"/>
        </w:rPr>
        <w:t xml:space="preserve">formulation is in Phase 1 clinical trials. </w:t>
      </w:r>
    </w:p>
    <w:p w14:paraId="4F4E3021" w14:textId="0350CCD2" w:rsidR="00C15B5B" w:rsidRDefault="6C89784D" w:rsidP="00C15B5B">
      <w:pPr>
        <w:spacing w:before="120" w:after="240"/>
        <w:rPr>
          <w:rFonts w:ascii="Noto Sans" w:hAnsi="Noto Sans" w:cs="Noto Sans"/>
          <w:sz w:val="22"/>
          <w:szCs w:val="22"/>
        </w:rPr>
      </w:pPr>
      <w:r w:rsidRPr="1D39F7CC">
        <w:rPr>
          <w:rFonts w:ascii="Noto Sans" w:hAnsi="Noto Sans" w:cs="Noto Sans"/>
          <w:sz w:val="22"/>
          <w:szCs w:val="22"/>
        </w:rPr>
        <w:t>Introduced to the market in 2022</w:t>
      </w:r>
      <w:r w:rsidR="00E068EC">
        <w:rPr>
          <w:rFonts w:ascii="Noto Sans" w:hAnsi="Noto Sans" w:cs="Noto Sans"/>
          <w:sz w:val="22"/>
          <w:szCs w:val="22"/>
        </w:rPr>
        <w:t xml:space="preserve">, Apisolex polymer </w:t>
      </w:r>
      <w:r w:rsidR="00573566">
        <w:rPr>
          <w:rFonts w:ascii="Noto Sans" w:hAnsi="Noto Sans" w:cs="Noto Sans"/>
          <w:sz w:val="22"/>
          <w:szCs w:val="22"/>
        </w:rPr>
        <w:t xml:space="preserve">excipient </w:t>
      </w:r>
      <w:r w:rsidR="00E068EC">
        <w:rPr>
          <w:rFonts w:ascii="Noto Sans" w:hAnsi="Noto Sans" w:cs="Noto Sans"/>
          <w:sz w:val="22"/>
          <w:szCs w:val="22"/>
        </w:rPr>
        <w:t xml:space="preserve">is </w:t>
      </w:r>
      <w:r w:rsidR="00501D5C">
        <w:rPr>
          <w:rFonts w:ascii="Noto Sans" w:hAnsi="Noto Sans" w:cs="Noto Sans"/>
          <w:sz w:val="22"/>
          <w:szCs w:val="22"/>
        </w:rPr>
        <w:t xml:space="preserve">a </w:t>
      </w:r>
      <w:r w:rsidR="00434835" w:rsidRPr="1D39F7CC">
        <w:rPr>
          <w:rFonts w:ascii="Noto Sans" w:hAnsi="Noto Sans" w:cs="Noto Sans"/>
          <w:sz w:val="22"/>
          <w:szCs w:val="22"/>
        </w:rPr>
        <w:t xml:space="preserve">polyamino acid-based </w:t>
      </w:r>
      <w:r w:rsidR="00241D70">
        <w:rPr>
          <w:rFonts w:ascii="Noto Sans" w:hAnsi="Noto Sans" w:cs="Noto Sans"/>
          <w:sz w:val="22"/>
          <w:szCs w:val="22"/>
        </w:rPr>
        <w:t>polymer that</w:t>
      </w:r>
      <w:r w:rsidR="00434835">
        <w:rPr>
          <w:rFonts w:ascii="Noto Sans" w:hAnsi="Noto Sans" w:cs="Noto Sans"/>
          <w:sz w:val="22"/>
          <w:szCs w:val="22"/>
        </w:rPr>
        <w:t xml:space="preserve"> </w:t>
      </w:r>
      <w:r w:rsidRPr="1D39F7CC">
        <w:rPr>
          <w:rFonts w:ascii="Noto Sans" w:hAnsi="Noto Sans" w:cs="Noto Sans"/>
          <w:sz w:val="22"/>
          <w:szCs w:val="22"/>
        </w:rPr>
        <w:t>enhances the solubility of BCS Class II and IV active pharmaceutical ingredients (API)</w:t>
      </w:r>
      <w:r w:rsidR="00745BCE" w:rsidRPr="1D39F7CC">
        <w:rPr>
          <w:rFonts w:ascii="Noto Sans" w:hAnsi="Noto Sans" w:cs="Noto Sans"/>
          <w:sz w:val="22"/>
          <w:szCs w:val="22"/>
        </w:rPr>
        <w:t xml:space="preserve">. </w:t>
      </w:r>
      <w:r w:rsidR="00CD1786" w:rsidRPr="1D39F7CC">
        <w:rPr>
          <w:rFonts w:ascii="Noto Sans" w:hAnsi="Noto Sans" w:cs="Noto Sans"/>
          <w:sz w:val="22"/>
          <w:szCs w:val="22"/>
        </w:rPr>
        <w:t>Apisolex</w:t>
      </w:r>
      <w:r w:rsidR="00C15B5B">
        <w:rPr>
          <w:rFonts w:ascii="Noto Sans" w:hAnsi="Noto Sans" w:cs="Noto Sans"/>
          <w:sz w:val="22"/>
          <w:szCs w:val="22"/>
        </w:rPr>
        <w:t xml:space="preserve"> polymer</w:t>
      </w:r>
      <w:r w:rsidR="00A12525">
        <w:rPr>
          <w:rFonts w:ascii="Noto Sans" w:hAnsi="Noto Sans" w:cs="Noto Sans"/>
          <w:sz w:val="22"/>
          <w:szCs w:val="22"/>
        </w:rPr>
        <w:t xml:space="preserve"> excipient</w:t>
      </w:r>
      <w:r w:rsidR="00C15B5B">
        <w:rPr>
          <w:rFonts w:ascii="Noto Sans" w:hAnsi="Noto Sans" w:cs="Noto Sans"/>
          <w:sz w:val="22"/>
          <w:szCs w:val="22"/>
        </w:rPr>
        <w:t xml:space="preserve"> </w:t>
      </w:r>
      <w:r w:rsidR="00CD1786">
        <w:rPr>
          <w:rFonts w:ascii="Noto Sans" w:hAnsi="Noto Sans" w:cs="Noto Sans"/>
          <w:sz w:val="22"/>
          <w:szCs w:val="22"/>
        </w:rPr>
        <w:t xml:space="preserve">is manufactured following Good Manufacturing </w:t>
      </w:r>
      <w:r w:rsidR="00721D30">
        <w:rPr>
          <w:rFonts w:ascii="Noto Sans" w:hAnsi="Noto Sans" w:cs="Noto Sans"/>
          <w:sz w:val="22"/>
          <w:szCs w:val="22"/>
        </w:rPr>
        <w:t>Practices</w:t>
      </w:r>
      <w:r w:rsidR="00CD1786">
        <w:rPr>
          <w:rFonts w:ascii="Noto Sans" w:hAnsi="Noto Sans" w:cs="Noto Sans"/>
          <w:sz w:val="22"/>
          <w:szCs w:val="22"/>
        </w:rPr>
        <w:t xml:space="preserve"> (GMP)</w:t>
      </w:r>
      <w:r w:rsidR="00B045CF">
        <w:rPr>
          <w:rFonts w:ascii="Noto Sans" w:hAnsi="Noto Sans" w:cs="Noto Sans"/>
          <w:sz w:val="22"/>
          <w:szCs w:val="22"/>
        </w:rPr>
        <w:t xml:space="preserve"> guidelines and can be used in dosage forms for various routes of </w:t>
      </w:r>
      <w:r w:rsidR="00C232DA">
        <w:rPr>
          <w:rFonts w:ascii="Noto Sans" w:hAnsi="Noto Sans" w:cs="Noto Sans"/>
          <w:sz w:val="22"/>
          <w:szCs w:val="22"/>
        </w:rPr>
        <w:t>administration,</w:t>
      </w:r>
      <w:r w:rsidR="00B045CF">
        <w:rPr>
          <w:rFonts w:ascii="Noto Sans" w:hAnsi="Noto Sans" w:cs="Noto Sans"/>
          <w:sz w:val="22"/>
          <w:szCs w:val="22"/>
        </w:rPr>
        <w:t xml:space="preserve"> including parenteral. </w:t>
      </w:r>
    </w:p>
    <w:p w14:paraId="47487AF9" w14:textId="69526196" w:rsidR="00C15B5B" w:rsidRPr="00581B81" w:rsidRDefault="521B9C84" w:rsidP="00C15B5B">
      <w:pPr>
        <w:spacing w:before="120" w:after="240"/>
        <w:rPr>
          <w:rFonts w:ascii="Noto Sans" w:hAnsi="Noto Sans" w:cs="Noto Sans"/>
          <w:sz w:val="22"/>
          <w:szCs w:val="22"/>
        </w:rPr>
      </w:pPr>
      <w:r w:rsidRPr="1D39F7CC">
        <w:rPr>
          <w:rFonts w:ascii="Noto Sans" w:hAnsi="Noto Sans" w:cs="Noto Sans"/>
          <w:sz w:val="22"/>
          <w:szCs w:val="22"/>
        </w:rPr>
        <w:t xml:space="preserve">The use of Apisolex </w:t>
      </w:r>
      <w:r w:rsidR="00C15B5B">
        <w:rPr>
          <w:rFonts w:ascii="Noto Sans" w:hAnsi="Noto Sans" w:cs="Noto Sans"/>
          <w:sz w:val="22"/>
          <w:szCs w:val="22"/>
        </w:rPr>
        <w:t xml:space="preserve">polymer </w:t>
      </w:r>
      <w:r w:rsidR="00A12525">
        <w:rPr>
          <w:rFonts w:ascii="Noto Sans" w:hAnsi="Noto Sans" w:cs="Noto Sans"/>
          <w:sz w:val="22"/>
          <w:szCs w:val="22"/>
        </w:rPr>
        <w:t xml:space="preserve">excipient </w:t>
      </w:r>
      <w:r w:rsidRPr="1D39F7CC">
        <w:rPr>
          <w:rFonts w:ascii="Noto Sans" w:hAnsi="Noto Sans" w:cs="Noto Sans"/>
          <w:sz w:val="22"/>
          <w:szCs w:val="22"/>
        </w:rPr>
        <w:t xml:space="preserve">has been proven to increase the solubility of </w:t>
      </w:r>
      <w:r w:rsidR="078B5CE8" w:rsidRPr="59FD85E8">
        <w:rPr>
          <w:rFonts w:ascii="Noto Sans" w:hAnsi="Noto Sans" w:cs="Noto Sans"/>
          <w:sz w:val="22"/>
          <w:szCs w:val="22"/>
        </w:rPr>
        <w:t xml:space="preserve">certain </w:t>
      </w:r>
      <w:r w:rsidRPr="59FD85E8">
        <w:rPr>
          <w:rFonts w:ascii="Noto Sans" w:hAnsi="Noto Sans" w:cs="Noto Sans"/>
          <w:sz w:val="22"/>
          <w:szCs w:val="22"/>
        </w:rPr>
        <w:t>APIs</w:t>
      </w:r>
      <w:r w:rsidRPr="1D39F7CC">
        <w:rPr>
          <w:rFonts w:ascii="Noto Sans" w:hAnsi="Noto Sans" w:cs="Noto Sans"/>
          <w:sz w:val="22"/>
          <w:szCs w:val="22"/>
        </w:rPr>
        <w:t xml:space="preserve"> by as much as 50,000-fold. Apisolex polymer </w:t>
      </w:r>
      <w:r w:rsidR="00A12525">
        <w:rPr>
          <w:rFonts w:ascii="Noto Sans" w:hAnsi="Noto Sans" w:cs="Noto Sans"/>
          <w:sz w:val="22"/>
          <w:szCs w:val="22"/>
        </w:rPr>
        <w:t xml:space="preserve">excipient </w:t>
      </w:r>
      <w:r w:rsidRPr="1D39F7CC">
        <w:rPr>
          <w:rFonts w:ascii="Noto Sans" w:hAnsi="Noto Sans" w:cs="Noto Sans"/>
          <w:sz w:val="22"/>
          <w:szCs w:val="22"/>
        </w:rPr>
        <w:t>is currently being evaluated in multiple programs across the globe, enabling delivery of hard-to-formulate APIs from various therapeutic classes and by multiple routes.</w:t>
      </w:r>
    </w:p>
    <w:p w14:paraId="02B8E126" w14:textId="5887B3F2" w:rsidR="002C2BF9" w:rsidRPr="00581B81" w:rsidRDefault="521B9C84" w:rsidP="007B2842">
      <w:pPr>
        <w:spacing w:before="120" w:after="240"/>
        <w:rPr>
          <w:rFonts w:ascii="Noto Sans" w:hAnsi="Noto Sans" w:cs="Noto Sans"/>
          <w:sz w:val="22"/>
          <w:szCs w:val="22"/>
        </w:rPr>
      </w:pPr>
      <w:r w:rsidRPr="1D39F7CC">
        <w:rPr>
          <w:rFonts w:ascii="Noto Sans" w:hAnsi="Noto Sans" w:cs="Noto Sans"/>
          <w:sz w:val="22"/>
          <w:szCs w:val="22"/>
        </w:rPr>
        <w:t>Kevin Song, Senior Director, Global Pharmaceutical and Nutraceutical Business notes “the progression to clinical trials</w:t>
      </w:r>
      <w:r w:rsidR="00FE5F6E">
        <w:rPr>
          <w:rFonts w:ascii="Noto Sans" w:hAnsi="Noto Sans" w:cs="Noto Sans"/>
          <w:sz w:val="22"/>
          <w:szCs w:val="22"/>
        </w:rPr>
        <w:t xml:space="preserve"> of a medicinal product formulated with Apisolex</w:t>
      </w:r>
      <w:r w:rsidR="00C15B5B">
        <w:rPr>
          <w:rFonts w:ascii="Noto Sans" w:hAnsi="Noto Sans" w:cs="Noto Sans"/>
          <w:sz w:val="22"/>
          <w:szCs w:val="22"/>
        </w:rPr>
        <w:t xml:space="preserve"> polymer </w:t>
      </w:r>
      <w:r w:rsidR="00A12525">
        <w:rPr>
          <w:rFonts w:ascii="Noto Sans" w:hAnsi="Noto Sans" w:cs="Noto Sans"/>
          <w:sz w:val="22"/>
          <w:szCs w:val="22"/>
        </w:rPr>
        <w:t>excipient</w:t>
      </w:r>
      <w:r w:rsidR="009E4A0C">
        <w:rPr>
          <w:rFonts w:ascii="Noto Sans" w:hAnsi="Noto Sans" w:cs="Noto Sans"/>
          <w:sz w:val="22"/>
          <w:szCs w:val="22"/>
        </w:rPr>
        <w:t xml:space="preserve"> </w:t>
      </w:r>
      <w:r w:rsidRPr="1D39F7CC">
        <w:rPr>
          <w:rFonts w:ascii="Noto Sans" w:hAnsi="Noto Sans" w:cs="Noto Sans"/>
          <w:sz w:val="22"/>
          <w:szCs w:val="22"/>
        </w:rPr>
        <w:t xml:space="preserve">demonstrates </w:t>
      </w:r>
      <w:r w:rsidR="00721D30">
        <w:rPr>
          <w:rFonts w:ascii="Noto Sans" w:hAnsi="Noto Sans" w:cs="Noto Sans"/>
          <w:sz w:val="22"/>
          <w:szCs w:val="22"/>
        </w:rPr>
        <w:t>its ability to provide</w:t>
      </w:r>
      <w:r w:rsidRPr="1D39F7CC">
        <w:rPr>
          <w:rFonts w:ascii="Noto Sans" w:hAnsi="Noto Sans" w:cs="Noto Sans"/>
          <w:sz w:val="22"/>
          <w:szCs w:val="22"/>
        </w:rPr>
        <w:t xml:space="preserve"> differentiated solutions to solubility and bioavailability challenges in parenteral formulations.” Song adds, “Lubrizol continues to invest in expanding the reach of the Apisolex </w:t>
      </w:r>
      <w:r w:rsidR="00AA3474">
        <w:rPr>
          <w:rFonts w:ascii="Noto Sans" w:hAnsi="Noto Sans" w:cs="Noto Sans"/>
          <w:sz w:val="22"/>
          <w:szCs w:val="22"/>
        </w:rPr>
        <w:t xml:space="preserve">polymer </w:t>
      </w:r>
      <w:r w:rsidR="009E4A0C">
        <w:rPr>
          <w:rFonts w:ascii="Noto Sans" w:hAnsi="Noto Sans" w:cs="Noto Sans"/>
          <w:sz w:val="22"/>
          <w:szCs w:val="22"/>
        </w:rPr>
        <w:t xml:space="preserve">excipient </w:t>
      </w:r>
      <w:r w:rsidRPr="1D39F7CC">
        <w:rPr>
          <w:rFonts w:ascii="Noto Sans" w:hAnsi="Noto Sans" w:cs="Noto Sans"/>
          <w:sz w:val="22"/>
          <w:szCs w:val="22"/>
        </w:rPr>
        <w:t>across global markets and nurturing relationships with drug product manufacturers that are facing insoluble API challenges.”</w:t>
      </w:r>
    </w:p>
    <w:p w14:paraId="09A22ECC" w14:textId="77777777" w:rsidR="002C2BF9" w:rsidRPr="00581B81" w:rsidRDefault="521B9C84" w:rsidP="1D39F7CC">
      <w:pPr>
        <w:pStyle w:val="Heading2"/>
        <w:rPr>
          <w:rFonts w:ascii="Noto Sans" w:hAnsi="Noto Sans" w:cs="Noto Sans"/>
          <w:sz w:val="22"/>
          <w:szCs w:val="22"/>
        </w:rPr>
      </w:pPr>
      <w:r w:rsidRPr="1D39F7CC">
        <w:rPr>
          <w:rFonts w:ascii="Noto Sans" w:hAnsi="Noto Sans" w:cs="Noto Sans"/>
          <w:sz w:val="22"/>
          <w:szCs w:val="22"/>
        </w:rPr>
        <w:t>About Lubrizol</w:t>
      </w:r>
    </w:p>
    <w:p w14:paraId="2DEA003C" w14:textId="77777777" w:rsidR="002C2BF9" w:rsidRDefault="13DA9B7B" w:rsidP="1D39F7CC">
      <w:pPr>
        <w:rPr>
          <w:rFonts w:ascii="Noto Sans" w:hAnsi="Noto Sans" w:cs="Noto Sans"/>
          <w:sz w:val="22"/>
          <w:szCs w:val="22"/>
        </w:rPr>
      </w:pPr>
      <w:r w:rsidRPr="73E106B8">
        <w:rPr>
          <w:rFonts w:ascii="Noto Sans" w:hAnsi="Noto Sans" w:cs="Noto Sans"/>
          <w:sz w:val="22"/>
          <w:szCs w:val="22"/>
        </w:rPr>
        <w:t xml:space="preserve">Lubrizol, a Berkshire Hathaway company, is a science-based company whose specialty chemistry delivers sustainable solutions to advance mobility, improve well-being and enhance modern life. Every day, the innovators of Lubrizol strive to create extraordinary value for customers at the intersection of science, market needs and business success, driving discovery and creating breakthrough solutions that enhance life and make the world work better. Founded in 1928, Lubrizol has </w:t>
      </w:r>
      <w:bookmarkStart w:id="0" w:name="_Int_MwM1KD2z"/>
      <w:r w:rsidRPr="73E106B8">
        <w:rPr>
          <w:rFonts w:ascii="Noto Sans" w:hAnsi="Noto Sans" w:cs="Noto Sans"/>
          <w:sz w:val="22"/>
          <w:szCs w:val="22"/>
        </w:rPr>
        <w:t>global</w:t>
      </w:r>
      <w:bookmarkEnd w:id="0"/>
      <w:r w:rsidRPr="73E106B8">
        <w:rPr>
          <w:rFonts w:ascii="Noto Sans" w:hAnsi="Noto Sans" w:cs="Noto Sans"/>
          <w:sz w:val="22"/>
          <w:szCs w:val="22"/>
        </w:rPr>
        <w:t xml:space="preserve"> reach and local presence, with over 100 manufacturing facilities, sales and technical offices and over 7,000 employees worldwide. For more information, visit </w:t>
      </w:r>
      <w:hyperlink r:id="rId12">
        <w:r w:rsidRPr="73E106B8">
          <w:rPr>
            <w:rStyle w:val="Hyperlink"/>
            <w:rFonts w:ascii="Noto Sans" w:hAnsi="Noto Sans" w:cs="Noto Sans"/>
            <w:sz w:val="22"/>
            <w:szCs w:val="22"/>
          </w:rPr>
          <w:t>www.lubrizol.com</w:t>
        </w:r>
      </w:hyperlink>
      <w:r w:rsidRPr="73E106B8">
        <w:rPr>
          <w:rFonts w:ascii="Noto Sans" w:hAnsi="Noto Sans" w:cs="Noto Sans"/>
          <w:sz w:val="22"/>
          <w:szCs w:val="22"/>
        </w:rPr>
        <w:t>.</w:t>
      </w:r>
    </w:p>
    <w:p w14:paraId="3FA59687" w14:textId="4F3DC5BE" w:rsidR="003441CB" w:rsidRPr="002C2BF9" w:rsidRDefault="003441CB" w:rsidP="1D39F7CC">
      <w:pPr>
        <w:rPr>
          <w:sz w:val="22"/>
          <w:szCs w:val="22"/>
        </w:rPr>
      </w:pPr>
    </w:p>
    <w:sectPr w:rsidR="003441CB" w:rsidRPr="002C2BF9" w:rsidSect="00F702ED">
      <w:headerReference w:type="default" r:id="rId13"/>
      <w:footerReference w:type="even" r:id="rId14"/>
      <w:footerReference w:type="default" r:id="rId15"/>
      <w:headerReference w:type="first" r:id="rId16"/>
      <w:footerReference w:type="first" r:id="rId17"/>
      <w:pgSz w:w="12240" w:h="15840" w:code="1"/>
      <w:pgMar w:top="1987" w:right="1411" w:bottom="835" w:left="1411" w:header="374" w:footer="56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18667" w14:textId="77777777" w:rsidR="00A81F9B" w:rsidRDefault="00A81F9B">
      <w:r>
        <w:separator/>
      </w:r>
    </w:p>
  </w:endnote>
  <w:endnote w:type="continuationSeparator" w:id="0">
    <w:p w14:paraId="3422E59E" w14:textId="77777777" w:rsidR="00A81F9B" w:rsidRDefault="00A81F9B">
      <w:r>
        <w:continuationSeparator/>
      </w:r>
    </w:p>
  </w:endnote>
  <w:endnote w:type="continuationNotice" w:id="1">
    <w:p w14:paraId="6E5ACAAB" w14:textId="77777777" w:rsidR="00A81F9B" w:rsidRDefault="00A81F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Noto Sans">
    <w:charset w:val="00"/>
    <w:family w:val="swiss"/>
    <w:pitch w:val="variable"/>
    <w:sig w:usb0="E00082FF" w:usb1="400078FF" w:usb2="0000002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2DE19" w14:textId="7A15D4CD" w:rsidR="00AB21F6" w:rsidRDefault="00450E87">
    <w:pPr>
      <w:pStyle w:val="Footer"/>
    </w:pPr>
    <w:r>
      <w:rPr>
        <w:noProof/>
      </w:rPr>
      <mc:AlternateContent>
        <mc:Choice Requires="wps">
          <w:drawing>
            <wp:anchor distT="0" distB="0" distL="0" distR="0" simplePos="0" relativeHeight="251658240" behindDoc="0" locked="0" layoutInCell="1" allowOverlap="1" wp14:anchorId="3291C272" wp14:editId="1AFFF0AA">
              <wp:simplePos x="635" y="635"/>
              <wp:positionH relativeFrom="page">
                <wp:align>left</wp:align>
              </wp:positionH>
              <wp:positionV relativeFrom="page">
                <wp:align>bottom</wp:align>
              </wp:positionV>
              <wp:extent cx="1148715" cy="345440"/>
              <wp:effectExtent l="0" t="0" r="13335" b="0"/>
              <wp:wrapNone/>
              <wp:docPr id="69705976" name="Text Box 5" descr="Lubrizo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48715" cy="345440"/>
                      </a:xfrm>
                      <a:prstGeom prst="rect">
                        <a:avLst/>
                      </a:prstGeom>
                      <a:noFill/>
                      <a:ln>
                        <a:noFill/>
                      </a:ln>
                    </wps:spPr>
                    <wps:txbx>
                      <w:txbxContent>
                        <w:p w14:paraId="73CE4349" w14:textId="4AF83297" w:rsidR="00450E87" w:rsidRPr="00450E87" w:rsidRDefault="00450E87" w:rsidP="00450E87">
                          <w:pPr>
                            <w:rPr>
                              <w:rFonts w:ascii="Calibri" w:eastAsia="Calibri" w:hAnsi="Calibri" w:cs="Calibri"/>
                              <w:noProof/>
                              <w:color w:val="000000"/>
                            </w:rPr>
                          </w:pPr>
                          <w:r w:rsidRPr="00450E87">
                            <w:rPr>
                              <w:rFonts w:ascii="Calibri" w:eastAsia="Calibri" w:hAnsi="Calibri" w:cs="Calibri"/>
                              <w:noProof/>
                              <w:color w:val="000000"/>
                            </w:rPr>
                            <w:t>Lubrizol Sensitive</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v:shapetype id="_x0000_t202" coordsize="21600,21600" o:spt="202" path="m,l,21600r21600,l21600,xe" w14:anchorId="3291C272">
              <v:stroke joinstyle="miter"/>
              <v:path gradientshapeok="t" o:connecttype="rect"/>
            </v:shapetype>
            <v:shape id="Text Box 5" style="position:absolute;margin-left:0;margin-top:0;width:90.45pt;height:27.2pt;z-index:251659264;visibility:visible;mso-wrap-style:none;mso-wrap-distance-left:0;mso-wrap-distance-top:0;mso-wrap-distance-right:0;mso-wrap-distance-bottom:0;mso-position-horizontal:left;mso-position-horizontal-relative:page;mso-position-vertical:bottom;mso-position-vertical-relative:page;v-text-anchor:bottom" alt="Lubrizol Sensitive"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">
              <v:fill o:detectmouseclick="t"/>
              <v:textbox style="mso-fit-shape-to-text:t" inset="20pt,0,0,15pt">
                <w:txbxContent>
                  <w:p w:rsidRPr="00450E87" w:rsidR="00450E87" w:rsidP="00450E87" w:rsidRDefault="00450E87" w14:paraId="73CE4349" w14:textId="4AF83297">
                    <w:pPr>
                      <w:rPr>
                        <w:rFonts w:ascii="Calibri" w:hAnsi="Calibri" w:eastAsia="Calibri" w:cs="Calibri"/>
                        <w:noProof/>
                        <w:color w:val="000000"/>
                      </w:rPr>
                    </w:pPr>
                    <w:r w:rsidRPr="00450E87">
                      <w:rPr>
                        <w:rFonts w:ascii="Calibri" w:hAnsi="Calibri" w:eastAsia="Calibri" w:cs="Calibri"/>
                        <w:noProof/>
                        <w:color w:val="000000"/>
                      </w:rPr>
                      <w:t>Lubrizol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7A0FD" w14:textId="5BBF81B5" w:rsidR="00CE4AAA" w:rsidRDefault="00CE4AAA">
    <w:pPr>
      <w:pStyle w:val="Footer"/>
    </w:pPr>
  </w:p>
  <w:p w14:paraId="108B96B4" w14:textId="6542FE09" w:rsidR="00BD600C" w:rsidRDefault="00CE4AAA">
    <w:pPr>
      <w:pStyle w:val="Footer"/>
    </w:pPr>
    <w:hyperlink r:id="rId1" w:history="1">
      <w:r w:rsidRPr="00C91040">
        <w:rPr>
          <w:rStyle w:val="Hyperlink"/>
          <w:rFonts w:ascii="Noto Sans" w:hAnsi="Noto Sans" w:cs="Noto Sans"/>
          <w:sz w:val="16"/>
          <w:szCs w:val="16"/>
        </w:rPr>
        <w:t>www.Lubrizol.com</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A1A07" w14:textId="114ADFC0" w:rsidR="00CE4AAA" w:rsidRDefault="1397AC41" w:rsidP="1397AC41">
    <w:pPr>
      <w:pStyle w:val="Footer"/>
      <w:tabs>
        <w:tab w:val="clear" w:pos="4320"/>
        <w:tab w:val="clear" w:pos="8640"/>
        <w:tab w:val="left" w:pos="6300"/>
      </w:tabs>
      <w:rPr>
        <w:rFonts w:ascii="Noto Sans" w:hAnsi="Noto Sans" w:cs="Noto Sans"/>
        <w:sz w:val="24"/>
        <w:szCs w:val="24"/>
      </w:rPr>
    </w:pPr>
    <w:r w:rsidRPr="1397AC41">
      <w:rPr>
        <w:rFonts w:ascii="Noto Sans" w:hAnsi="Noto Sans" w:cs="Noto Sans"/>
        <w:b/>
        <w:bCs/>
        <w:sz w:val="24"/>
        <w:szCs w:val="24"/>
      </w:rPr>
      <w:t>MEDIA CONTACT</w:t>
    </w:r>
  </w:p>
  <w:p w14:paraId="6192769D" w14:textId="42A114A3" w:rsidR="00CE4AAA" w:rsidRDefault="1397AC41" w:rsidP="1397AC41">
    <w:pPr>
      <w:pStyle w:val="Footer"/>
      <w:tabs>
        <w:tab w:val="clear" w:pos="4320"/>
        <w:tab w:val="clear" w:pos="8640"/>
        <w:tab w:val="left" w:pos="6300"/>
      </w:tabs>
      <w:rPr>
        <w:rFonts w:ascii="Noto Sans" w:hAnsi="Noto Sans" w:cs="Noto Sans"/>
        <w:sz w:val="24"/>
        <w:szCs w:val="24"/>
      </w:rPr>
    </w:pPr>
    <w:r w:rsidRPr="1397AC41">
      <w:rPr>
        <w:rFonts w:ascii="Noto Sans" w:hAnsi="Noto Sans" w:cs="Noto Sans"/>
        <w:sz w:val="24"/>
        <w:szCs w:val="24"/>
      </w:rPr>
      <w:t>Lori Ditty, Global Marketing Manager</w:t>
    </w:r>
  </w:p>
  <w:p w14:paraId="22076977" w14:textId="169498BD" w:rsidR="00CE4AAA" w:rsidRDefault="1397AC41" w:rsidP="1397AC41">
    <w:pPr>
      <w:pStyle w:val="Footer"/>
      <w:tabs>
        <w:tab w:val="clear" w:pos="4320"/>
        <w:tab w:val="clear" w:pos="8640"/>
        <w:tab w:val="left" w:pos="6300"/>
      </w:tabs>
      <w:rPr>
        <w:rFonts w:ascii="Noto Sans" w:hAnsi="Noto Sans" w:cs="Noto Sans"/>
        <w:sz w:val="24"/>
        <w:szCs w:val="24"/>
      </w:rPr>
    </w:pPr>
    <w:r w:rsidRPr="1397AC41">
      <w:rPr>
        <w:rFonts w:ascii="Noto Sans" w:hAnsi="Noto Sans" w:cs="Noto Sans"/>
        <w:sz w:val="24"/>
        <w:szCs w:val="24"/>
      </w:rPr>
      <w:t>Lori.Ditty@Lubrizol.com</w:t>
    </w:r>
  </w:p>
  <w:p w14:paraId="77D37C15" w14:textId="498DA267" w:rsidR="00F702ED" w:rsidRDefault="1397AC41" w:rsidP="1397AC41">
    <w:pPr>
      <w:pStyle w:val="Footer"/>
      <w:tabs>
        <w:tab w:val="clear" w:pos="4320"/>
        <w:tab w:val="clear" w:pos="8640"/>
        <w:tab w:val="left" w:pos="6300"/>
      </w:tabs>
      <w:rPr>
        <w:rFonts w:ascii="Noto Sans" w:hAnsi="Noto Sans" w:cs="Noto Sans"/>
        <w:sz w:val="24"/>
        <w:szCs w:val="24"/>
      </w:rPr>
    </w:pPr>
    <w:hyperlink r:id="rId1">
      <w:r w:rsidRPr="1397AC41">
        <w:rPr>
          <w:rStyle w:val="Hyperlink"/>
          <w:rFonts w:ascii="Noto Sans" w:hAnsi="Noto Sans" w:cs="Noto Sans"/>
          <w:sz w:val="24"/>
          <w:szCs w:val="24"/>
        </w:rPr>
        <w:t>Lubrizol.com</w:t>
      </w:r>
    </w:hyperlink>
    <w:r w:rsidR="00305784">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F8A1A" w14:textId="77777777" w:rsidR="00A81F9B" w:rsidRDefault="00A81F9B">
      <w:r>
        <w:separator/>
      </w:r>
    </w:p>
  </w:footnote>
  <w:footnote w:type="continuationSeparator" w:id="0">
    <w:p w14:paraId="769E5BE6" w14:textId="77777777" w:rsidR="00A81F9B" w:rsidRDefault="00A81F9B">
      <w:r>
        <w:continuationSeparator/>
      </w:r>
    </w:p>
  </w:footnote>
  <w:footnote w:type="continuationNotice" w:id="1">
    <w:p w14:paraId="76A51D15" w14:textId="77777777" w:rsidR="00A81F9B" w:rsidRDefault="00A81F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EB5CF" w14:textId="77777777" w:rsidR="00F702ED" w:rsidRDefault="00F702ED" w:rsidP="00741305">
    <w:pPr>
      <w:pStyle w:val="Header"/>
      <w:tabs>
        <w:tab w:val="clear" w:pos="8640"/>
      </w:tabs>
      <w:ind w:left="-142" w:right="-302"/>
    </w:pPr>
  </w:p>
  <w:p w14:paraId="4D3448C9" w14:textId="77777777" w:rsidR="00F702ED" w:rsidRDefault="00F702ED" w:rsidP="00741305">
    <w:pPr>
      <w:pStyle w:val="Header"/>
      <w:tabs>
        <w:tab w:val="clear" w:pos="8640"/>
      </w:tabs>
      <w:ind w:left="-142" w:right="-302"/>
    </w:pPr>
  </w:p>
  <w:p w14:paraId="53128261" w14:textId="11217FE6" w:rsidR="00392112" w:rsidRDefault="0007747B" w:rsidP="00741305">
    <w:pPr>
      <w:pStyle w:val="Header"/>
      <w:tabs>
        <w:tab w:val="clear" w:pos="8640"/>
      </w:tabs>
      <w:ind w:left="-142" w:right="-302"/>
    </w:pPr>
    <w:r>
      <w:rPr>
        <w:noProof/>
      </w:rPr>
      <w:drawing>
        <wp:inline distT="0" distB="0" distL="0" distR="0" wp14:anchorId="0576E4E5" wp14:editId="7519A668">
          <wp:extent cx="1576800" cy="424747"/>
          <wp:effectExtent l="0" t="0" r="0" b="0"/>
          <wp:docPr id="1607612171"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161106" name="Picture 3" descr="A close-up of a logo&#10;&#10;Description automatically generated"/>
                  <pic:cNvPicPr/>
                </pic:nvPicPr>
                <pic:blipFill rotWithShape="1">
                  <a:blip r:embed="rId1">
                    <a:extLst>
                      <a:ext uri="{28A0092B-C50C-407E-A947-70E740481C1C}">
                        <a14:useLocalDpi xmlns:a14="http://schemas.microsoft.com/office/drawing/2010/main" val="0"/>
                      </a:ext>
                    </a:extLst>
                  </a:blip>
                  <a:srcRect l="13214" t="25398" r="13026" b="24951"/>
                  <a:stretch/>
                </pic:blipFill>
                <pic:spPr bwMode="auto">
                  <a:xfrm>
                    <a:off x="0" y="0"/>
                    <a:ext cx="1670193" cy="449905"/>
                  </a:xfrm>
                  <a:prstGeom prst="rect">
                    <a:avLst/>
                  </a:prstGeom>
                  <a:ln>
                    <a:noFill/>
                  </a:ln>
                  <a:extLst>
                    <a:ext uri="{53640926-AAD7-44D8-BBD7-CCE9431645EC}">
                      <a14:shadowObscured xmlns:a14="http://schemas.microsoft.com/office/drawing/2010/main"/>
                    </a:ext>
                  </a:extLst>
                </pic:spPr>
              </pic:pic>
            </a:graphicData>
          </a:graphic>
        </wp:inline>
      </w:drawing>
    </w:r>
    <w:r w:rsidR="008D6A33">
      <w:t xml:space="preserve">                                                           </w:t>
    </w:r>
    <w:r w:rsidR="00E94073">
      <w:t xml:space="preserve">     </w:t>
    </w:r>
    <w:r w:rsidR="008D6A33">
      <w:t xml:space="preserve">         </w:t>
    </w:r>
    <w:r w:rsidR="008D6A33">
      <w:rPr>
        <w:noProof/>
      </w:rPr>
      <w:drawing>
        <wp:inline distT="0" distB="0" distL="0" distR="0" wp14:anchorId="2AEBB3A9" wp14:editId="7E76ABDC">
          <wp:extent cx="2026488" cy="105377"/>
          <wp:effectExtent l="0" t="0" r="0" b="0"/>
          <wp:docPr id="5976714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926786" name="Picture 1172926786"/>
                  <pic:cNvPicPr/>
                </pic:nvPicPr>
                <pic:blipFill>
                  <a:blip r:embed="rId2">
                    <a:extLst>
                      <a:ext uri="{28A0092B-C50C-407E-A947-70E740481C1C}">
                        <a14:useLocalDpi xmlns:a14="http://schemas.microsoft.com/office/drawing/2010/main" val="0"/>
                      </a:ext>
                    </a:extLst>
                  </a:blip>
                  <a:stretch>
                    <a:fillRect/>
                  </a:stretch>
                </pic:blipFill>
                <pic:spPr>
                  <a:xfrm>
                    <a:off x="0" y="0"/>
                    <a:ext cx="2320998" cy="120691"/>
                  </a:xfrm>
                  <a:prstGeom prst="rect">
                    <a:avLst/>
                  </a:prstGeom>
                </pic:spPr>
              </pic:pic>
            </a:graphicData>
          </a:graphic>
        </wp:inline>
      </w:drawing>
    </w:r>
  </w:p>
  <w:p w14:paraId="2423D0DB" w14:textId="77777777" w:rsidR="00BD600C" w:rsidRDefault="00BD600C" w:rsidP="00741305">
    <w:pPr>
      <w:pStyle w:val="Header"/>
      <w:tabs>
        <w:tab w:val="clear" w:pos="8640"/>
      </w:tabs>
      <w:ind w:left="-142" w:right="-302"/>
    </w:pPr>
  </w:p>
  <w:p w14:paraId="46B07274" w14:textId="41D702AA" w:rsidR="00BD600C" w:rsidRDefault="00BD600C" w:rsidP="00BD600C">
    <w:pPr>
      <w:pStyle w:val="Header"/>
      <w:tabs>
        <w:tab w:val="clear" w:pos="8640"/>
      </w:tabs>
      <w:ind w:left="-142" w:right="-30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B4566" w14:textId="3B252228" w:rsidR="00F61FC4" w:rsidRDefault="00741305" w:rsidP="00741305">
    <w:pPr>
      <w:pStyle w:val="Header"/>
      <w:ind w:left="-994"/>
    </w:pPr>
    <w:r>
      <w:rPr>
        <w:noProof/>
      </w:rPr>
      <w:drawing>
        <wp:inline distT="0" distB="0" distL="0" distR="0" wp14:anchorId="1A9C1F6B" wp14:editId="4DD0C97A">
          <wp:extent cx="7260336" cy="1490146"/>
          <wp:effectExtent l="0" t="0" r="0" b="0"/>
          <wp:docPr id="536761352" name="Picture 3" descr="A blue and whit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979138" name="Picture 3" descr="A blue and white rectangl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60336" cy="1490146"/>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MwM1KD2z" int2:invalidationBookmarkName="" int2:hashCode="kCfMWiwTId5got" int2:id="kborXR4w">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9100B4"/>
    <w:multiLevelType w:val="hybridMultilevel"/>
    <w:tmpl w:val="4F1C4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5186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F45"/>
    <w:rsid w:val="00002319"/>
    <w:rsid w:val="0000349B"/>
    <w:rsid w:val="0001538D"/>
    <w:rsid w:val="0003467C"/>
    <w:rsid w:val="00047DF0"/>
    <w:rsid w:val="000646E8"/>
    <w:rsid w:val="0007356F"/>
    <w:rsid w:val="0007747B"/>
    <w:rsid w:val="00090C56"/>
    <w:rsid w:val="000A1E62"/>
    <w:rsid w:val="000C1037"/>
    <w:rsid w:val="000C51DC"/>
    <w:rsid w:val="000C7EE4"/>
    <w:rsid w:val="000D2AB9"/>
    <w:rsid w:val="000D7AF5"/>
    <w:rsid w:val="000E1797"/>
    <w:rsid w:val="000E24A1"/>
    <w:rsid w:val="000F6413"/>
    <w:rsid w:val="0010227A"/>
    <w:rsid w:val="00111AF7"/>
    <w:rsid w:val="00127B35"/>
    <w:rsid w:val="00155CCF"/>
    <w:rsid w:val="001705D3"/>
    <w:rsid w:val="001726D5"/>
    <w:rsid w:val="00172BFB"/>
    <w:rsid w:val="00173B94"/>
    <w:rsid w:val="001752F9"/>
    <w:rsid w:val="001843EF"/>
    <w:rsid w:val="00192D45"/>
    <w:rsid w:val="001A5DCE"/>
    <w:rsid w:val="001B1D4F"/>
    <w:rsid w:val="001B3AFF"/>
    <w:rsid w:val="001B655A"/>
    <w:rsid w:val="001D61A1"/>
    <w:rsid w:val="001E4CE8"/>
    <w:rsid w:val="001F600B"/>
    <w:rsid w:val="001F7049"/>
    <w:rsid w:val="00203760"/>
    <w:rsid w:val="00210055"/>
    <w:rsid w:val="00211EA0"/>
    <w:rsid w:val="00231839"/>
    <w:rsid w:val="00241D70"/>
    <w:rsid w:val="0025093B"/>
    <w:rsid w:val="00264372"/>
    <w:rsid w:val="00264BA4"/>
    <w:rsid w:val="00267A59"/>
    <w:rsid w:val="002A3A4D"/>
    <w:rsid w:val="002A63E3"/>
    <w:rsid w:val="002A7BCE"/>
    <w:rsid w:val="002B1D65"/>
    <w:rsid w:val="002C2BF9"/>
    <w:rsid w:val="002C2DA8"/>
    <w:rsid w:val="002E416E"/>
    <w:rsid w:val="002E4300"/>
    <w:rsid w:val="00305784"/>
    <w:rsid w:val="00305A9D"/>
    <w:rsid w:val="00310277"/>
    <w:rsid w:val="003204EE"/>
    <w:rsid w:val="00336AE3"/>
    <w:rsid w:val="00343F3E"/>
    <w:rsid w:val="003441CB"/>
    <w:rsid w:val="00357E8B"/>
    <w:rsid w:val="00357FEA"/>
    <w:rsid w:val="00371A4B"/>
    <w:rsid w:val="00377727"/>
    <w:rsid w:val="00383115"/>
    <w:rsid w:val="00392112"/>
    <w:rsid w:val="003974F1"/>
    <w:rsid w:val="003A24EF"/>
    <w:rsid w:val="003A7219"/>
    <w:rsid w:val="003A73AD"/>
    <w:rsid w:val="003B353E"/>
    <w:rsid w:val="003D47C1"/>
    <w:rsid w:val="003E2BC7"/>
    <w:rsid w:val="003F6DE9"/>
    <w:rsid w:val="00405469"/>
    <w:rsid w:val="00420654"/>
    <w:rsid w:val="00422A6A"/>
    <w:rsid w:val="00425A6F"/>
    <w:rsid w:val="00434835"/>
    <w:rsid w:val="00437F4E"/>
    <w:rsid w:val="00450E87"/>
    <w:rsid w:val="00464D38"/>
    <w:rsid w:val="00475C90"/>
    <w:rsid w:val="004D239D"/>
    <w:rsid w:val="004F4981"/>
    <w:rsid w:val="00501D5C"/>
    <w:rsid w:val="005117AA"/>
    <w:rsid w:val="00517AFB"/>
    <w:rsid w:val="0053672C"/>
    <w:rsid w:val="00540270"/>
    <w:rsid w:val="00556E72"/>
    <w:rsid w:val="005629E4"/>
    <w:rsid w:val="00573566"/>
    <w:rsid w:val="00581B81"/>
    <w:rsid w:val="005839F6"/>
    <w:rsid w:val="00584E92"/>
    <w:rsid w:val="00585FAC"/>
    <w:rsid w:val="005B12D3"/>
    <w:rsid w:val="005D21BD"/>
    <w:rsid w:val="005E14C4"/>
    <w:rsid w:val="005F0F15"/>
    <w:rsid w:val="006169A4"/>
    <w:rsid w:val="00632F45"/>
    <w:rsid w:val="00635733"/>
    <w:rsid w:val="00646849"/>
    <w:rsid w:val="006468D0"/>
    <w:rsid w:val="00651FD2"/>
    <w:rsid w:val="0066019B"/>
    <w:rsid w:val="00682013"/>
    <w:rsid w:val="006974CE"/>
    <w:rsid w:val="006A6A4A"/>
    <w:rsid w:val="006B60E0"/>
    <w:rsid w:val="006F17CE"/>
    <w:rsid w:val="007069BB"/>
    <w:rsid w:val="00720BDD"/>
    <w:rsid w:val="00720EC6"/>
    <w:rsid w:val="00721D30"/>
    <w:rsid w:val="00723AB9"/>
    <w:rsid w:val="00726F8A"/>
    <w:rsid w:val="00741305"/>
    <w:rsid w:val="00745BCE"/>
    <w:rsid w:val="00747BE6"/>
    <w:rsid w:val="00761F68"/>
    <w:rsid w:val="00781896"/>
    <w:rsid w:val="00786D31"/>
    <w:rsid w:val="00796151"/>
    <w:rsid w:val="007A1A81"/>
    <w:rsid w:val="007A3706"/>
    <w:rsid w:val="007A53E3"/>
    <w:rsid w:val="007B2842"/>
    <w:rsid w:val="007B312D"/>
    <w:rsid w:val="007B7C8F"/>
    <w:rsid w:val="007D6AAE"/>
    <w:rsid w:val="007E2000"/>
    <w:rsid w:val="007E54BA"/>
    <w:rsid w:val="007F1730"/>
    <w:rsid w:val="00801237"/>
    <w:rsid w:val="00806CC7"/>
    <w:rsid w:val="0082512D"/>
    <w:rsid w:val="00835E6B"/>
    <w:rsid w:val="00840401"/>
    <w:rsid w:val="00856463"/>
    <w:rsid w:val="00862C95"/>
    <w:rsid w:val="00864232"/>
    <w:rsid w:val="008711EB"/>
    <w:rsid w:val="008769EC"/>
    <w:rsid w:val="008839D5"/>
    <w:rsid w:val="00883E77"/>
    <w:rsid w:val="0089248B"/>
    <w:rsid w:val="008C14E1"/>
    <w:rsid w:val="008C158F"/>
    <w:rsid w:val="008C3E34"/>
    <w:rsid w:val="008C6265"/>
    <w:rsid w:val="008D6A33"/>
    <w:rsid w:val="008E2C9A"/>
    <w:rsid w:val="008F2F0D"/>
    <w:rsid w:val="008F5FEF"/>
    <w:rsid w:val="00905669"/>
    <w:rsid w:val="009060EF"/>
    <w:rsid w:val="00906CE6"/>
    <w:rsid w:val="00907166"/>
    <w:rsid w:val="00912789"/>
    <w:rsid w:val="0091404F"/>
    <w:rsid w:val="00914EA3"/>
    <w:rsid w:val="00924DB4"/>
    <w:rsid w:val="00925236"/>
    <w:rsid w:val="00961075"/>
    <w:rsid w:val="009731BF"/>
    <w:rsid w:val="0098544B"/>
    <w:rsid w:val="00990081"/>
    <w:rsid w:val="009A08A0"/>
    <w:rsid w:val="009A2230"/>
    <w:rsid w:val="009B0A56"/>
    <w:rsid w:val="009D3788"/>
    <w:rsid w:val="009E4A0C"/>
    <w:rsid w:val="009F0B02"/>
    <w:rsid w:val="00A07408"/>
    <w:rsid w:val="00A12525"/>
    <w:rsid w:val="00A12D94"/>
    <w:rsid w:val="00A20996"/>
    <w:rsid w:val="00A34031"/>
    <w:rsid w:val="00A54791"/>
    <w:rsid w:val="00A81F9B"/>
    <w:rsid w:val="00A82ED7"/>
    <w:rsid w:val="00A84F3F"/>
    <w:rsid w:val="00A968E3"/>
    <w:rsid w:val="00AA3474"/>
    <w:rsid w:val="00AA3AD1"/>
    <w:rsid w:val="00AB0312"/>
    <w:rsid w:val="00AB21F6"/>
    <w:rsid w:val="00AC4309"/>
    <w:rsid w:val="00B045CF"/>
    <w:rsid w:val="00B06650"/>
    <w:rsid w:val="00B21B12"/>
    <w:rsid w:val="00B45079"/>
    <w:rsid w:val="00B51900"/>
    <w:rsid w:val="00B640C1"/>
    <w:rsid w:val="00B747B3"/>
    <w:rsid w:val="00BB3976"/>
    <w:rsid w:val="00BC585A"/>
    <w:rsid w:val="00BD600C"/>
    <w:rsid w:val="00C044E6"/>
    <w:rsid w:val="00C12DCA"/>
    <w:rsid w:val="00C130E8"/>
    <w:rsid w:val="00C15B5B"/>
    <w:rsid w:val="00C232DA"/>
    <w:rsid w:val="00C31267"/>
    <w:rsid w:val="00C443ED"/>
    <w:rsid w:val="00C473C3"/>
    <w:rsid w:val="00C92FCC"/>
    <w:rsid w:val="00C962CE"/>
    <w:rsid w:val="00CA0221"/>
    <w:rsid w:val="00CB198A"/>
    <w:rsid w:val="00CB6920"/>
    <w:rsid w:val="00CC104A"/>
    <w:rsid w:val="00CC3AA7"/>
    <w:rsid w:val="00CD1786"/>
    <w:rsid w:val="00CD4436"/>
    <w:rsid w:val="00CE3EA8"/>
    <w:rsid w:val="00CE4AAA"/>
    <w:rsid w:val="00D00989"/>
    <w:rsid w:val="00D00C87"/>
    <w:rsid w:val="00D03A03"/>
    <w:rsid w:val="00D077E8"/>
    <w:rsid w:val="00D13D75"/>
    <w:rsid w:val="00D14B5B"/>
    <w:rsid w:val="00D23405"/>
    <w:rsid w:val="00D239BB"/>
    <w:rsid w:val="00D321BE"/>
    <w:rsid w:val="00D34E43"/>
    <w:rsid w:val="00D600F6"/>
    <w:rsid w:val="00D60856"/>
    <w:rsid w:val="00D64B16"/>
    <w:rsid w:val="00DA7119"/>
    <w:rsid w:val="00DB3845"/>
    <w:rsid w:val="00DE294C"/>
    <w:rsid w:val="00DF36AC"/>
    <w:rsid w:val="00E01212"/>
    <w:rsid w:val="00E068EC"/>
    <w:rsid w:val="00E137F4"/>
    <w:rsid w:val="00E25ED5"/>
    <w:rsid w:val="00E26CA8"/>
    <w:rsid w:val="00E4184E"/>
    <w:rsid w:val="00E4248F"/>
    <w:rsid w:val="00E44F61"/>
    <w:rsid w:val="00E46A37"/>
    <w:rsid w:val="00E600F3"/>
    <w:rsid w:val="00E60945"/>
    <w:rsid w:val="00E64382"/>
    <w:rsid w:val="00E654A9"/>
    <w:rsid w:val="00E86146"/>
    <w:rsid w:val="00E94073"/>
    <w:rsid w:val="00EA5C31"/>
    <w:rsid w:val="00ED1048"/>
    <w:rsid w:val="00ED4846"/>
    <w:rsid w:val="00ED6CD8"/>
    <w:rsid w:val="00ED6F8D"/>
    <w:rsid w:val="00EE2BB3"/>
    <w:rsid w:val="00EE75E9"/>
    <w:rsid w:val="00F00BFB"/>
    <w:rsid w:val="00F06D62"/>
    <w:rsid w:val="00F11709"/>
    <w:rsid w:val="00F32A49"/>
    <w:rsid w:val="00F525AF"/>
    <w:rsid w:val="00F60261"/>
    <w:rsid w:val="00F61FC4"/>
    <w:rsid w:val="00F62172"/>
    <w:rsid w:val="00F702ED"/>
    <w:rsid w:val="00F7176E"/>
    <w:rsid w:val="00F84DB3"/>
    <w:rsid w:val="00F85F4E"/>
    <w:rsid w:val="00F900AF"/>
    <w:rsid w:val="00F97991"/>
    <w:rsid w:val="00FC03AD"/>
    <w:rsid w:val="00FE1543"/>
    <w:rsid w:val="00FE5F6E"/>
    <w:rsid w:val="022774DE"/>
    <w:rsid w:val="078B5CE8"/>
    <w:rsid w:val="0A5D5B31"/>
    <w:rsid w:val="0AFC14A8"/>
    <w:rsid w:val="1118728C"/>
    <w:rsid w:val="1397AC41"/>
    <w:rsid w:val="13DA9B7B"/>
    <w:rsid w:val="1D39F7CC"/>
    <w:rsid w:val="1E80AAF0"/>
    <w:rsid w:val="1E98AE8C"/>
    <w:rsid w:val="255249B9"/>
    <w:rsid w:val="35D91D77"/>
    <w:rsid w:val="484A4131"/>
    <w:rsid w:val="4872FF1A"/>
    <w:rsid w:val="4B6E5F1A"/>
    <w:rsid w:val="4ECA508A"/>
    <w:rsid w:val="521B9C84"/>
    <w:rsid w:val="598DA32E"/>
    <w:rsid w:val="59FD85E8"/>
    <w:rsid w:val="5A1EF032"/>
    <w:rsid w:val="644CE836"/>
    <w:rsid w:val="6702DE68"/>
    <w:rsid w:val="695D4A9C"/>
    <w:rsid w:val="6C89784D"/>
    <w:rsid w:val="6DEB9C88"/>
    <w:rsid w:val="6E0FBF15"/>
    <w:rsid w:val="73E106B8"/>
    <w:rsid w:val="78FA4813"/>
    <w:rsid w:val="7B16444C"/>
    <w:rsid w:val="7CBA30B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DAD7D4"/>
  <w15:chartTrackingRefBased/>
  <w15:docId w15:val="{F7A1EC7F-BB12-469F-B8AB-E0F66AC35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val="en-US" w:eastAsia="ja-JP"/>
    </w:rPr>
  </w:style>
  <w:style w:type="paragraph" w:styleId="Heading1">
    <w:name w:val="heading 1"/>
    <w:basedOn w:val="Normal"/>
    <w:next w:val="Normal"/>
    <w:qFormat/>
    <w:pPr>
      <w:keepNext/>
      <w:spacing w:line="720" w:lineRule="exact"/>
      <w:outlineLvl w:val="0"/>
    </w:pPr>
    <w:rPr>
      <w:color w:val="000000"/>
      <w:kern w:val="40"/>
      <w:sz w:val="72"/>
    </w:rPr>
  </w:style>
  <w:style w:type="paragraph" w:styleId="Heading2">
    <w:name w:val="heading 2"/>
    <w:basedOn w:val="Normal"/>
    <w:next w:val="Normal"/>
    <w:qFormat/>
    <w:pPr>
      <w:keepNext/>
      <w:spacing w:line="480" w:lineRule="exac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uiPriority w:val="99"/>
    <w:rsid w:val="00D13D75"/>
    <w:rPr>
      <w:rFonts w:ascii="Arial" w:hAnsi="Arial"/>
      <w:lang w:val="en-US" w:eastAsia="ja-JP"/>
    </w:rPr>
  </w:style>
  <w:style w:type="paragraph" w:styleId="ListParagraph">
    <w:name w:val="List Paragraph"/>
    <w:basedOn w:val="Normal"/>
    <w:uiPriority w:val="34"/>
    <w:qFormat/>
    <w:rsid w:val="0025093B"/>
    <w:pPr>
      <w:spacing w:after="160" w:line="259"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DefaultParagraphFont"/>
    <w:uiPriority w:val="99"/>
    <w:rsid w:val="00F61FC4"/>
    <w:rPr>
      <w:color w:val="0563C1" w:themeColor="hyperlink"/>
      <w:u w:val="single"/>
    </w:rPr>
  </w:style>
  <w:style w:type="character" w:styleId="UnresolvedMention">
    <w:name w:val="Unresolved Mention"/>
    <w:basedOn w:val="DefaultParagraphFont"/>
    <w:uiPriority w:val="99"/>
    <w:semiHidden/>
    <w:unhideWhenUsed/>
    <w:rsid w:val="00F61FC4"/>
    <w:rPr>
      <w:color w:val="605E5C"/>
      <w:shd w:val="clear" w:color="auto" w:fill="E1DFDD"/>
    </w:rPr>
  </w:style>
  <w:style w:type="character" w:customStyle="1" w:styleId="HeaderChar">
    <w:name w:val="Header Char"/>
    <w:basedOn w:val="DefaultParagraphFont"/>
    <w:link w:val="Header"/>
    <w:rsid w:val="003441CB"/>
    <w:rPr>
      <w:rFonts w:ascii="Arial" w:hAnsi="Arial"/>
      <w:lang w:val="en-US" w:eastAsia="ja-JP"/>
    </w:rPr>
  </w:style>
  <w:style w:type="character" w:styleId="CommentReference">
    <w:name w:val="annotation reference"/>
    <w:basedOn w:val="DefaultParagraphFont"/>
    <w:uiPriority w:val="99"/>
    <w:unhideWhenUsed/>
    <w:rsid w:val="002C2BF9"/>
    <w:rPr>
      <w:sz w:val="16"/>
      <w:szCs w:val="16"/>
    </w:rPr>
  </w:style>
  <w:style w:type="paragraph" w:styleId="CommentText">
    <w:name w:val="annotation text"/>
    <w:basedOn w:val="Normal"/>
    <w:link w:val="CommentTextChar"/>
    <w:uiPriority w:val="99"/>
    <w:unhideWhenUsed/>
    <w:rsid w:val="002C2BF9"/>
    <w:pPr>
      <w:spacing w:after="160"/>
    </w:pPr>
    <w:rPr>
      <w:rFonts w:asciiTheme="minorHAnsi" w:eastAsiaTheme="minorHAnsi" w:hAnsiTheme="minorHAnsi" w:cstheme="minorBidi"/>
      <w:kern w:val="2"/>
      <w:lang w:eastAsia="en-US"/>
      <w14:ligatures w14:val="standardContextual"/>
    </w:rPr>
  </w:style>
  <w:style w:type="character" w:customStyle="1" w:styleId="CommentTextChar">
    <w:name w:val="Comment Text Char"/>
    <w:basedOn w:val="DefaultParagraphFont"/>
    <w:link w:val="CommentText"/>
    <w:uiPriority w:val="99"/>
    <w:rsid w:val="002C2BF9"/>
    <w:rPr>
      <w:rFonts w:asciiTheme="minorHAnsi" w:eastAsiaTheme="minorHAnsi" w:hAnsiTheme="minorHAnsi" w:cstheme="minorBidi"/>
      <w:kern w:val="2"/>
      <w:lang w:val="en-US"/>
      <w14:ligatures w14:val="standardContextual"/>
    </w:rPr>
  </w:style>
  <w:style w:type="character" w:styleId="FollowedHyperlink">
    <w:name w:val="FollowedHyperlink"/>
    <w:basedOn w:val="DefaultParagraphFont"/>
    <w:rsid w:val="002C2BF9"/>
    <w:rPr>
      <w:color w:val="954F72" w:themeColor="followedHyperlink"/>
      <w:u w:val="single"/>
    </w:rPr>
  </w:style>
  <w:style w:type="paragraph" w:styleId="CommentSubject">
    <w:name w:val="annotation subject"/>
    <w:basedOn w:val="CommentText"/>
    <w:next w:val="CommentText"/>
    <w:link w:val="CommentSubjectChar"/>
    <w:rsid w:val="00907166"/>
    <w:pPr>
      <w:spacing w:after="0"/>
    </w:pPr>
    <w:rPr>
      <w:rFonts w:ascii="Arial" w:eastAsia="Times New Roman" w:hAnsi="Arial" w:cs="Times New Roman"/>
      <w:b/>
      <w:bCs/>
      <w:kern w:val="0"/>
      <w:lang w:eastAsia="ja-JP"/>
      <w14:ligatures w14:val="none"/>
    </w:rPr>
  </w:style>
  <w:style w:type="character" w:customStyle="1" w:styleId="CommentSubjectChar">
    <w:name w:val="Comment Subject Char"/>
    <w:basedOn w:val="CommentTextChar"/>
    <w:link w:val="CommentSubject"/>
    <w:rsid w:val="00907166"/>
    <w:rPr>
      <w:rFonts w:ascii="Arial" w:eastAsiaTheme="minorHAnsi" w:hAnsi="Arial" w:cstheme="minorBidi"/>
      <w:b/>
      <w:bCs/>
      <w:kern w:val="2"/>
      <w:lang w:val="en-US" w:eastAsia="ja-JP"/>
      <w14:ligatures w14:val="standardContextual"/>
    </w:rPr>
  </w:style>
  <w:style w:type="paragraph" w:styleId="Revision">
    <w:name w:val="Revision"/>
    <w:hidden/>
    <w:uiPriority w:val="99"/>
    <w:semiHidden/>
    <w:rsid w:val="001705D3"/>
    <w:rPr>
      <w:rFonts w:ascii="Arial" w:hAnsi="Arial"/>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lubrizol.com/health/pharmaceuticals/Contact-Us/Request-Meeting?utm_campaign=Apisolex&amp;utm_source=Print-Multiple-Sources&amp;utm_medium=paid-placement"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Lubrizol.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Lubrizo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64eb127-f18e-427c-a4b9-017434da213e">
      <Terms xmlns="http://schemas.microsoft.com/office/infopath/2007/PartnerControls"/>
    </lcf76f155ced4ddcb4097134ff3c332f>
    <TaxCatchAll xmlns="fdc170b8-ff65-4491-943e-b58525e7fe73" xsi:nil="true"/>
    <LZSiteKeywords2 xmlns="364eb127-f18e-427c-a4b9-017434da213e" xsi:nil="true"/>
    <LZSiteKeywords1 xmlns="364eb127-f18e-427c-a4b9-017434da213e" xsi:nil="true"/>
    <LZOrder xmlns="fdc170b8-ff65-4491-943e-b58525e7fe73">1000</LZOrder>
    <LZDescription xmlns="fdc170b8-ff65-4491-943e-b58525e7fe73" xsi:nil="true"/>
    <LZSiteKeywordsMulti xmlns="364eb127-f18e-427c-a4b9-017434da213e" xsi:nil="true"/>
    <LZAuthor xmlns="fdc170b8-ff65-4491-943e-b58525e7fe73">
      <UserInfo>
        <DisplayName/>
        <AccountId xsi:nil="true"/>
        <AccountType/>
      </UserInfo>
    </LZAuthor>
    <_dlc_DocId xmlns="fdc170b8-ff65-4491-943e-b58525e7fe73">YUZV4J5UHWHV-1606404137-3851</_dlc_DocId>
    <_dlc_DocIdUrl xmlns="fdc170b8-ff65-4491-943e-b58525e7fe73">
      <Url>https://lubrizol.sharepoint.com/sites/LZ-Central-CM-News/_layouts/15/DocIdRedir.aspx?ID=YUZV4J5UHWHV-1606404137-3851</Url>
      <Description>YUZV4J5UHWHV-1606404137-3851</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9EE38644A28474DB847E61EC9A1D00B" ma:contentTypeVersion="25" ma:contentTypeDescription="Create a new document." ma:contentTypeScope="" ma:versionID="3a749cf90d749aa55e6fcfff46732c1d">
  <xsd:schema xmlns:xsd="http://www.w3.org/2001/XMLSchema" xmlns:xs="http://www.w3.org/2001/XMLSchema" xmlns:p="http://schemas.microsoft.com/office/2006/metadata/properties" xmlns:ns2="fdc170b8-ff65-4491-943e-b58525e7fe73" xmlns:ns3="364eb127-f18e-427c-a4b9-017434da213e" targetNamespace="http://schemas.microsoft.com/office/2006/metadata/properties" ma:root="true" ma:fieldsID="ecfca05e7612609225b708fa36a8675f" ns2:_="" ns3:_="">
    <xsd:import namespace="fdc170b8-ff65-4491-943e-b58525e7fe73"/>
    <xsd:import namespace="364eb127-f18e-427c-a4b9-017434da213e"/>
    <xsd:element name="properties">
      <xsd:complexType>
        <xsd:sequence>
          <xsd:element name="documentManagement">
            <xsd:complexType>
              <xsd:all>
                <xsd:element ref="ns2:LZDescription" minOccurs="0"/>
                <xsd:element ref="ns2:LZAuthor" minOccurs="0"/>
                <xsd:element ref="ns3:LZSiteKeywords1" minOccurs="0"/>
                <xsd:element ref="ns3:LZSiteKeywords2" minOccurs="0"/>
                <xsd:element ref="ns3:LZSiteKeywordsMulti" minOccurs="0"/>
                <xsd:element ref="ns2:LZOrder" minOccurs="0"/>
                <xsd:element ref="ns3:MediaServiceMetadata" minOccurs="0"/>
                <xsd:element ref="ns3:MediaServiceFastMetadata" minOccurs="0"/>
                <xsd:element ref="ns2:SharedWithUsers" minOccurs="0"/>
                <xsd:element ref="ns2:SharedWithDetails" minOccurs="0"/>
                <xsd:element ref="ns3:MediaServiceEventHashCode" minOccurs="0"/>
                <xsd:element ref="ns3:MediaServiceGenerationTime" minOccurs="0"/>
                <xsd:element ref="ns3:MediaServiceOCR" minOccurs="0"/>
                <xsd:element ref="ns3:MediaServiceAutoKeyPoints" minOccurs="0"/>
                <xsd:element ref="ns3:MediaServiceKeyPoints" minOccurs="0"/>
                <xsd:element ref="ns3:MediaServiceDateTaken" minOccurs="0"/>
                <xsd:element ref="ns3:MediaServiceLocation" minOccurs="0"/>
                <xsd:element ref="ns3:lcf76f155ced4ddcb4097134ff3c332f" minOccurs="0"/>
                <xsd:element ref="ns2:TaxCatchAll" minOccurs="0"/>
                <xsd:element ref="ns3:MediaLengthInSeconds" minOccurs="0"/>
                <xsd:element ref="ns2:_dlc_DocId" minOccurs="0"/>
                <xsd:element ref="ns2:_dlc_DocIdUrl" minOccurs="0"/>
                <xsd:element ref="ns2:_dlc_DocIdPersistId"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c170b8-ff65-4491-943e-b58525e7fe73" elementFormDefault="qualified">
    <xsd:import namespace="http://schemas.microsoft.com/office/2006/documentManagement/types"/>
    <xsd:import namespace="http://schemas.microsoft.com/office/infopath/2007/PartnerControls"/>
    <xsd:element name="LZDescription" ma:index="8" nillable="true" ma:displayName="LZ Description" ma:description="Enter Description/Abstract for the item. It will help users to quickly undestand content of the item without opening it." ma:internalName="LZDescription">
      <xsd:simpleType>
        <xsd:restriction base="dms:Note">
          <xsd:maxLength value="255"/>
        </xsd:restriction>
      </xsd:simpleType>
    </xsd:element>
    <xsd:element name="LZAuthor" ma:index="9" nillable="true" ma:displayName="LZ Author" ma:description="Enter one or more Authors.  This person(s) can be different from a user who created the item." ma:list="UserInfo" ma:SharePointGroup="0" ma:internalName="LZAuthor"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ZOrder" ma:index="13" nillable="true" ma:displayName="LZ Order" ma:decimals="0" ma:default="1000" ma:description="For ease of rearranging items, add in multiples of 10. (e.g.  10, 20, 30)" ma:indexed="true" ma:internalName="LZOrder">
      <xsd:simpleType>
        <xsd:restriction base="dms:Number"/>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07e09f85-f52d-427a-aa1c-13c16ebded7a}" ma:internalName="TaxCatchAll" ma:showField="CatchAllData" ma:web="fdc170b8-ff65-4491-943e-b58525e7fe73">
      <xsd:complexType>
        <xsd:complexContent>
          <xsd:extension base="dms:MultiChoiceLookup">
            <xsd:sequence>
              <xsd:element name="Value" type="dms:Lookup" maxOccurs="unbounded" minOccurs="0" nillable="true"/>
            </xsd:sequence>
          </xsd:extension>
        </xsd:complexContent>
      </xsd:complexType>
    </xsd:element>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64eb127-f18e-427c-a4b9-017434da213e" elementFormDefault="qualified">
    <xsd:import namespace="http://schemas.microsoft.com/office/2006/documentManagement/types"/>
    <xsd:import namespace="http://schemas.microsoft.com/office/infopath/2007/PartnerControls"/>
    <xsd:element name="LZSiteKeywords1" ma:index="10" nillable="true" ma:displayName="LZ Site Keywords1" ma:description="Site Keywords come from the Site Keywords list on this sites. They are specific to this site. This column is for first level of grouping of list items." ma:list="{bf463dab-ec30-4da9-8ab7-a6f88c221fe0}" ma:internalName="LZSiteKeywords1" ma:showField="LZListKeyword">
      <xsd:simpleType>
        <xsd:restriction base="dms:Lookup"/>
      </xsd:simpleType>
    </xsd:element>
    <xsd:element name="LZSiteKeywords2" ma:index="11" nillable="true" ma:displayName="LZ Site Keywords2" ma:description="Site Keywords come from the Site Keywords list on this sites. They are specific to this site. This column is for second level of grouping of list items." ma:list="{bf463dab-ec30-4da9-8ab7-a6f88c221fe0}" ma:internalName="LZSiteKeywords2" ma:showField="LZListKeyword">
      <xsd:simpleType>
        <xsd:restriction base="dms:Lookup"/>
      </xsd:simpleType>
    </xsd:element>
    <xsd:element name="LZSiteKeywordsMulti" ma:index="12" nillable="true" ma:displayName="LZ Site Keywords Multi" ma:description="Site Keywords come from the Site Keywords list on this sites. They are specific to this site. Multiple selection is possible." ma:list="{bf463dab-ec30-4da9-8ab7-a6f88c221fe0}" ma:internalName="LZSiteKeywordsMulti" ma:showField="LZListKeyword">
      <xsd:complexType>
        <xsd:complexContent>
          <xsd:extension base="dms:MultiChoiceLookup">
            <xsd:sequence>
              <xsd:element name="Value" type="dms:Lookup" maxOccurs="unbounded" minOccurs="0" nillable="true"/>
            </xsd:sequence>
          </xsd:extension>
        </xsd:complexContent>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351574c3-b6ba-4f6c-8af1-af43869658f2" ma:termSetId="09814cd3-568e-fe90-9814-8d621ff8fb84" ma:anchorId="fba54fb3-c3e1-fe81-a776-ca4b69148c4d" ma:open="true" ma:isKeyword="false">
      <xsd:complexType>
        <xsd:sequence>
          <xsd:element ref="pc:Terms" minOccurs="0" maxOccurs="1"/>
        </xsd:sequence>
      </xsd:complexType>
    </xsd:element>
    <xsd:element name="MediaLengthInSeconds" ma:index="28"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BillingMetadata" ma:index="3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C31F8C-B891-4F7B-936D-23AD3B93AC32}">
  <ds:schemaRefs>
    <ds:schemaRef ds:uri="http://schemas.microsoft.com/sharepoint/v3/contenttype/forms"/>
  </ds:schemaRefs>
</ds:datastoreItem>
</file>

<file path=customXml/itemProps2.xml><?xml version="1.0" encoding="utf-8"?>
<ds:datastoreItem xmlns:ds="http://schemas.openxmlformats.org/officeDocument/2006/customXml" ds:itemID="{38C1E319-F8F4-4C09-8B2C-41FFFE16ECC3}">
  <ds:schemaRefs>
    <ds:schemaRef ds:uri="http://schemas.microsoft.com/office/2006/metadata/properties"/>
    <ds:schemaRef ds:uri="http://schemas.microsoft.com/office/infopath/2007/PartnerControls"/>
    <ds:schemaRef ds:uri="364eb127-f18e-427c-a4b9-017434da213e"/>
    <ds:schemaRef ds:uri="fdc170b8-ff65-4491-943e-b58525e7fe73"/>
  </ds:schemaRefs>
</ds:datastoreItem>
</file>

<file path=customXml/itemProps3.xml><?xml version="1.0" encoding="utf-8"?>
<ds:datastoreItem xmlns:ds="http://schemas.openxmlformats.org/officeDocument/2006/customXml" ds:itemID="{85532D06-11B0-4854-B402-5F2C1539DC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c170b8-ff65-4491-943e-b58525e7fe73"/>
    <ds:schemaRef ds:uri="364eb127-f18e-427c-a4b9-017434da21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C968BD-7CB5-4C99-99F8-A0CA0E44C2A4}">
  <ds:schemaRefs>
    <ds:schemaRef ds:uri="http://schemas.microsoft.com/sharepoint/events"/>
  </ds:schemaRefs>
</ds:datastoreItem>
</file>

<file path=customXml/itemProps5.xml><?xml version="1.0" encoding="utf-8"?>
<ds:datastoreItem xmlns:ds="http://schemas.openxmlformats.org/officeDocument/2006/customXml" ds:itemID="{0B24C48E-407D-402F-B159-989A3A0F7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2026</Characters>
  <Application>Microsoft Office Word</Application>
  <DocSecurity>0</DocSecurity>
  <Lines>16</Lines>
  <Paragraphs>4</Paragraphs>
  <ScaleCrop>false</ScaleCrop>
  <Company>Lubrizol</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Interoffice Memorandum</dc:title>
  <dc:subject/>
  <dc:creator>Microsoft Office User</dc:creator>
  <cp:keywords/>
  <dc:description/>
  <cp:lastModifiedBy>Steve Harman</cp:lastModifiedBy>
  <cp:revision>3</cp:revision>
  <cp:lastPrinted>2025-06-05T19:45:00Z</cp:lastPrinted>
  <dcterms:created xsi:type="dcterms:W3CDTF">2025-06-10T10:14:00Z</dcterms:created>
  <dcterms:modified xsi:type="dcterms:W3CDTF">2025-06-10T10:14:00Z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eywords0">
    <vt:lpwstr>Business Letterhead</vt:lpwstr>
  </property>
  <property fmtid="{D5CDD505-2E9C-101B-9397-08002B2CF9AE}" pid="3" name="Division">
    <vt:lpwstr/>
  </property>
  <property fmtid="{D5CDD505-2E9C-101B-9397-08002B2CF9AE}" pid="4" name="Form/Template Subtype">
    <vt:lpwstr/>
  </property>
  <property fmtid="{D5CDD505-2E9C-101B-9397-08002B2CF9AE}" pid="5" name="Cluster">
    <vt:lpwstr/>
  </property>
  <property fmtid="{D5CDD505-2E9C-101B-9397-08002B2CF9AE}" pid="6" name="Description0">
    <vt:lpwstr>Business Letterhead</vt:lpwstr>
  </property>
  <property fmtid="{D5CDD505-2E9C-101B-9397-08002B2CF9AE}" pid="7" name="Location">
    <vt:lpwstr>All</vt:lpwstr>
  </property>
  <property fmtid="{D5CDD505-2E9C-101B-9397-08002B2CF9AE}" pid="8" name="Language">
    <vt:lpwstr/>
  </property>
  <property fmtid="{D5CDD505-2E9C-101B-9397-08002B2CF9AE}" pid="9" name="Equipment Type">
    <vt:lpwstr/>
  </property>
  <property fmtid="{D5CDD505-2E9C-101B-9397-08002B2CF9AE}" pid="10" name="Title0">
    <vt:lpwstr>Business Letterhead</vt:lpwstr>
  </property>
  <property fmtid="{D5CDD505-2E9C-101B-9397-08002B2CF9AE}" pid="11" name="Author0">
    <vt:lpwstr>Clegg, Karen</vt:lpwstr>
  </property>
  <property fmtid="{D5CDD505-2E9C-101B-9397-08002B2CF9AE}" pid="12" name="Document Type">
    <vt:lpwstr>Template</vt:lpwstr>
  </property>
  <property fmtid="{D5CDD505-2E9C-101B-9397-08002B2CF9AE}" pid="13" name="Geographical Region">
    <vt:lpwstr/>
  </property>
  <property fmtid="{D5CDD505-2E9C-101B-9397-08002B2CF9AE}" pid="14" name="Business Segment">
    <vt:lpwstr/>
  </property>
  <property fmtid="{D5CDD505-2E9C-101B-9397-08002B2CF9AE}" pid="15" name="Form/Template Type">
    <vt:lpwstr/>
  </property>
  <property fmtid="{D5CDD505-2E9C-101B-9397-08002B2CF9AE}" pid="16" name="ContentTypeId">
    <vt:lpwstr>0x010100C9EE38644A28474DB847E61EC9A1D00B</vt:lpwstr>
  </property>
  <property fmtid="{D5CDD505-2E9C-101B-9397-08002B2CF9AE}" pid="17" name="MediaServiceImageTags">
    <vt:lpwstr/>
  </property>
  <property fmtid="{D5CDD505-2E9C-101B-9397-08002B2CF9AE}" pid="18" name="_dlc_DocIdItemGuid">
    <vt:lpwstr>3b0edf57-038a-497c-8d7c-5fdb23265ba9</vt:lpwstr>
  </property>
  <property fmtid="{D5CDD505-2E9C-101B-9397-08002B2CF9AE}" pid="19" name="ClassificationContentMarkingFooterShapeIds">
    <vt:lpwstr>66975244,f5b496e,427a0f8,3449a4fb</vt:lpwstr>
  </property>
  <property fmtid="{D5CDD505-2E9C-101B-9397-08002B2CF9AE}" pid="20" name="ClassificationContentMarkingFooterFontProps">
    <vt:lpwstr>#000000,10,Calibri</vt:lpwstr>
  </property>
  <property fmtid="{D5CDD505-2E9C-101B-9397-08002B2CF9AE}" pid="21" name="ClassificationContentMarkingFooterText">
    <vt:lpwstr>Lubrizol Sensitive</vt:lpwstr>
  </property>
  <property fmtid="{D5CDD505-2E9C-101B-9397-08002B2CF9AE}" pid="22" name="MSIP_Label_8b203773-a94c-4fea-b438-d8d1e3ede2a4_Enabled">
    <vt:lpwstr>true</vt:lpwstr>
  </property>
  <property fmtid="{D5CDD505-2E9C-101B-9397-08002B2CF9AE}" pid="23" name="MSIP_Label_8b203773-a94c-4fea-b438-d8d1e3ede2a4_SetDate">
    <vt:lpwstr>2025-06-05T19:42:49Z</vt:lpwstr>
  </property>
  <property fmtid="{D5CDD505-2E9C-101B-9397-08002B2CF9AE}" pid="24" name="MSIP_Label_8b203773-a94c-4fea-b438-d8d1e3ede2a4_Method">
    <vt:lpwstr>Privileged</vt:lpwstr>
  </property>
  <property fmtid="{D5CDD505-2E9C-101B-9397-08002B2CF9AE}" pid="25" name="MSIP_Label_8b203773-a94c-4fea-b438-d8d1e3ede2a4_Name">
    <vt:lpwstr>Lubrizol Sensitive</vt:lpwstr>
  </property>
  <property fmtid="{D5CDD505-2E9C-101B-9397-08002B2CF9AE}" pid="26" name="MSIP_Label_8b203773-a94c-4fea-b438-d8d1e3ede2a4_SiteId">
    <vt:lpwstr>311c6d14-3b16-4343-b048-f275178f8604</vt:lpwstr>
  </property>
  <property fmtid="{D5CDD505-2E9C-101B-9397-08002B2CF9AE}" pid="27" name="MSIP_Label_8b203773-a94c-4fea-b438-d8d1e3ede2a4_ActionId">
    <vt:lpwstr>a3310ef0-bdd3-443f-b701-4b5f32089f17</vt:lpwstr>
  </property>
  <property fmtid="{D5CDD505-2E9C-101B-9397-08002B2CF9AE}" pid="28" name="MSIP_Label_8b203773-a94c-4fea-b438-d8d1e3ede2a4_ContentBits">
    <vt:lpwstr>2</vt:lpwstr>
  </property>
  <property fmtid="{D5CDD505-2E9C-101B-9397-08002B2CF9AE}" pid="29" name="MSIP_Label_8b203773-a94c-4fea-b438-d8d1e3ede2a4_Tag">
    <vt:lpwstr>10, 0, 1, 1</vt:lpwstr>
  </property>
</Properties>
</file>