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54107" w14:textId="77777777" w:rsidR="00B66FF4" w:rsidRDefault="00B66FF4" w:rsidP="0063294F">
      <w:pPr>
        <w:ind w:right="-284"/>
        <w:rPr>
          <w:rFonts w:asciiTheme="minorHAnsi" w:hAnsiTheme="minorHAnsi" w:cstheme="minorHAnsi"/>
          <w:b/>
          <w:bCs/>
          <w:color w:val="000000" w:themeColor="text1"/>
          <w:sz w:val="28"/>
          <w:szCs w:val="28"/>
        </w:rPr>
      </w:pPr>
      <w:r w:rsidRPr="00B66FF4">
        <w:rPr>
          <w:rFonts w:asciiTheme="minorHAnsi" w:hAnsiTheme="minorHAnsi" w:cstheme="minorHAnsi"/>
          <w:b/>
          <w:bCs/>
          <w:color w:val="000000" w:themeColor="text1"/>
          <w:sz w:val="28"/>
          <w:szCs w:val="28"/>
        </w:rPr>
        <w:t xml:space="preserve">Monitoring der nächsten Generation: </w:t>
      </w:r>
    </w:p>
    <w:p w14:paraId="73FA0BF3" w14:textId="62553BD7" w:rsidR="0063294F" w:rsidRPr="00A1309C" w:rsidRDefault="00B66FF4" w:rsidP="0063294F">
      <w:pPr>
        <w:ind w:right="-284"/>
        <w:rPr>
          <w:rFonts w:asciiTheme="minorHAnsi" w:hAnsiTheme="minorHAnsi" w:cstheme="minorHAnsi"/>
          <w:b/>
          <w:bCs/>
          <w:color w:val="000000" w:themeColor="text1"/>
          <w:sz w:val="28"/>
          <w:szCs w:val="28"/>
        </w:rPr>
      </w:pPr>
      <w:r w:rsidRPr="00B66FF4">
        <w:rPr>
          <w:rFonts w:asciiTheme="minorHAnsi" w:hAnsiTheme="minorHAnsi" w:cstheme="minorHAnsi"/>
          <w:b/>
          <w:bCs/>
          <w:color w:val="000000" w:themeColor="text1"/>
          <w:sz w:val="28"/>
          <w:szCs w:val="28"/>
        </w:rPr>
        <w:t>Neumann präsentiert den KH 120 II</w:t>
      </w:r>
      <w:r w:rsidR="0063294F" w:rsidRPr="0063294F">
        <w:rPr>
          <w:rFonts w:asciiTheme="minorHAnsi" w:hAnsiTheme="minorHAnsi" w:cstheme="minorHAnsi"/>
          <w:b/>
          <w:bCs/>
          <w:color w:val="000000" w:themeColor="text1"/>
          <w:sz w:val="31"/>
          <w:szCs w:val="31"/>
        </w:rPr>
        <w:br/>
      </w:r>
      <w:r w:rsidR="00E13E93">
        <w:rPr>
          <w:rFonts w:asciiTheme="minorHAnsi" w:hAnsiTheme="minorHAnsi" w:cstheme="minorHAnsi"/>
          <w:b/>
          <w:bCs/>
          <w:noProof/>
          <w:color w:val="000000" w:themeColor="text1"/>
          <w:sz w:val="28"/>
          <w:szCs w:val="28"/>
        </w:rPr>
        <w:drawing>
          <wp:inline distT="0" distB="0" distL="0" distR="0" wp14:anchorId="7AE58357" wp14:editId="46120315">
            <wp:extent cx="5703519" cy="4012565"/>
            <wp:effectExtent l="0" t="0" r="0" b="635"/>
            <wp:docPr id="1" name="Grafik 1" descr="Ein Bild, das Elektronik, Im Hau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Elektronik, Im Haus, Lautsprecher enthält.&#10;&#10;Automatisch generierte Beschreibu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741263" cy="4039119"/>
                    </a:xfrm>
                    <a:prstGeom prst="rect">
                      <a:avLst/>
                    </a:prstGeom>
                    <a:ln>
                      <a:noFill/>
                    </a:ln>
                    <a:extLst>
                      <a:ext uri="{53640926-AAD7-44D8-BBD7-CCE9431645EC}">
                        <a14:shadowObscured xmlns:a14="http://schemas.microsoft.com/office/drawing/2010/main"/>
                      </a:ext>
                    </a:extLst>
                  </pic:spPr>
                </pic:pic>
              </a:graphicData>
            </a:graphic>
          </wp:inline>
        </w:drawing>
      </w:r>
    </w:p>
    <w:p w14:paraId="2BD99821" w14:textId="1FD6E824" w:rsidR="0063294F" w:rsidRDefault="00B66FF4" w:rsidP="0063294F">
      <w:pPr>
        <w:rPr>
          <w:rFonts w:asciiTheme="minorHAnsi" w:hAnsiTheme="minorHAnsi" w:cstheme="minorHAnsi"/>
          <w:b/>
          <w:bCs/>
          <w:color w:val="000000" w:themeColor="text1"/>
        </w:rPr>
      </w:pPr>
      <w:r w:rsidRPr="00B66FF4">
        <w:rPr>
          <w:rFonts w:asciiTheme="minorHAnsi" w:hAnsiTheme="minorHAnsi" w:cstheme="minorHAnsi"/>
          <w:b/>
          <w:bCs/>
          <w:color w:val="000000" w:themeColor="text1"/>
        </w:rPr>
        <w:t xml:space="preserve">Berlin, 10. April 2023 – Neumann, einer der führenden Hersteller professioneller Audiotechnik, stellt den Studiomonitor KH 120 II vor. Der KH 120 II baut auf dem Erfolg seines hochgelobten Vorgängermodells auf und bietet Verbesserungen in allen akustischen Parametern für tieferen Bass, höheren Schalldruck und noch bessere Auflösung. Darüber hinaus ermöglicht die interne DSP-Engine phasenlineare Frequenzweichen und Raumkorrektur über Neumanns MA 1 </w:t>
      </w:r>
      <w:proofErr w:type="spellStart"/>
      <w:r w:rsidRPr="00B66FF4">
        <w:rPr>
          <w:rFonts w:asciiTheme="minorHAnsi" w:hAnsiTheme="minorHAnsi" w:cstheme="minorHAnsi"/>
          <w:b/>
          <w:bCs/>
          <w:color w:val="000000" w:themeColor="text1"/>
        </w:rPr>
        <w:t>Automatic</w:t>
      </w:r>
      <w:proofErr w:type="spellEnd"/>
      <w:r w:rsidRPr="00B66FF4">
        <w:rPr>
          <w:rFonts w:asciiTheme="minorHAnsi" w:hAnsiTheme="minorHAnsi" w:cstheme="minorHAnsi"/>
          <w:b/>
          <w:bCs/>
          <w:color w:val="000000" w:themeColor="text1"/>
        </w:rPr>
        <w:t xml:space="preserve"> Alignment.</w:t>
      </w:r>
    </w:p>
    <w:p w14:paraId="06FD254B" w14:textId="52F6B946" w:rsidR="00B66FF4" w:rsidRDefault="00B66FF4" w:rsidP="0063294F">
      <w:pPr>
        <w:rPr>
          <w:rFonts w:asciiTheme="minorHAnsi" w:hAnsiTheme="minorHAnsi" w:cstheme="minorHAnsi"/>
          <w:b/>
          <w:bCs/>
          <w:color w:val="000000" w:themeColor="text1"/>
        </w:rPr>
      </w:pPr>
    </w:p>
    <w:p w14:paraId="543A1FAC" w14:textId="04E3929C" w:rsidR="00B66FF4" w:rsidRPr="00B66FF4" w:rsidRDefault="00B66FF4" w:rsidP="00B66FF4">
      <w:pPr>
        <w:rPr>
          <w:rFonts w:asciiTheme="majorHAnsi" w:hAnsiTheme="majorHAnsi" w:cstheme="majorHAnsi"/>
          <w:noProof/>
        </w:rPr>
      </w:pPr>
      <w:r w:rsidRPr="00B66FF4">
        <w:rPr>
          <w:rFonts w:asciiTheme="majorHAnsi" w:hAnsiTheme="majorHAnsi" w:cstheme="majorHAnsi"/>
          <w:noProof/>
        </w:rPr>
        <w:t>Als Neumann 2010 den KH 120 auf den Markt brachte, war dies der Beginn einer bis heute anhaltenden Erfolgsgeschichte. Seitdem wurde Neumann-Monitoring in unzähligen Studios rund um den Globus zur Referenz der Wahl. Der KH 120 II folgt der gleichen Philosophie wie sein Vorgänger und hebt sie auf die nächste Stufe: höchste Linearität, geringste Verzerrungen, keinerlei Verfärbungen und perfekte Anpassungsfähigkeit an jede akustische Umgebung.</w:t>
      </w:r>
      <w:r w:rsidRPr="00B66FF4">
        <w:rPr>
          <w:rFonts w:asciiTheme="majorHAnsi" w:hAnsiTheme="majorHAnsi" w:cstheme="majorHAnsi"/>
          <w:noProof/>
        </w:rPr>
        <w:br/>
      </w:r>
      <w:r w:rsidRPr="00B66FF4">
        <w:rPr>
          <w:rFonts w:asciiTheme="majorHAnsi" w:hAnsiTheme="majorHAnsi" w:cstheme="majorHAnsi"/>
          <w:noProof/>
        </w:rPr>
        <w:br/>
        <w:t xml:space="preserve">„Es gehört zum Neumann-Ethos, sich nie mit dem bisher Erreichten zufrieden zu geben“, sagt Portfolio-Manager Stephan Mauer, „Der KH 120 erhielt hunderte von 5-Sterne-Bewertungen, doch wir wussten, dass wir ihn noch besser machen können. Für den </w:t>
      </w:r>
      <w:r w:rsidRPr="00B66FF4">
        <w:rPr>
          <w:rFonts w:asciiTheme="majorHAnsi" w:hAnsiTheme="majorHAnsi" w:cstheme="majorHAnsi"/>
          <w:noProof/>
        </w:rPr>
        <w:lastRenderedPageBreak/>
        <w:t xml:space="preserve">KH 120 II haben wir einen neuartigen Tiefmitteltöner entwickelt, der Verzerrungen hörbar reduziert und weitaus höhere Schalldruckpegel ermöglicht. Zusätzlich zu einem außergewöhnlich ebenen Frequenzgang von 44 Hz bis 21 kHz (±3 dB) bietet der KH 120 II auch einen linearisierten Phasengang. Dies führt zu klaren Mitten mit erstaunlicher Transparenz sowie extremer Präzision auf der Zeitebene, d.h. akkurate Impulswiedergabe und fein aufgelöste Hallräume.“ </w:t>
      </w:r>
      <w:r w:rsidRPr="00B66FF4">
        <w:rPr>
          <w:rFonts w:asciiTheme="majorHAnsi" w:hAnsiTheme="majorHAnsi" w:cstheme="majorHAnsi"/>
          <w:noProof/>
        </w:rPr>
        <w:br/>
      </w:r>
      <w:r w:rsidRPr="00B66FF4">
        <w:rPr>
          <w:rFonts w:asciiTheme="majorHAnsi" w:hAnsiTheme="majorHAnsi" w:cstheme="majorHAnsi"/>
          <w:noProof/>
        </w:rPr>
        <w:br/>
      </w:r>
      <w:r w:rsidR="00AE4B50">
        <w:rPr>
          <w:rFonts w:asciiTheme="majorHAnsi" w:hAnsiTheme="majorHAnsi" w:cstheme="majorHAnsi"/>
          <w:noProof/>
        </w:rPr>
        <w:drawing>
          <wp:anchor distT="0" distB="0" distL="114300" distR="114300" simplePos="0" relativeHeight="251659264" behindDoc="1" locked="0" layoutInCell="1" allowOverlap="1" wp14:anchorId="5DB35DE4" wp14:editId="17E9F97B">
            <wp:simplePos x="0" y="0"/>
            <wp:positionH relativeFrom="column">
              <wp:posOffset>2540</wp:posOffset>
            </wp:positionH>
            <wp:positionV relativeFrom="paragraph">
              <wp:posOffset>1570900</wp:posOffset>
            </wp:positionV>
            <wp:extent cx="2162175" cy="1621790"/>
            <wp:effectExtent l="0" t="0" r="0" b="3810"/>
            <wp:wrapTight wrapText="bothSides">
              <wp:wrapPolygon edited="0">
                <wp:start x="0" y="0"/>
                <wp:lineTo x="0" y="21482"/>
                <wp:lineTo x="21441" y="21482"/>
                <wp:lineTo x="2144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cstate="print">
                      <a:extLst>
                        <a:ext uri="{28A0092B-C50C-407E-A947-70E740481C1C}">
                          <a14:useLocalDpi xmlns:a14="http://schemas.microsoft.com/office/drawing/2010/main"/>
                        </a:ext>
                      </a:extLst>
                    </a:blip>
                    <a:stretch>
                      <a:fillRect/>
                    </a:stretch>
                  </pic:blipFill>
                  <pic:spPr>
                    <a:xfrm>
                      <a:off x="0" y="0"/>
                      <a:ext cx="2162175" cy="1621790"/>
                    </a:xfrm>
                    <a:prstGeom prst="rect">
                      <a:avLst/>
                    </a:prstGeom>
                  </pic:spPr>
                </pic:pic>
              </a:graphicData>
            </a:graphic>
            <wp14:sizeRelH relativeFrom="page">
              <wp14:pctWidth>0</wp14:pctWidth>
            </wp14:sizeRelH>
            <wp14:sizeRelV relativeFrom="page">
              <wp14:pctHeight>0</wp14:pctHeight>
            </wp14:sizeRelV>
          </wp:anchor>
        </w:drawing>
      </w:r>
      <w:r w:rsidRPr="00B66FF4">
        <w:rPr>
          <w:rFonts w:asciiTheme="majorHAnsi" w:hAnsiTheme="majorHAnsi" w:cstheme="majorHAnsi"/>
          <w:noProof/>
        </w:rPr>
        <w:t>Ermöglicht wird dies durch eine DSP-gesteuerte Elektronik mit ausgeklügelten Frequenzweichen ohne die Phasenverzerrungen, wie sie analoge Filter verursachen. Der interne DSP setzt zudem neue Maßstäbe bezüglich der tonalen Konsistenz. Der KH 120 II wird mit extrem geringen Toleranzen von lediglich ±0,5 dB gefertigt. Die Stereoabbildung ist daher messerscharf. Die Digitalelektronik ermöglicht zudem die automatische Raumanpassung mittels Neumanns Hard/Software-Lösung MA 1 (separat erhältlich).</w:t>
      </w:r>
      <w:r w:rsidRPr="00B66FF4">
        <w:rPr>
          <w:rFonts w:asciiTheme="majorHAnsi" w:hAnsiTheme="majorHAnsi" w:cstheme="majorHAnsi"/>
          <w:noProof/>
        </w:rPr>
        <w:br/>
      </w:r>
      <w:r w:rsidRPr="00B66FF4">
        <w:rPr>
          <w:rFonts w:asciiTheme="majorHAnsi" w:hAnsiTheme="majorHAnsi" w:cstheme="majorHAnsi"/>
          <w:noProof/>
        </w:rPr>
        <w:br/>
        <w:t xml:space="preserve">„Selbst der beste Studiomonitor ist von seiner akustischen Umgebung abhängig“, erklärt Neumanns CEO Ralf Oehl. „Daher ist die Möglichkeit, den KH 120 II mit Neumanns </w:t>
      </w:r>
      <w:r w:rsidR="00AE4B50">
        <w:rPr>
          <w:rFonts w:asciiTheme="majorHAnsi" w:hAnsiTheme="majorHAnsi" w:cstheme="majorHAnsi"/>
          <w:noProof/>
        </w:rPr>
        <w:drawing>
          <wp:anchor distT="0" distB="0" distL="114300" distR="114300" simplePos="0" relativeHeight="251661312" behindDoc="1" locked="0" layoutInCell="1" allowOverlap="1" wp14:anchorId="4E3AACAD" wp14:editId="400CAC32">
            <wp:simplePos x="0" y="0"/>
            <wp:positionH relativeFrom="column">
              <wp:posOffset>2780665</wp:posOffset>
            </wp:positionH>
            <wp:positionV relativeFrom="paragraph">
              <wp:posOffset>4445000</wp:posOffset>
            </wp:positionV>
            <wp:extent cx="2381250" cy="1784985"/>
            <wp:effectExtent l="0" t="0" r="6350" b="5715"/>
            <wp:wrapTight wrapText="bothSides">
              <wp:wrapPolygon edited="0">
                <wp:start x="0" y="0"/>
                <wp:lineTo x="0" y="21515"/>
                <wp:lineTo x="21542" y="21515"/>
                <wp:lineTo x="2154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cstate="print">
                      <a:extLst>
                        <a:ext uri="{28A0092B-C50C-407E-A947-70E740481C1C}">
                          <a14:useLocalDpi xmlns:a14="http://schemas.microsoft.com/office/drawing/2010/main"/>
                        </a:ext>
                      </a:extLst>
                    </a:blip>
                    <a:stretch>
                      <a:fillRect/>
                    </a:stretch>
                  </pic:blipFill>
                  <pic:spPr>
                    <a:xfrm>
                      <a:off x="0" y="0"/>
                      <a:ext cx="2381250" cy="1784985"/>
                    </a:xfrm>
                    <a:prstGeom prst="rect">
                      <a:avLst/>
                    </a:prstGeom>
                  </pic:spPr>
                </pic:pic>
              </a:graphicData>
            </a:graphic>
            <wp14:sizeRelH relativeFrom="page">
              <wp14:pctWidth>0</wp14:pctWidth>
            </wp14:sizeRelH>
            <wp14:sizeRelV relativeFrom="page">
              <wp14:pctHeight>0</wp14:pctHeight>
            </wp14:sizeRelV>
          </wp:anchor>
        </w:drawing>
      </w:r>
      <w:r w:rsidRPr="00B66FF4">
        <w:rPr>
          <w:rFonts w:asciiTheme="majorHAnsi" w:hAnsiTheme="majorHAnsi" w:cstheme="majorHAnsi"/>
          <w:noProof/>
        </w:rPr>
        <w:t xml:space="preserve">Automatic Monitor Alignment MA 1 zu verwenden, ein enormer Vorteil bezüglich der Performance unter Realbedingungen. </w:t>
      </w:r>
      <w:r w:rsidR="00655EC2">
        <w:rPr>
          <w:rFonts w:asciiTheme="majorHAnsi" w:hAnsiTheme="majorHAnsi" w:cstheme="majorHAnsi"/>
          <w:noProof/>
        </w:rPr>
        <w:br/>
      </w:r>
      <w:r w:rsidRPr="00B66FF4">
        <w:rPr>
          <w:rFonts w:asciiTheme="majorHAnsi" w:hAnsiTheme="majorHAnsi" w:cstheme="majorHAnsi"/>
          <w:noProof/>
        </w:rPr>
        <w:t>Endlich kann man auch in weniger idealen Umgebungen wie kleinen Studios oder behelfsmäßigen Regieräumen für mobile Aufnahmen mit verlässlichem Monitoring der Referenzklasse arbeiten. Aber natürlich ist d</w:t>
      </w:r>
      <w:r w:rsidR="00E13E93">
        <w:rPr>
          <w:rFonts w:asciiTheme="majorHAnsi" w:hAnsiTheme="majorHAnsi" w:cstheme="majorHAnsi"/>
          <w:noProof/>
        </w:rPr>
        <w:t>er</w:t>
      </w:r>
      <w:r w:rsidRPr="00B66FF4">
        <w:rPr>
          <w:rFonts w:asciiTheme="majorHAnsi" w:hAnsiTheme="majorHAnsi" w:cstheme="majorHAnsi"/>
          <w:noProof/>
        </w:rPr>
        <w:t xml:space="preserve"> KH 120 II auch eine hervorragende Lösung für professionelle Studios, Schnittplätze und sogar immersive Setups.“</w:t>
      </w:r>
      <w:r w:rsidRPr="00B66FF4">
        <w:rPr>
          <w:rFonts w:asciiTheme="majorHAnsi" w:hAnsiTheme="majorHAnsi" w:cstheme="majorHAnsi"/>
          <w:noProof/>
        </w:rPr>
        <w:br/>
      </w:r>
      <w:r w:rsidRPr="00B66FF4">
        <w:rPr>
          <w:rFonts w:asciiTheme="majorHAnsi" w:hAnsiTheme="majorHAnsi" w:cstheme="majorHAnsi"/>
          <w:noProof/>
        </w:rPr>
        <w:br/>
        <w:t xml:space="preserve">Der KH 120 II ist zugleich ein Update in Sachen Nachhaltigkeit. Die Neumann-Ingenieure haben mit großer Sorgfalt eine zum Patent angemeldete Verstärkertechnologie entwickelt, die überragende Audio-Performance mit der Energieeffizienz von Class D kombiniert. Obwohl die Verstärker des KH 120 II bis zu 145 W an den 5,25-Zoll-Tieftöner und 100 W an den 1-Zoll-Hochtöner liefern, verbrauchen sie im Leerlauf nur 17 W. Die Auto-Standby-Funktion reduziert den Stromverbrauch auf 0,3 W, wenn der KH 120 II eine Zeit lang nicht benutzt wurde, kann aber deaktiviert werden. </w:t>
      </w:r>
      <w:r w:rsidRPr="00B66FF4">
        <w:rPr>
          <w:rFonts w:asciiTheme="majorHAnsi" w:hAnsiTheme="majorHAnsi" w:cstheme="majorHAnsi"/>
          <w:noProof/>
        </w:rPr>
        <w:br/>
      </w:r>
      <w:r w:rsidRPr="00B66FF4">
        <w:rPr>
          <w:rFonts w:asciiTheme="majorHAnsi" w:hAnsiTheme="majorHAnsi" w:cstheme="majorHAnsi"/>
          <w:noProof/>
        </w:rPr>
        <w:lastRenderedPageBreak/>
        <w:br/>
      </w:r>
      <w:r w:rsidR="001B552C">
        <w:rPr>
          <w:rFonts w:asciiTheme="majorHAnsi" w:hAnsiTheme="majorHAnsi" w:cstheme="majorHAnsi"/>
          <w:noProof/>
        </w:rPr>
        <w:drawing>
          <wp:anchor distT="0" distB="0" distL="114300" distR="114300" simplePos="0" relativeHeight="251662336" behindDoc="1" locked="0" layoutInCell="1" allowOverlap="1" wp14:anchorId="1EA06EB8" wp14:editId="0FE09870">
            <wp:simplePos x="0" y="0"/>
            <wp:positionH relativeFrom="column">
              <wp:posOffset>2985589</wp:posOffset>
            </wp:positionH>
            <wp:positionV relativeFrom="paragraph">
              <wp:posOffset>243205</wp:posOffset>
            </wp:positionV>
            <wp:extent cx="2035175" cy="1795780"/>
            <wp:effectExtent l="0" t="0" r="0" b="0"/>
            <wp:wrapTight wrapText="bothSides">
              <wp:wrapPolygon edited="0">
                <wp:start x="0" y="0"/>
                <wp:lineTo x="0" y="21386"/>
                <wp:lineTo x="21432" y="21386"/>
                <wp:lineTo x="21432" y="0"/>
                <wp:lineTo x="0" y="0"/>
              </wp:wrapPolygon>
            </wp:wrapTight>
            <wp:docPr id="6" name="Grafik 6" descr="Ein Bild, das Im Hau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Im Haus, Elektronik enthält.&#10;&#10;Automatisch generierte Beschreibu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035175" cy="179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6FF4">
        <w:rPr>
          <w:rFonts w:asciiTheme="majorHAnsi" w:hAnsiTheme="majorHAnsi" w:cstheme="majorHAnsi"/>
          <w:noProof/>
        </w:rPr>
        <w:t>Der KH 120 II bietet analoge und digitale Eingänge (S/PDIF). Er wird auch in einer AES67-Variante mit redundanten AES67-Audionetzwerk</w:t>
      </w:r>
      <w:r w:rsidR="00250716">
        <w:rPr>
          <w:rFonts w:asciiTheme="majorHAnsi" w:hAnsiTheme="majorHAnsi" w:cstheme="majorHAnsi"/>
          <w:noProof/>
        </w:rPr>
        <w:softHyphen/>
      </w:r>
      <w:r w:rsidRPr="00B66FF4">
        <w:rPr>
          <w:rFonts w:asciiTheme="majorHAnsi" w:hAnsiTheme="majorHAnsi" w:cstheme="majorHAnsi"/>
          <w:noProof/>
        </w:rPr>
        <w:t xml:space="preserve">anschlüssen erhältlich sein, und ist damit vollständig konform zu Broadcast-Standards wie ST 2110, Redundanz nach ST 2022-7 und RAVENNA. Gleichzeitig ist der KH 120 II AES67 kompatibel zu DANTE®-generierten AES67-Streams. </w:t>
      </w:r>
      <w:r w:rsidRPr="00B66FF4">
        <w:rPr>
          <w:rFonts w:asciiTheme="majorHAnsi" w:hAnsiTheme="majorHAnsi" w:cstheme="majorHAnsi"/>
          <w:noProof/>
        </w:rPr>
        <w:br/>
      </w:r>
    </w:p>
    <w:p w14:paraId="54DDD922" w14:textId="77777777" w:rsidR="00B66FF4" w:rsidRPr="00B66FF4" w:rsidRDefault="00B66FF4" w:rsidP="00B66FF4">
      <w:pPr>
        <w:rPr>
          <w:rFonts w:asciiTheme="majorHAnsi" w:hAnsiTheme="majorHAnsi" w:cstheme="majorHAnsi"/>
          <w:noProof/>
        </w:rPr>
      </w:pPr>
      <w:r w:rsidRPr="00B66FF4">
        <w:rPr>
          <w:rFonts w:asciiTheme="majorHAnsi" w:hAnsiTheme="majorHAnsi" w:cstheme="majorHAnsi"/>
          <w:noProof/>
        </w:rPr>
        <w:t>Der KH 120 II und der KH 120 II AES67 sind erhältlich ab 17. 04. 2023.</w:t>
      </w:r>
    </w:p>
    <w:p w14:paraId="5DDFCA69" w14:textId="0D21643E" w:rsidR="00B66FF4" w:rsidRPr="00B66FF4" w:rsidRDefault="00B66FF4" w:rsidP="00B66FF4">
      <w:pPr>
        <w:rPr>
          <w:rFonts w:asciiTheme="majorHAnsi" w:hAnsiTheme="majorHAnsi" w:cstheme="majorHAnsi"/>
          <w:noProof/>
        </w:rPr>
      </w:pPr>
      <w:r w:rsidRPr="00B66FF4">
        <w:rPr>
          <w:rFonts w:asciiTheme="majorHAnsi" w:hAnsiTheme="majorHAnsi" w:cstheme="majorHAnsi"/>
          <w:noProof/>
        </w:rPr>
        <w:t>Unverbindliche Preisempfehlung: KH 120 II € 899/$ 999; KH 120 II AES67 € 1195/$ 1250.</w:t>
      </w:r>
    </w:p>
    <w:p w14:paraId="6D650EE9" w14:textId="23F70324" w:rsidR="00B66FF4" w:rsidRDefault="00B66FF4" w:rsidP="00B66FF4">
      <w:pPr>
        <w:rPr>
          <w:rFonts w:asciiTheme="majorHAnsi" w:hAnsiTheme="majorHAnsi" w:cstheme="majorHAnsi"/>
          <w:noProof/>
        </w:rPr>
      </w:pPr>
      <w:r w:rsidRPr="00B66FF4">
        <w:rPr>
          <w:rFonts w:asciiTheme="majorHAnsi" w:hAnsiTheme="majorHAnsi" w:cstheme="majorHAnsi"/>
          <w:noProof/>
        </w:rPr>
        <w:t xml:space="preserve">Mehr Informationen unter </w:t>
      </w:r>
      <w:hyperlink r:id="rId15" w:tooltip="https://www.neumann.com/de-de/produkte/monitors/kh-120-ii" w:history="1">
        <w:r w:rsidR="00505280">
          <w:rPr>
            <w:rStyle w:val="Hyperlink"/>
            <w:rFonts w:ascii="Arial" w:hAnsi="Arial" w:cs="Arial"/>
            <w:color w:val="0078D7"/>
          </w:rPr>
          <w:t>https://www.neumann.com/de-de/produkte/monitors/kh-120-ii</w:t>
        </w:r>
      </w:hyperlink>
    </w:p>
    <w:p w14:paraId="27A3BBDC" w14:textId="77777777" w:rsidR="00B66FF4" w:rsidRPr="00B66FF4" w:rsidRDefault="00B66FF4" w:rsidP="00B66FF4">
      <w:pPr>
        <w:rPr>
          <w:rFonts w:asciiTheme="majorHAnsi" w:hAnsiTheme="majorHAnsi" w:cstheme="majorHAnsi"/>
          <w:noProof/>
        </w:rPr>
      </w:pPr>
    </w:p>
    <w:p w14:paraId="58F9E8A5" w14:textId="77777777" w:rsidR="00B66FF4" w:rsidRPr="00B66FF4" w:rsidRDefault="00B66FF4" w:rsidP="00B66FF4">
      <w:pPr>
        <w:rPr>
          <w:rFonts w:asciiTheme="majorHAnsi" w:eastAsia="Times New Roman" w:hAnsiTheme="majorHAnsi" w:cstheme="majorHAnsi"/>
          <w:color w:val="000000" w:themeColor="text1"/>
        </w:rPr>
      </w:pPr>
      <w:r w:rsidRPr="00B66FF4">
        <w:rPr>
          <w:rFonts w:asciiTheme="majorHAnsi" w:eastAsia="Times New Roman" w:hAnsiTheme="majorHAnsi" w:cstheme="majorHAnsi"/>
          <w:color w:val="000000" w:themeColor="text1"/>
        </w:rPr>
        <w:t>Features:</w:t>
      </w:r>
    </w:p>
    <w:p w14:paraId="065EE048" w14:textId="77777777" w:rsidR="00B66FF4" w:rsidRPr="00B66FF4" w:rsidRDefault="00B66FF4" w:rsidP="00B66FF4">
      <w:pPr>
        <w:pStyle w:val="Listenabsatz"/>
        <w:numPr>
          <w:ilvl w:val="0"/>
          <w:numId w:val="15"/>
        </w:numPr>
        <w:rPr>
          <w:rFonts w:asciiTheme="majorHAnsi" w:eastAsia="Times New Roman" w:hAnsiTheme="majorHAnsi" w:cstheme="majorHAnsi"/>
          <w:color w:val="000000" w:themeColor="text1"/>
        </w:rPr>
      </w:pPr>
      <w:r w:rsidRPr="00B66FF4">
        <w:rPr>
          <w:rFonts w:asciiTheme="majorHAnsi" w:eastAsia="Times New Roman" w:hAnsiTheme="majorHAnsi" w:cstheme="majorHAnsi"/>
          <w:color w:val="000000" w:themeColor="text1"/>
        </w:rPr>
        <w:t xml:space="preserve">Linearer Frequenz- und Phasengang </w:t>
      </w:r>
    </w:p>
    <w:p w14:paraId="00CED193" w14:textId="77777777" w:rsidR="00B66FF4" w:rsidRPr="00B66FF4" w:rsidRDefault="00B66FF4" w:rsidP="00B66FF4">
      <w:pPr>
        <w:pStyle w:val="Listenabsatz"/>
        <w:numPr>
          <w:ilvl w:val="0"/>
          <w:numId w:val="15"/>
        </w:numPr>
        <w:rPr>
          <w:rFonts w:asciiTheme="majorHAnsi" w:eastAsia="Times New Roman" w:hAnsiTheme="majorHAnsi" w:cstheme="majorHAnsi"/>
          <w:color w:val="000000" w:themeColor="text1"/>
        </w:rPr>
      </w:pPr>
      <w:r w:rsidRPr="00B66FF4">
        <w:rPr>
          <w:rFonts w:asciiTheme="majorHAnsi" w:eastAsia="Times New Roman" w:hAnsiTheme="majorHAnsi" w:cstheme="majorHAnsi"/>
          <w:color w:val="000000" w:themeColor="text1"/>
        </w:rPr>
        <w:t>DSP-Engine für herausragende Performance und automatische Raumanpassung mit MA 1</w:t>
      </w:r>
    </w:p>
    <w:p w14:paraId="194A9659" w14:textId="77777777" w:rsidR="00B66FF4" w:rsidRPr="00B66FF4" w:rsidRDefault="00B66FF4" w:rsidP="00B66FF4">
      <w:pPr>
        <w:pStyle w:val="Listenabsatz"/>
        <w:numPr>
          <w:ilvl w:val="0"/>
          <w:numId w:val="15"/>
        </w:numPr>
        <w:rPr>
          <w:rFonts w:asciiTheme="majorHAnsi" w:eastAsia="Times New Roman" w:hAnsiTheme="majorHAnsi" w:cstheme="majorHAnsi"/>
          <w:color w:val="000000" w:themeColor="text1"/>
        </w:rPr>
      </w:pPr>
      <w:r w:rsidRPr="00B66FF4">
        <w:rPr>
          <w:rFonts w:asciiTheme="majorHAnsi" w:eastAsia="Times New Roman" w:hAnsiTheme="majorHAnsi" w:cstheme="majorHAnsi"/>
          <w:color w:val="000000" w:themeColor="text1"/>
        </w:rPr>
        <w:t>Tiefe Basswiedergabe bis 44 Hz und hohe Pegelreserven bei kleinem Formfaktor</w:t>
      </w:r>
    </w:p>
    <w:p w14:paraId="5D7692AC" w14:textId="77777777" w:rsidR="00B66FF4" w:rsidRPr="00B66FF4" w:rsidRDefault="00B66FF4" w:rsidP="00B66FF4">
      <w:pPr>
        <w:pStyle w:val="Listenabsatz"/>
        <w:numPr>
          <w:ilvl w:val="0"/>
          <w:numId w:val="15"/>
        </w:numPr>
        <w:rPr>
          <w:rFonts w:asciiTheme="majorHAnsi" w:eastAsia="Times New Roman" w:hAnsiTheme="majorHAnsi" w:cstheme="majorHAnsi"/>
          <w:color w:val="000000" w:themeColor="text1"/>
        </w:rPr>
      </w:pPr>
      <w:r w:rsidRPr="00B66FF4">
        <w:rPr>
          <w:rFonts w:asciiTheme="majorHAnsi" w:eastAsia="Times New Roman" w:hAnsiTheme="majorHAnsi" w:cstheme="majorHAnsi"/>
          <w:color w:val="000000" w:themeColor="text1"/>
        </w:rPr>
        <w:t>Analoge und S/PDIF-Eingänge, optional mit AES67</w:t>
      </w:r>
    </w:p>
    <w:p w14:paraId="08FA39E4" w14:textId="77777777" w:rsidR="001B552C" w:rsidRDefault="001B552C" w:rsidP="001B552C">
      <w:pPr>
        <w:tabs>
          <w:tab w:val="left" w:pos="284"/>
        </w:tabs>
        <w:rPr>
          <w:rFonts w:asciiTheme="minorHAnsi" w:hAnsiTheme="minorHAnsi" w:cstheme="minorHAnsi"/>
          <w:b/>
          <w:bCs/>
          <w:color w:val="000000" w:themeColor="text1"/>
        </w:rPr>
      </w:pPr>
    </w:p>
    <w:p w14:paraId="2406A391" w14:textId="34C87340" w:rsidR="00BE31F0" w:rsidRPr="001B552C" w:rsidRDefault="00AD4B83" w:rsidP="001B552C">
      <w:pPr>
        <w:tabs>
          <w:tab w:val="left" w:pos="284"/>
        </w:tabs>
        <w:rPr>
          <w:rFonts w:asciiTheme="majorHAnsi" w:eastAsia="Times New Roman" w:hAnsiTheme="majorHAnsi" w:cstheme="majorHAnsi"/>
          <w:color w:val="000000" w:themeColor="text1"/>
        </w:rPr>
      </w:pPr>
      <w:r>
        <w:rPr>
          <w:rFonts w:asciiTheme="minorHAnsi" w:hAnsiTheme="minorHAnsi" w:cstheme="minorHAnsi"/>
          <w:b/>
          <w:color w:val="000000" w:themeColor="text1"/>
          <w:sz w:val="16"/>
          <w:szCs w:val="16"/>
        </w:rPr>
        <w:t>Übe</w:t>
      </w:r>
      <w:r w:rsidR="002C4934">
        <w:rPr>
          <w:rFonts w:asciiTheme="minorHAnsi" w:hAnsiTheme="minorHAnsi" w:cstheme="minorHAnsi"/>
          <w:b/>
          <w:color w:val="000000" w:themeColor="text1"/>
          <w:sz w:val="16"/>
          <w:szCs w:val="16"/>
        </w:rPr>
        <w:t>r Neumann</w:t>
      </w:r>
      <w:r w:rsidR="00BE31F0" w:rsidRPr="002C7546">
        <w:rPr>
          <w:rFonts w:asciiTheme="minorHAnsi" w:hAnsiTheme="minorHAnsi" w:cstheme="minorHAnsi"/>
          <w:color w:val="000000" w:themeColor="text1"/>
          <w:sz w:val="16"/>
          <w:szCs w:val="16"/>
        </w:rPr>
        <w:br/>
      </w:r>
      <w:r w:rsidRPr="002C7546">
        <w:rPr>
          <w:rFonts w:asciiTheme="majorHAnsi" w:hAnsiTheme="majorHAnsi" w:cstheme="majorHAnsi"/>
          <w:sz w:val="16"/>
          <w:szCs w:val="16"/>
        </w:rPr>
        <w:t>Die Georg Neumann GmbH – bekannt als “</w:t>
      </w:r>
      <w:proofErr w:type="spellStart"/>
      <w:r w:rsidRPr="002C7546">
        <w:rPr>
          <w:rFonts w:asciiTheme="majorHAnsi" w:hAnsiTheme="majorHAnsi" w:cstheme="majorHAnsi"/>
          <w:sz w:val="16"/>
          <w:szCs w:val="16"/>
        </w:rPr>
        <w:t>Neumann.Berlin</w:t>
      </w:r>
      <w:proofErr w:type="spellEnd"/>
      <w:r w:rsidRPr="002C7546">
        <w:rPr>
          <w:rFonts w:asciiTheme="majorHAnsi" w:hAnsiTheme="majorHAnsi" w:cstheme="majorHAnsi"/>
          <w:sz w:val="16"/>
          <w:szCs w:val="16"/>
        </w:rPr>
        <w:t xml:space="preserve">” – ist einer der weltweit führenden Hersteller von professionellem Audio-Equipment, insbesondere im Studiobereich. Zum Portfolio gehören legendäre Mikrofone wie das U 47, M 49, U 67, U 87 und TLM 103. Zahlreiche Produkte des 1928 gegründeten Unternehmens sind mit internationalen Preisen für technische Innovation ausgezeichnet worden. Seit 2010 bringt </w:t>
      </w:r>
      <w:proofErr w:type="spellStart"/>
      <w:r w:rsidRPr="002C7546">
        <w:rPr>
          <w:rFonts w:asciiTheme="majorHAnsi" w:hAnsiTheme="majorHAnsi" w:cstheme="majorHAnsi"/>
          <w:sz w:val="16"/>
          <w:szCs w:val="16"/>
        </w:rPr>
        <w:t>Neumann.Berlin</w:t>
      </w:r>
      <w:proofErr w:type="spellEnd"/>
      <w:r w:rsidRPr="002C7546">
        <w:rPr>
          <w:rFonts w:asciiTheme="majorHAnsi" w:hAnsiTheme="majorHAnsi" w:cstheme="majorHAnsi"/>
          <w:sz w:val="16"/>
          <w:szCs w:val="16"/>
        </w:rPr>
        <w:t xml:space="preserve"> seine Erfahrung auf dem Gebiet der elektroakustischen </w:t>
      </w:r>
      <w:proofErr w:type="spellStart"/>
      <w:r w:rsidRPr="002C7546">
        <w:rPr>
          <w:rFonts w:asciiTheme="majorHAnsi" w:hAnsiTheme="majorHAnsi" w:cstheme="majorHAnsi"/>
          <w:sz w:val="16"/>
          <w:szCs w:val="16"/>
        </w:rPr>
        <w:t>Wandlertechnik</w:t>
      </w:r>
      <w:proofErr w:type="spellEnd"/>
      <w:r w:rsidRPr="002C7546">
        <w:rPr>
          <w:rFonts w:asciiTheme="majorHAnsi" w:hAnsiTheme="majorHAnsi" w:cstheme="majorHAnsi"/>
          <w:sz w:val="16"/>
          <w:szCs w:val="16"/>
        </w:rPr>
        <w:t xml:space="preserve"> auch in den Bereich der Studiomonitore ein. Anfang 2019 kam der erste Neumann Studiokopfhörer auf den Markt und seit 2022 engagiert sich das Unternehmen mit Referenzlösungen verstärkt auch im Live-Bereich. Seit 1991 gehört die Georg Neumann GmbH zur Sennheiser-Gruppe und ist weltweit durch Sennheiser-Vertriebstöchter und -partner vertreten. www.neumann.com.</w:t>
      </w:r>
    </w:p>
    <w:p w14:paraId="2DBDB75C" w14:textId="3F59B600" w:rsidR="00BE31F0" w:rsidRPr="002C7546" w:rsidRDefault="00BE31F0" w:rsidP="00BE31F0">
      <w:pPr>
        <w:spacing w:after="120" w:line="276" w:lineRule="auto"/>
        <w:rPr>
          <w:rFonts w:asciiTheme="minorHAnsi" w:hAnsiTheme="minorHAnsi" w:cstheme="minorHAnsi"/>
          <w:b/>
          <w:color w:val="000000" w:themeColor="text1"/>
        </w:rPr>
      </w:pPr>
    </w:p>
    <w:p w14:paraId="62301B69" w14:textId="4F9FBF5B" w:rsidR="00BE31F0" w:rsidRPr="004F721A" w:rsidRDefault="00BE31F0" w:rsidP="00BE31F0">
      <w:pPr>
        <w:pStyle w:val="Contact"/>
        <w:rPr>
          <w:rFonts w:asciiTheme="minorHAnsi" w:hAnsiTheme="minorHAnsi" w:cstheme="minorHAnsi"/>
          <w:b/>
          <w:color w:val="000000" w:themeColor="text1"/>
        </w:rPr>
      </w:pPr>
      <w:r w:rsidRPr="004F721A">
        <w:rPr>
          <w:rFonts w:asciiTheme="minorHAnsi" w:hAnsiTheme="minorHAnsi" w:cstheme="minorHAnsi"/>
          <w:b/>
          <w:color w:val="000000" w:themeColor="text1"/>
        </w:rPr>
        <w:t>Press</w:t>
      </w:r>
      <w:r w:rsidR="002C4934" w:rsidRPr="004F721A">
        <w:rPr>
          <w:rFonts w:asciiTheme="minorHAnsi" w:hAnsiTheme="minorHAnsi" w:cstheme="minorHAnsi"/>
          <w:b/>
          <w:color w:val="000000" w:themeColor="text1"/>
        </w:rPr>
        <w:t>e-Kontakt</w:t>
      </w:r>
      <w:r w:rsidRPr="004F721A">
        <w:rPr>
          <w:rFonts w:asciiTheme="minorHAnsi" w:hAnsiTheme="minorHAnsi" w:cstheme="minorHAnsi"/>
          <w:b/>
          <w:color w:val="000000" w:themeColor="text1"/>
        </w:rPr>
        <w:t xml:space="preserve"> Neumann:</w:t>
      </w:r>
    </w:p>
    <w:p w14:paraId="6A9886EC" w14:textId="09338E38" w:rsidR="00BE31F0" w:rsidRPr="004F721A" w:rsidRDefault="00BE31F0" w:rsidP="00BE31F0">
      <w:pPr>
        <w:pStyle w:val="Contact"/>
        <w:rPr>
          <w:rFonts w:asciiTheme="minorHAnsi" w:hAnsiTheme="minorHAnsi" w:cstheme="minorHAnsi"/>
          <w:color w:val="000000" w:themeColor="text1"/>
        </w:rPr>
      </w:pPr>
      <w:r w:rsidRPr="004F721A">
        <w:rPr>
          <w:rFonts w:asciiTheme="minorHAnsi" w:hAnsiTheme="minorHAnsi" w:cstheme="minorHAnsi"/>
          <w:color w:val="000000" w:themeColor="text1"/>
        </w:rPr>
        <w:t xml:space="preserve">Andreas </w:t>
      </w:r>
      <w:proofErr w:type="spellStart"/>
      <w:r w:rsidRPr="004F721A">
        <w:rPr>
          <w:rFonts w:asciiTheme="minorHAnsi" w:hAnsiTheme="minorHAnsi" w:cstheme="minorHAnsi"/>
          <w:color w:val="000000" w:themeColor="text1"/>
        </w:rPr>
        <w:t>Sablotny</w:t>
      </w:r>
      <w:proofErr w:type="spellEnd"/>
    </w:p>
    <w:p w14:paraId="787D0EA2" w14:textId="157E0909" w:rsidR="00BE31F0" w:rsidRPr="004F721A" w:rsidRDefault="00BE31F0" w:rsidP="00BE31F0">
      <w:pPr>
        <w:pStyle w:val="Contact"/>
        <w:rPr>
          <w:rFonts w:asciiTheme="minorHAnsi" w:hAnsiTheme="minorHAnsi" w:cstheme="minorHAnsi"/>
          <w:color w:val="000000" w:themeColor="text1"/>
        </w:rPr>
      </w:pPr>
      <w:r w:rsidRPr="004F721A">
        <w:rPr>
          <w:rFonts w:asciiTheme="minorHAnsi" w:hAnsiTheme="minorHAnsi" w:cstheme="minorHAnsi"/>
          <w:color w:val="000000" w:themeColor="text1"/>
        </w:rPr>
        <w:t>andreas.sablotny@neumann.com</w:t>
      </w:r>
    </w:p>
    <w:p w14:paraId="38E3FB34" w14:textId="599852F0" w:rsidR="00280534" w:rsidRPr="001F11A0" w:rsidRDefault="00BE31F0" w:rsidP="00801395">
      <w:pPr>
        <w:pStyle w:val="Contact"/>
        <w:rPr>
          <w:rFonts w:asciiTheme="minorHAnsi" w:hAnsiTheme="minorHAnsi" w:cstheme="minorHAnsi"/>
          <w:color w:val="000000" w:themeColor="text1"/>
          <w:lang w:val="en-US"/>
        </w:rPr>
      </w:pPr>
      <w:r w:rsidRPr="001F11A0">
        <w:rPr>
          <w:rFonts w:asciiTheme="minorHAnsi" w:hAnsiTheme="minorHAnsi" w:cstheme="minorHAnsi"/>
          <w:color w:val="000000" w:themeColor="text1"/>
          <w:lang w:val="en-US"/>
        </w:rPr>
        <w:t>T +49 (030) 417724-19</w:t>
      </w:r>
    </w:p>
    <w:p w14:paraId="07E4C317" w14:textId="4C07E91B" w:rsidR="00280534" w:rsidRPr="00BE31F0" w:rsidRDefault="00280534" w:rsidP="00801395">
      <w:pPr>
        <w:pStyle w:val="Contact"/>
        <w:rPr>
          <w:rFonts w:asciiTheme="minorHAnsi" w:hAnsiTheme="minorHAnsi" w:cstheme="minorHAnsi"/>
          <w:lang w:val="en-US"/>
        </w:rPr>
      </w:pPr>
    </w:p>
    <w:sectPr w:rsidR="00280534" w:rsidRPr="00BE31F0" w:rsidSect="005C6232">
      <w:headerReference w:type="default" r:id="rId16"/>
      <w:headerReference w:type="first" r:id="rId17"/>
      <w:pgSz w:w="11906" w:h="16838" w:code="9"/>
      <w:pgMar w:top="2754" w:right="2266"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6F331" w14:textId="77777777" w:rsidR="004F7114" w:rsidRDefault="004F7114" w:rsidP="00CF26E7">
      <w:pPr>
        <w:spacing w:line="240" w:lineRule="auto"/>
      </w:pPr>
      <w:r>
        <w:separator/>
      </w:r>
    </w:p>
  </w:endnote>
  <w:endnote w:type="continuationSeparator" w:id="0">
    <w:p w14:paraId="66BEA84C" w14:textId="77777777" w:rsidR="004F7114" w:rsidRDefault="004F7114" w:rsidP="00CF26E7">
      <w:pPr>
        <w:spacing w:line="240" w:lineRule="auto"/>
      </w:pPr>
      <w:r>
        <w:continuationSeparator/>
      </w:r>
    </w:p>
  </w:endnote>
  <w:endnote w:type="continuationNotice" w:id="1">
    <w:p w14:paraId="55128EA7" w14:textId="77777777" w:rsidR="004F7114" w:rsidRDefault="004F71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C9F6F4B-ED8D-3A46-9820-8B90DB2EE984}"/>
  </w:font>
  <w:font w:name="Times New Roman">
    <w:panose1 w:val="02020603050405020304"/>
    <w:charset w:val="00"/>
    <w:family w:val="roman"/>
    <w:pitch w:val="variable"/>
    <w:sig w:usb0="E0002EFF" w:usb1="C000785B" w:usb2="00000009" w:usb3="00000000" w:csb0="000001FF" w:csb1="00000000"/>
    <w:embedRegular r:id="rId2" w:fontKey="{7C3D6C28-A3A2-B74A-A136-4CE691A4DFCC}"/>
    <w:embedBold r:id="rId3" w:fontKey="{6726C540-6447-F54F-A13E-A55421243C4E}"/>
  </w:font>
  <w:font w:name="Courier New">
    <w:panose1 w:val="02070309020205020404"/>
    <w:charset w:val="00"/>
    <w:family w:val="modern"/>
    <w:pitch w:val="fixed"/>
    <w:sig w:usb0="E0002EFF" w:usb1="C0007843" w:usb2="00000009" w:usb3="00000000" w:csb0="000001FF" w:csb1="00000000"/>
    <w:embedRegular r:id="rId4" w:fontKey="{C35133BB-43B9-4544-AE6F-98691AEBA257}"/>
  </w:font>
  <w:font w:name="Wingdings">
    <w:panose1 w:val="05000000000000000000"/>
    <w:charset w:val="4D"/>
    <w:family w:val="decorative"/>
    <w:pitch w:val="variable"/>
    <w:sig w:usb0="00000003" w:usb1="00000000" w:usb2="00000000" w:usb3="00000000" w:csb0="80000001" w:csb1="00000000"/>
    <w:embedRegular r:id="rId5" w:fontKey="{C4143F97-D79F-8647-BC02-BAB2DBCBD6A6}"/>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6" w:fontKey="{5469559F-047B-8545-A7F5-CBB34F003671}"/>
    <w:embedBold r:id="rId7" w:fontKey="{F8DA27E0-76C3-CD4B-95B3-003ACA055F52}"/>
  </w:font>
  <w:font w:name="Sennheiser Office">
    <w:panose1 w:val="020B0504020101010102"/>
    <w:charset w:val="00"/>
    <w:family w:val="swiss"/>
    <w:pitch w:val="variable"/>
    <w:sig w:usb0="A00000AF" w:usb1="500020DB" w:usb2="00000000" w:usb3="00000000" w:csb0="00000093" w:csb1="00000000"/>
    <w:embedRegular r:id="rId8" w:fontKey="{28DB6012-68DF-5747-9E55-855533BD11B7}"/>
    <w:embedBold r:id="rId9" w:fontKey="{21EFDC6F-5405-2444-B35F-75CE7FED96C3}"/>
  </w:font>
  <w:font w:name="Segoe UI">
    <w:panose1 w:val="020B0502040204020203"/>
    <w:charset w:val="00"/>
    <w:family w:val="swiss"/>
    <w:pitch w:val="variable"/>
    <w:sig w:usb0="E4002EFF" w:usb1="C000E47F" w:usb2="00000009" w:usb3="00000000" w:csb0="000001FF" w:csb1="00000000"/>
    <w:embedRegular r:id="rId10" w:fontKey="{BE55A289-1AE1-9445-B473-5FC56CEA2CCD}"/>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1" w:fontKey="{FE071953-9B7E-7048-A0EF-52F8F571C6AA}"/>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D1B095B2-BD40-F543-AF85-BC02715F532A}"/>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E3A8A" w14:textId="77777777" w:rsidR="004F7114" w:rsidRDefault="004F7114" w:rsidP="00CF26E7">
      <w:pPr>
        <w:spacing w:line="240" w:lineRule="auto"/>
      </w:pPr>
      <w:r>
        <w:separator/>
      </w:r>
    </w:p>
  </w:footnote>
  <w:footnote w:type="continuationSeparator" w:id="0">
    <w:p w14:paraId="21B719A5" w14:textId="77777777" w:rsidR="004F7114" w:rsidRDefault="004F7114" w:rsidP="00CF26E7">
      <w:pPr>
        <w:spacing w:line="240" w:lineRule="auto"/>
      </w:pPr>
      <w:r>
        <w:continuationSeparator/>
      </w:r>
    </w:p>
  </w:footnote>
  <w:footnote w:type="continuationNotice" w:id="1">
    <w:p w14:paraId="55F533B1" w14:textId="77777777" w:rsidR="004F7114" w:rsidRDefault="004F71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7597A78A"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4FB">
      <w:rPr>
        <w:rFonts w:asciiTheme="minorHAnsi" w:hAnsiTheme="minorHAnsi" w:cstheme="minorHAnsi"/>
        <w:caps w:val="0"/>
        <w:noProof/>
        <w:color w:val="414141" w:themeColor="accent2"/>
        <w:lang w:val="en-US" w:eastAsia="en-US"/>
      </w:rPr>
      <w:t>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E97CA6"/>
    <w:multiLevelType w:val="hybridMultilevel"/>
    <w:tmpl w:val="59E2C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9"/>
  </w:num>
  <w:num w:numId="4" w16cid:durableId="372578047">
    <w:abstractNumId w:val="4"/>
  </w:num>
  <w:num w:numId="5" w16cid:durableId="901598781">
    <w:abstractNumId w:val="7"/>
  </w:num>
  <w:num w:numId="6" w16cid:durableId="1401052572">
    <w:abstractNumId w:val="11"/>
  </w:num>
  <w:num w:numId="7" w16cid:durableId="1219391832">
    <w:abstractNumId w:val="5"/>
  </w:num>
  <w:num w:numId="8" w16cid:durableId="1972637946">
    <w:abstractNumId w:val="12"/>
  </w:num>
  <w:num w:numId="9" w16cid:durableId="1582523151">
    <w:abstractNumId w:val="3"/>
  </w:num>
  <w:num w:numId="10" w16cid:durableId="1606113127">
    <w:abstractNumId w:val="6"/>
  </w:num>
  <w:num w:numId="11" w16cid:durableId="1867406072">
    <w:abstractNumId w:val="14"/>
  </w:num>
  <w:num w:numId="12" w16cid:durableId="1459299853">
    <w:abstractNumId w:val="13"/>
  </w:num>
  <w:num w:numId="13" w16cid:durableId="309290073">
    <w:abstractNumId w:val="8"/>
  </w:num>
  <w:num w:numId="14" w16cid:durableId="1891264558">
    <w:abstractNumId w:val="10"/>
  </w:num>
  <w:num w:numId="15" w16cid:durableId="382675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3FE8"/>
    <w:rsid w:val="000049C8"/>
    <w:rsid w:val="00005543"/>
    <w:rsid w:val="00006FA8"/>
    <w:rsid w:val="000177F5"/>
    <w:rsid w:val="0002699E"/>
    <w:rsid w:val="00027F42"/>
    <w:rsid w:val="00031F2A"/>
    <w:rsid w:val="00032E96"/>
    <w:rsid w:val="00033182"/>
    <w:rsid w:val="00036334"/>
    <w:rsid w:val="000401EB"/>
    <w:rsid w:val="00043993"/>
    <w:rsid w:val="00051C8E"/>
    <w:rsid w:val="00052E12"/>
    <w:rsid w:val="00055E12"/>
    <w:rsid w:val="0006186F"/>
    <w:rsid w:val="000808FD"/>
    <w:rsid w:val="000810DE"/>
    <w:rsid w:val="000834F5"/>
    <w:rsid w:val="00087835"/>
    <w:rsid w:val="000922DA"/>
    <w:rsid w:val="0009516E"/>
    <w:rsid w:val="000A5CAD"/>
    <w:rsid w:val="000A6BD0"/>
    <w:rsid w:val="000C036D"/>
    <w:rsid w:val="000C32C3"/>
    <w:rsid w:val="000C5D49"/>
    <w:rsid w:val="000D0839"/>
    <w:rsid w:val="000D49C1"/>
    <w:rsid w:val="000D66DA"/>
    <w:rsid w:val="000E091A"/>
    <w:rsid w:val="000E3661"/>
    <w:rsid w:val="000E4907"/>
    <w:rsid w:val="000E6D9B"/>
    <w:rsid w:val="000F18C2"/>
    <w:rsid w:val="000F4E31"/>
    <w:rsid w:val="000F7E1C"/>
    <w:rsid w:val="001064F7"/>
    <w:rsid w:val="001107BC"/>
    <w:rsid w:val="0011643F"/>
    <w:rsid w:val="0012680F"/>
    <w:rsid w:val="00127E5C"/>
    <w:rsid w:val="00135FD2"/>
    <w:rsid w:val="0014028C"/>
    <w:rsid w:val="00150A8E"/>
    <w:rsid w:val="00154CF8"/>
    <w:rsid w:val="0015795B"/>
    <w:rsid w:val="00157C98"/>
    <w:rsid w:val="00162582"/>
    <w:rsid w:val="00166A53"/>
    <w:rsid w:val="00174D2F"/>
    <w:rsid w:val="0017502A"/>
    <w:rsid w:val="0018021E"/>
    <w:rsid w:val="001823DC"/>
    <w:rsid w:val="00184E77"/>
    <w:rsid w:val="001869E9"/>
    <w:rsid w:val="00187E45"/>
    <w:rsid w:val="00192915"/>
    <w:rsid w:val="001A3791"/>
    <w:rsid w:val="001A4037"/>
    <w:rsid w:val="001A6703"/>
    <w:rsid w:val="001B05C7"/>
    <w:rsid w:val="001B3A46"/>
    <w:rsid w:val="001B552C"/>
    <w:rsid w:val="001C0401"/>
    <w:rsid w:val="001C47B2"/>
    <w:rsid w:val="001C5518"/>
    <w:rsid w:val="001D0CC3"/>
    <w:rsid w:val="001D3C55"/>
    <w:rsid w:val="001E6BD7"/>
    <w:rsid w:val="001E7FAE"/>
    <w:rsid w:val="001F0467"/>
    <w:rsid w:val="001F11A0"/>
    <w:rsid w:val="001F275C"/>
    <w:rsid w:val="0020279E"/>
    <w:rsid w:val="00202FC5"/>
    <w:rsid w:val="002053BA"/>
    <w:rsid w:val="00210EFD"/>
    <w:rsid w:val="002119DE"/>
    <w:rsid w:val="00213C61"/>
    <w:rsid w:val="0021549B"/>
    <w:rsid w:val="0022377B"/>
    <w:rsid w:val="00227AB1"/>
    <w:rsid w:val="002349EF"/>
    <w:rsid w:val="00234E97"/>
    <w:rsid w:val="002354A9"/>
    <w:rsid w:val="00240551"/>
    <w:rsid w:val="00243C61"/>
    <w:rsid w:val="00245058"/>
    <w:rsid w:val="00245201"/>
    <w:rsid w:val="00250716"/>
    <w:rsid w:val="002611B4"/>
    <w:rsid w:val="002622BB"/>
    <w:rsid w:val="00262CA7"/>
    <w:rsid w:val="00266FEB"/>
    <w:rsid w:val="002744A8"/>
    <w:rsid w:val="00275C2D"/>
    <w:rsid w:val="002767F9"/>
    <w:rsid w:val="002801FC"/>
    <w:rsid w:val="00280534"/>
    <w:rsid w:val="002828FD"/>
    <w:rsid w:val="002919D0"/>
    <w:rsid w:val="002938E4"/>
    <w:rsid w:val="00293F7D"/>
    <w:rsid w:val="002949AA"/>
    <w:rsid w:val="00297733"/>
    <w:rsid w:val="002A0B37"/>
    <w:rsid w:val="002A192D"/>
    <w:rsid w:val="002A7771"/>
    <w:rsid w:val="002B0A16"/>
    <w:rsid w:val="002C4934"/>
    <w:rsid w:val="002C629A"/>
    <w:rsid w:val="002C69B6"/>
    <w:rsid w:val="002C6BE7"/>
    <w:rsid w:val="002C7546"/>
    <w:rsid w:val="002D26EF"/>
    <w:rsid w:val="002D2D00"/>
    <w:rsid w:val="002D31C9"/>
    <w:rsid w:val="002E1B40"/>
    <w:rsid w:val="002F7F4D"/>
    <w:rsid w:val="00301CB7"/>
    <w:rsid w:val="003057A0"/>
    <w:rsid w:val="00305CC3"/>
    <w:rsid w:val="00311826"/>
    <w:rsid w:val="00311D5F"/>
    <w:rsid w:val="00312A53"/>
    <w:rsid w:val="003154D6"/>
    <w:rsid w:val="00315E38"/>
    <w:rsid w:val="00334743"/>
    <w:rsid w:val="00336916"/>
    <w:rsid w:val="00343734"/>
    <w:rsid w:val="00343A56"/>
    <w:rsid w:val="003442F6"/>
    <w:rsid w:val="00347232"/>
    <w:rsid w:val="00350C01"/>
    <w:rsid w:val="00351AEC"/>
    <w:rsid w:val="00353973"/>
    <w:rsid w:val="003545D5"/>
    <w:rsid w:val="00361B06"/>
    <w:rsid w:val="00362CAF"/>
    <w:rsid w:val="00367FEB"/>
    <w:rsid w:val="0037085E"/>
    <w:rsid w:val="0037315F"/>
    <w:rsid w:val="00374A88"/>
    <w:rsid w:val="0037587A"/>
    <w:rsid w:val="00375D35"/>
    <w:rsid w:val="00376FB3"/>
    <w:rsid w:val="00380098"/>
    <w:rsid w:val="00382963"/>
    <w:rsid w:val="00386CBB"/>
    <w:rsid w:val="00393969"/>
    <w:rsid w:val="00393996"/>
    <w:rsid w:val="00395731"/>
    <w:rsid w:val="00397338"/>
    <w:rsid w:val="003A3466"/>
    <w:rsid w:val="003B0027"/>
    <w:rsid w:val="003B0AE2"/>
    <w:rsid w:val="003B3645"/>
    <w:rsid w:val="003B39A1"/>
    <w:rsid w:val="003B4F13"/>
    <w:rsid w:val="003C141C"/>
    <w:rsid w:val="003C165F"/>
    <w:rsid w:val="003C16E7"/>
    <w:rsid w:val="003D3678"/>
    <w:rsid w:val="003D4D60"/>
    <w:rsid w:val="003D698D"/>
    <w:rsid w:val="003D792B"/>
    <w:rsid w:val="00400525"/>
    <w:rsid w:val="00401154"/>
    <w:rsid w:val="004057F0"/>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38C8"/>
    <w:rsid w:val="0046468F"/>
    <w:rsid w:val="004649EB"/>
    <w:rsid w:val="00467AE2"/>
    <w:rsid w:val="00471F51"/>
    <w:rsid w:val="00474914"/>
    <w:rsid w:val="00485B54"/>
    <w:rsid w:val="00485E2F"/>
    <w:rsid w:val="00486DA8"/>
    <w:rsid w:val="00491BAC"/>
    <w:rsid w:val="0049211B"/>
    <w:rsid w:val="004930B5"/>
    <w:rsid w:val="0049718C"/>
    <w:rsid w:val="004A13FC"/>
    <w:rsid w:val="004A18E8"/>
    <w:rsid w:val="004A3713"/>
    <w:rsid w:val="004A402E"/>
    <w:rsid w:val="004B0A2B"/>
    <w:rsid w:val="004B22D2"/>
    <w:rsid w:val="004B55D3"/>
    <w:rsid w:val="004B7CE3"/>
    <w:rsid w:val="004C32C6"/>
    <w:rsid w:val="004C425C"/>
    <w:rsid w:val="004D6CCE"/>
    <w:rsid w:val="004E3C5C"/>
    <w:rsid w:val="004F3796"/>
    <w:rsid w:val="004F7114"/>
    <w:rsid w:val="004F721A"/>
    <w:rsid w:val="00500A75"/>
    <w:rsid w:val="00505280"/>
    <w:rsid w:val="00507C89"/>
    <w:rsid w:val="005250F0"/>
    <w:rsid w:val="00530E48"/>
    <w:rsid w:val="00532511"/>
    <w:rsid w:val="00532FF8"/>
    <w:rsid w:val="005354BF"/>
    <w:rsid w:val="0055283C"/>
    <w:rsid w:val="00555CB2"/>
    <w:rsid w:val="00566061"/>
    <w:rsid w:val="00566C47"/>
    <w:rsid w:val="00570171"/>
    <w:rsid w:val="005711D0"/>
    <w:rsid w:val="00575884"/>
    <w:rsid w:val="00582A3B"/>
    <w:rsid w:val="00583FA1"/>
    <w:rsid w:val="00590A9A"/>
    <w:rsid w:val="00593B57"/>
    <w:rsid w:val="005A6C4A"/>
    <w:rsid w:val="005A7B03"/>
    <w:rsid w:val="005B0B81"/>
    <w:rsid w:val="005B0D2E"/>
    <w:rsid w:val="005B28FD"/>
    <w:rsid w:val="005B4459"/>
    <w:rsid w:val="005B553B"/>
    <w:rsid w:val="005C35A8"/>
    <w:rsid w:val="005C492C"/>
    <w:rsid w:val="005C6232"/>
    <w:rsid w:val="005C6B3A"/>
    <w:rsid w:val="005C78F1"/>
    <w:rsid w:val="005E05CE"/>
    <w:rsid w:val="005E29BC"/>
    <w:rsid w:val="005E7014"/>
    <w:rsid w:val="005E77A0"/>
    <w:rsid w:val="005F2F1F"/>
    <w:rsid w:val="006004B9"/>
    <w:rsid w:val="00603D0C"/>
    <w:rsid w:val="00613BFA"/>
    <w:rsid w:val="00615A9E"/>
    <w:rsid w:val="00625B11"/>
    <w:rsid w:val="00627C37"/>
    <w:rsid w:val="00630C82"/>
    <w:rsid w:val="00632633"/>
    <w:rsid w:val="0063294F"/>
    <w:rsid w:val="00633C4E"/>
    <w:rsid w:val="00634DA6"/>
    <w:rsid w:val="00635799"/>
    <w:rsid w:val="006419E7"/>
    <w:rsid w:val="006428F7"/>
    <w:rsid w:val="00655EC2"/>
    <w:rsid w:val="006655D2"/>
    <w:rsid w:val="00671D29"/>
    <w:rsid w:val="006746D3"/>
    <w:rsid w:val="00690501"/>
    <w:rsid w:val="00694BE9"/>
    <w:rsid w:val="006A34D9"/>
    <w:rsid w:val="006A6042"/>
    <w:rsid w:val="006B1E7A"/>
    <w:rsid w:val="006B350F"/>
    <w:rsid w:val="006C0A91"/>
    <w:rsid w:val="006C343F"/>
    <w:rsid w:val="006C4144"/>
    <w:rsid w:val="006C5CE1"/>
    <w:rsid w:val="006D2617"/>
    <w:rsid w:val="006D33FC"/>
    <w:rsid w:val="006D45CF"/>
    <w:rsid w:val="006E15A8"/>
    <w:rsid w:val="007069FD"/>
    <w:rsid w:val="007074A3"/>
    <w:rsid w:val="00711419"/>
    <w:rsid w:val="00714A7F"/>
    <w:rsid w:val="007164FB"/>
    <w:rsid w:val="00716CA2"/>
    <w:rsid w:val="00730659"/>
    <w:rsid w:val="007330F5"/>
    <w:rsid w:val="007356C0"/>
    <w:rsid w:val="00735A9F"/>
    <w:rsid w:val="00737521"/>
    <w:rsid w:val="00740E2A"/>
    <w:rsid w:val="00743192"/>
    <w:rsid w:val="00745BA5"/>
    <w:rsid w:val="007506CE"/>
    <w:rsid w:val="0075278A"/>
    <w:rsid w:val="00761E5A"/>
    <w:rsid w:val="00766C9C"/>
    <w:rsid w:val="007676A2"/>
    <w:rsid w:val="00773590"/>
    <w:rsid w:val="00781D40"/>
    <w:rsid w:val="007904C2"/>
    <w:rsid w:val="0079791B"/>
    <w:rsid w:val="007A2F98"/>
    <w:rsid w:val="007A5E9A"/>
    <w:rsid w:val="007A6246"/>
    <w:rsid w:val="007B3825"/>
    <w:rsid w:val="007B383C"/>
    <w:rsid w:val="007B792D"/>
    <w:rsid w:val="007C00CC"/>
    <w:rsid w:val="007C1FBF"/>
    <w:rsid w:val="007C3958"/>
    <w:rsid w:val="007C4AA1"/>
    <w:rsid w:val="007C6E88"/>
    <w:rsid w:val="007C70A4"/>
    <w:rsid w:val="007E012D"/>
    <w:rsid w:val="007E72A1"/>
    <w:rsid w:val="007F03AE"/>
    <w:rsid w:val="007F1132"/>
    <w:rsid w:val="0080053D"/>
    <w:rsid w:val="00800616"/>
    <w:rsid w:val="008012AD"/>
    <w:rsid w:val="00801395"/>
    <w:rsid w:val="008035B6"/>
    <w:rsid w:val="00811D3F"/>
    <w:rsid w:val="008121CB"/>
    <w:rsid w:val="008162C3"/>
    <w:rsid w:val="00817348"/>
    <w:rsid w:val="00823229"/>
    <w:rsid w:val="008248D9"/>
    <w:rsid w:val="00825292"/>
    <w:rsid w:val="008338B3"/>
    <w:rsid w:val="00833C76"/>
    <w:rsid w:val="00835141"/>
    <w:rsid w:val="00843EBF"/>
    <w:rsid w:val="00846F74"/>
    <w:rsid w:val="00852BC5"/>
    <w:rsid w:val="00855777"/>
    <w:rsid w:val="0086488B"/>
    <w:rsid w:val="008666EB"/>
    <w:rsid w:val="00870785"/>
    <w:rsid w:val="00872B58"/>
    <w:rsid w:val="00872BB0"/>
    <w:rsid w:val="0087688A"/>
    <w:rsid w:val="008808AA"/>
    <w:rsid w:val="00882174"/>
    <w:rsid w:val="008824FF"/>
    <w:rsid w:val="00891275"/>
    <w:rsid w:val="00893898"/>
    <w:rsid w:val="0089518B"/>
    <w:rsid w:val="008A0966"/>
    <w:rsid w:val="008A306F"/>
    <w:rsid w:val="008A4B75"/>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0CFB"/>
    <w:rsid w:val="00911532"/>
    <w:rsid w:val="00912197"/>
    <w:rsid w:val="0091364D"/>
    <w:rsid w:val="00913E70"/>
    <w:rsid w:val="0091722D"/>
    <w:rsid w:val="0091796F"/>
    <w:rsid w:val="00921758"/>
    <w:rsid w:val="009232E9"/>
    <w:rsid w:val="00927812"/>
    <w:rsid w:val="009300D2"/>
    <w:rsid w:val="009302D1"/>
    <w:rsid w:val="009327C5"/>
    <w:rsid w:val="00933C79"/>
    <w:rsid w:val="00934CEC"/>
    <w:rsid w:val="00940BBB"/>
    <w:rsid w:val="00945A95"/>
    <w:rsid w:val="00945EDC"/>
    <w:rsid w:val="00946244"/>
    <w:rsid w:val="0094700A"/>
    <w:rsid w:val="00950223"/>
    <w:rsid w:val="0095228D"/>
    <w:rsid w:val="00954E1A"/>
    <w:rsid w:val="00957D7D"/>
    <w:rsid w:val="00961899"/>
    <w:rsid w:val="009635C9"/>
    <w:rsid w:val="00977989"/>
    <w:rsid w:val="00980325"/>
    <w:rsid w:val="00987D0E"/>
    <w:rsid w:val="00991B3F"/>
    <w:rsid w:val="0099477D"/>
    <w:rsid w:val="0099594C"/>
    <w:rsid w:val="009A7276"/>
    <w:rsid w:val="009A798D"/>
    <w:rsid w:val="009B2536"/>
    <w:rsid w:val="009B2A4F"/>
    <w:rsid w:val="009B547D"/>
    <w:rsid w:val="009B5606"/>
    <w:rsid w:val="009B6181"/>
    <w:rsid w:val="009C1B13"/>
    <w:rsid w:val="009C1D53"/>
    <w:rsid w:val="009C6672"/>
    <w:rsid w:val="009D0EAD"/>
    <w:rsid w:val="009D0F27"/>
    <w:rsid w:val="009E221C"/>
    <w:rsid w:val="009E3C1C"/>
    <w:rsid w:val="009E71F2"/>
    <w:rsid w:val="009F3490"/>
    <w:rsid w:val="009F37BB"/>
    <w:rsid w:val="00A02855"/>
    <w:rsid w:val="00A05282"/>
    <w:rsid w:val="00A10121"/>
    <w:rsid w:val="00A1309C"/>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D7D"/>
    <w:rsid w:val="00A721E5"/>
    <w:rsid w:val="00A725B6"/>
    <w:rsid w:val="00A76A65"/>
    <w:rsid w:val="00A801AE"/>
    <w:rsid w:val="00A803D0"/>
    <w:rsid w:val="00A86D48"/>
    <w:rsid w:val="00A91C60"/>
    <w:rsid w:val="00A9240E"/>
    <w:rsid w:val="00A93519"/>
    <w:rsid w:val="00A93FF5"/>
    <w:rsid w:val="00A947EE"/>
    <w:rsid w:val="00A96558"/>
    <w:rsid w:val="00A9668E"/>
    <w:rsid w:val="00AA0134"/>
    <w:rsid w:val="00AA37A8"/>
    <w:rsid w:val="00AB6634"/>
    <w:rsid w:val="00AC14BC"/>
    <w:rsid w:val="00AC1CBF"/>
    <w:rsid w:val="00AD4B83"/>
    <w:rsid w:val="00AD595C"/>
    <w:rsid w:val="00AE22E8"/>
    <w:rsid w:val="00AE4B50"/>
    <w:rsid w:val="00AE51D7"/>
    <w:rsid w:val="00AE5652"/>
    <w:rsid w:val="00B02778"/>
    <w:rsid w:val="00B02823"/>
    <w:rsid w:val="00B03ACF"/>
    <w:rsid w:val="00B05C34"/>
    <w:rsid w:val="00B10B1E"/>
    <w:rsid w:val="00B12A36"/>
    <w:rsid w:val="00B12BF8"/>
    <w:rsid w:val="00B143E1"/>
    <w:rsid w:val="00B2011D"/>
    <w:rsid w:val="00B31624"/>
    <w:rsid w:val="00B31E8E"/>
    <w:rsid w:val="00B4634B"/>
    <w:rsid w:val="00B539E3"/>
    <w:rsid w:val="00B53AE9"/>
    <w:rsid w:val="00B61B25"/>
    <w:rsid w:val="00B66FF4"/>
    <w:rsid w:val="00B70692"/>
    <w:rsid w:val="00B76C6C"/>
    <w:rsid w:val="00B8122B"/>
    <w:rsid w:val="00B97EA0"/>
    <w:rsid w:val="00BA1D72"/>
    <w:rsid w:val="00BA698C"/>
    <w:rsid w:val="00BA6E2E"/>
    <w:rsid w:val="00BB2808"/>
    <w:rsid w:val="00BB7EEE"/>
    <w:rsid w:val="00BC01FF"/>
    <w:rsid w:val="00BC0AA9"/>
    <w:rsid w:val="00BC13F5"/>
    <w:rsid w:val="00BC230C"/>
    <w:rsid w:val="00BC30EA"/>
    <w:rsid w:val="00BE1B81"/>
    <w:rsid w:val="00BE31F0"/>
    <w:rsid w:val="00BE3406"/>
    <w:rsid w:val="00BE36E4"/>
    <w:rsid w:val="00BE5EA1"/>
    <w:rsid w:val="00BE7925"/>
    <w:rsid w:val="00BF00EF"/>
    <w:rsid w:val="00BF081E"/>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446D"/>
    <w:rsid w:val="00C35680"/>
    <w:rsid w:val="00C464FE"/>
    <w:rsid w:val="00C46C81"/>
    <w:rsid w:val="00C52529"/>
    <w:rsid w:val="00C568C3"/>
    <w:rsid w:val="00C5746D"/>
    <w:rsid w:val="00C61AE2"/>
    <w:rsid w:val="00C64E81"/>
    <w:rsid w:val="00C659C8"/>
    <w:rsid w:val="00C66FBA"/>
    <w:rsid w:val="00C73CCB"/>
    <w:rsid w:val="00C74764"/>
    <w:rsid w:val="00C74B51"/>
    <w:rsid w:val="00C76121"/>
    <w:rsid w:val="00C82199"/>
    <w:rsid w:val="00C82305"/>
    <w:rsid w:val="00C90C90"/>
    <w:rsid w:val="00C927B8"/>
    <w:rsid w:val="00C929F2"/>
    <w:rsid w:val="00C92F6C"/>
    <w:rsid w:val="00C964A3"/>
    <w:rsid w:val="00CA0FFA"/>
    <w:rsid w:val="00CA1EB9"/>
    <w:rsid w:val="00CA4D2F"/>
    <w:rsid w:val="00CB3C42"/>
    <w:rsid w:val="00CB708D"/>
    <w:rsid w:val="00CC2ED0"/>
    <w:rsid w:val="00CC6FA2"/>
    <w:rsid w:val="00CD1B50"/>
    <w:rsid w:val="00CD20D6"/>
    <w:rsid w:val="00CD2505"/>
    <w:rsid w:val="00CE4195"/>
    <w:rsid w:val="00CE58AE"/>
    <w:rsid w:val="00CE5986"/>
    <w:rsid w:val="00CF26E7"/>
    <w:rsid w:val="00CF2CE6"/>
    <w:rsid w:val="00CF338D"/>
    <w:rsid w:val="00CF66F6"/>
    <w:rsid w:val="00D10DA4"/>
    <w:rsid w:val="00D1188F"/>
    <w:rsid w:val="00D1289A"/>
    <w:rsid w:val="00D12AB9"/>
    <w:rsid w:val="00D130A7"/>
    <w:rsid w:val="00D145F9"/>
    <w:rsid w:val="00D179A5"/>
    <w:rsid w:val="00D33BCC"/>
    <w:rsid w:val="00D34397"/>
    <w:rsid w:val="00D344F3"/>
    <w:rsid w:val="00D34FB2"/>
    <w:rsid w:val="00D40824"/>
    <w:rsid w:val="00D43A74"/>
    <w:rsid w:val="00D50DF5"/>
    <w:rsid w:val="00D525E9"/>
    <w:rsid w:val="00D54E6A"/>
    <w:rsid w:val="00D62407"/>
    <w:rsid w:val="00D64556"/>
    <w:rsid w:val="00D7098D"/>
    <w:rsid w:val="00D7470D"/>
    <w:rsid w:val="00D76E5F"/>
    <w:rsid w:val="00D839EA"/>
    <w:rsid w:val="00D9317B"/>
    <w:rsid w:val="00D95866"/>
    <w:rsid w:val="00DA1385"/>
    <w:rsid w:val="00DB10DB"/>
    <w:rsid w:val="00DB2515"/>
    <w:rsid w:val="00DB5521"/>
    <w:rsid w:val="00DB6224"/>
    <w:rsid w:val="00DB6648"/>
    <w:rsid w:val="00DC5B64"/>
    <w:rsid w:val="00DE17AA"/>
    <w:rsid w:val="00DE1849"/>
    <w:rsid w:val="00DE1922"/>
    <w:rsid w:val="00DF20C4"/>
    <w:rsid w:val="00E000F6"/>
    <w:rsid w:val="00E03696"/>
    <w:rsid w:val="00E12CE2"/>
    <w:rsid w:val="00E13E93"/>
    <w:rsid w:val="00E162FE"/>
    <w:rsid w:val="00E22720"/>
    <w:rsid w:val="00E243F0"/>
    <w:rsid w:val="00E24C18"/>
    <w:rsid w:val="00E306C3"/>
    <w:rsid w:val="00E31B4F"/>
    <w:rsid w:val="00E320EB"/>
    <w:rsid w:val="00E321F1"/>
    <w:rsid w:val="00E3345E"/>
    <w:rsid w:val="00E44C31"/>
    <w:rsid w:val="00E46D95"/>
    <w:rsid w:val="00E560CE"/>
    <w:rsid w:val="00E70B1B"/>
    <w:rsid w:val="00E73767"/>
    <w:rsid w:val="00E77C32"/>
    <w:rsid w:val="00E854C0"/>
    <w:rsid w:val="00E85A95"/>
    <w:rsid w:val="00E87357"/>
    <w:rsid w:val="00E87532"/>
    <w:rsid w:val="00E93487"/>
    <w:rsid w:val="00E9767C"/>
    <w:rsid w:val="00EA06DF"/>
    <w:rsid w:val="00EA0A05"/>
    <w:rsid w:val="00EA3FEC"/>
    <w:rsid w:val="00EB396A"/>
    <w:rsid w:val="00EB3AC2"/>
    <w:rsid w:val="00EB5F2A"/>
    <w:rsid w:val="00EB7EB2"/>
    <w:rsid w:val="00EC4C96"/>
    <w:rsid w:val="00EC50FC"/>
    <w:rsid w:val="00ED0051"/>
    <w:rsid w:val="00ED0FF3"/>
    <w:rsid w:val="00ED16B0"/>
    <w:rsid w:val="00ED230F"/>
    <w:rsid w:val="00EE3DCA"/>
    <w:rsid w:val="00EE5757"/>
    <w:rsid w:val="00EE71C7"/>
    <w:rsid w:val="00F0249F"/>
    <w:rsid w:val="00F028AA"/>
    <w:rsid w:val="00F071F4"/>
    <w:rsid w:val="00F075DF"/>
    <w:rsid w:val="00F10793"/>
    <w:rsid w:val="00F12827"/>
    <w:rsid w:val="00F15A15"/>
    <w:rsid w:val="00F20FE1"/>
    <w:rsid w:val="00F26C71"/>
    <w:rsid w:val="00F3053A"/>
    <w:rsid w:val="00F426AF"/>
    <w:rsid w:val="00F4341D"/>
    <w:rsid w:val="00F45A48"/>
    <w:rsid w:val="00F45D82"/>
    <w:rsid w:val="00F52E52"/>
    <w:rsid w:val="00F56D0E"/>
    <w:rsid w:val="00F6556E"/>
    <w:rsid w:val="00F7209B"/>
    <w:rsid w:val="00F745BA"/>
    <w:rsid w:val="00F7549B"/>
    <w:rsid w:val="00F76ECC"/>
    <w:rsid w:val="00F77A48"/>
    <w:rsid w:val="00F821CC"/>
    <w:rsid w:val="00F832AE"/>
    <w:rsid w:val="00F94FC0"/>
    <w:rsid w:val="00F96C33"/>
    <w:rsid w:val="00FA0FA1"/>
    <w:rsid w:val="00FA1442"/>
    <w:rsid w:val="00FA353C"/>
    <w:rsid w:val="00FA4739"/>
    <w:rsid w:val="00FB2B6D"/>
    <w:rsid w:val="00FB3795"/>
    <w:rsid w:val="00FC65B8"/>
    <w:rsid w:val="00FC663A"/>
    <w:rsid w:val="00FD0DF3"/>
    <w:rsid w:val="00FE42AF"/>
    <w:rsid w:val="00FE4B8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93A02107-7465-D34A-BF6D-87B9998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 w:type="character" w:customStyle="1" w:styleId="selection1nkea19">
    <w:name w:val="_selection_1nkea_19"/>
    <w:basedOn w:val="Absatz-Standardschriftart"/>
    <w:rsid w:val="00192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neumann.com/de-de/produkte/monitors/kh-120-ii"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D058ECC382CD4CAC2899AFBA913D8E" ma:contentTypeVersion="17" ma:contentTypeDescription="Create a new document." ma:contentTypeScope="" ma:versionID="784cd749a5b8eb25bb0dcebfbe490c1d">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0998914f52494df3e5c87f933be2b7c1"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2.xml><?xml version="1.0" encoding="utf-8"?>
<ds:datastoreItem xmlns:ds="http://schemas.openxmlformats.org/officeDocument/2006/customXml" ds:itemID="{A479FFAA-FEEB-4922-91B6-2E4C34735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4.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727</Words>
  <Characters>4581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Sablotny, Andreas</cp:lastModifiedBy>
  <cp:revision>8</cp:revision>
  <cp:lastPrinted>2023-03-10T11:27:00Z</cp:lastPrinted>
  <dcterms:created xsi:type="dcterms:W3CDTF">2023-04-04T03:45:00Z</dcterms:created>
  <dcterms:modified xsi:type="dcterms:W3CDTF">2023-04-04T05:27:00Z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