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6D1C" w14:textId="77777777" w:rsidR="0047116A" w:rsidRDefault="0047116A" w:rsidP="0047116A">
      <w:pPr>
        <w:pStyle w:val="Normal1"/>
        <w:rPr>
          <w:rFonts w:ascii="Averta for TBWA Regular" w:hAnsi="Averta for TBWA Regular"/>
          <w:b/>
          <w:sz w:val="36"/>
          <w:szCs w:val="36"/>
          <w:lang w:val="fr-BE"/>
        </w:rPr>
      </w:pPr>
      <w:r w:rsidRPr="0047116A">
        <w:rPr>
          <w:rFonts w:ascii="Averta for TBWA Regular" w:hAnsi="Averta for TBWA Regular"/>
          <w:b/>
          <w:sz w:val="36"/>
          <w:szCs w:val="36"/>
          <w:lang w:val="fr-BE"/>
        </w:rPr>
        <w:t>TBWA et la Nissan LEAF rebaptisent la zone basse émission à Anvers en zone zéro émission.</w:t>
      </w:r>
    </w:p>
    <w:p w14:paraId="4AE0373E" w14:textId="77777777" w:rsidR="0047116A" w:rsidRPr="0047116A" w:rsidRDefault="0047116A" w:rsidP="0047116A">
      <w:pPr>
        <w:pStyle w:val="Normal1"/>
        <w:rPr>
          <w:rFonts w:ascii="Averta for TBWA Regular" w:hAnsi="Averta for TBWA Regular"/>
          <w:b/>
          <w:sz w:val="18"/>
          <w:szCs w:val="18"/>
          <w:lang w:val="fr-BE"/>
        </w:rPr>
      </w:pPr>
    </w:p>
    <w:p w14:paraId="27AD8D7C"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i/>
          <w:lang w:val="fr-BE"/>
        </w:rPr>
        <w:t xml:space="preserve">La zone basse émission à Anvers est désormais une réalité. À partir d’aujourd’hui, quelque 9.000 véhicules anversois ne pourrons plus accéder au centre-ville. Le moment est donc parfait pour présenter aux Anversois l’alternative idéale pour une conduite zéro émission : la Nissan LEAF 100% électrique. Car une ville branchée ne peut ignorer la voiture électrique. </w:t>
      </w:r>
    </w:p>
    <w:p w14:paraId="48199E5F" w14:textId="77777777" w:rsidR="0047116A" w:rsidRPr="0047116A" w:rsidRDefault="0047116A" w:rsidP="0047116A">
      <w:pPr>
        <w:pStyle w:val="Normal1"/>
        <w:rPr>
          <w:rFonts w:ascii="Averta for TBWA Regular" w:hAnsi="Averta for TBWA Regular"/>
          <w:lang w:val="fr-BE"/>
        </w:rPr>
      </w:pPr>
    </w:p>
    <w:p w14:paraId="19DD7190" w14:textId="77777777" w:rsidR="0047116A" w:rsidRDefault="0047116A" w:rsidP="0047116A">
      <w:pPr>
        <w:pStyle w:val="Normal1"/>
        <w:rPr>
          <w:rFonts w:ascii="Averta for TBWA Regular" w:hAnsi="Averta for TBWA Regular"/>
          <w:b/>
          <w:lang w:val="fr-BE"/>
        </w:rPr>
      </w:pPr>
      <w:r w:rsidRPr="0047116A">
        <w:rPr>
          <w:rFonts w:ascii="Averta for TBWA Regular" w:hAnsi="Averta for TBWA Regular"/>
          <w:b/>
          <w:lang w:val="fr-BE"/>
        </w:rPr>
        <w:t>Guérilla urbaine : un panneau d’appoint pour les nouveaux panneaux de signalisation.</w:t>
      </w:r>
    </w:p>
    <w:p w14:paraId="16B435C5" w14:textId="77777777" w:rsidR="0047116A" w:rsidRPr="0047116A" w:rsidRDefault="0047116A" w:rsidP="0047116A">
      <w:pPr>
        <w:pStyle w:val="Normal1"/>
        <w:rPr>
          <w:rFonts w:ascii="Averta for TBWA Regular" w:hAnsi="Averta for TBWA Regular"/>
          <w:lang w:val="fr-BE"/>
        </w:rPr>
      </w:pPr>
    </w:p>
    <w:p w14:paraId="5F5A6CFD"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i/>
          <w:lang w:val="fr-BE"/>
        </w:rPr>
        <w:t>« Afin de donner un maximum de force au message, les panneaux de signalisation flambant neufs de la zone basse émission ont été agrémentés d’un panneau d’appoint : ‘Drive electric with the Nissan LEAF for zero emission’ »</w:t>
      </w:r>
      <w:r w:rsidRPr="0047116A">
        <w:rPr>
          <w:rFonts w:ascii="Averta for TBWA Regular" w:hAnsi="Averta for TBWA Regular"/>
          <w:lang w:val="fr-BE"/>
        </w:rPr>
        <w:t xml:space="preserve">, explique le copywriter Arnaud Bouclier. </w:t>
      </w:r>
      <w:r w:rsidRPr="0047116A">
        <w:rPr>
          <w:rFonts w:ascii="Averta for TBWA Regular" w:hAnsi="Averta for TBWA Regular"/>
          <w:i/>
          <w:lang w:val="fr-BE"/>
        </w:rPr>
        <w:t>« Avec ce stunt, nous encourageons les Anversois à franchir ainsi le cap de la mobilité zéro émission grâce à la Nissan LEAF »</w:t>
      </w:r>
      <w:r w:rsidRPr="0047116A">
        <w:rPr>
          <w:rFonts w:ascii="Averta for TBWA Regular" w:hAnsi="Averta for TBWA Regular"/>
          <w:lang w:val="fr-BE"/>
        </w:rPr>
        <w:t xml:space="preserve">. De plus, les chauffeurs des voitures éconduites se verront remettre un flyer par un promoteam. </w:t>
      </w:r>
    </w:p>
    <w:p w14:paraId="2B141149" w14:textId="77777777" w:rsidR="0047116A" w:rsidRPr="0047116A" w:rsidRDefault="0047116A" w:rsidP="0047116A">
      <w:pPr>
        <w:pStyle w:val="Normal1"/>
        <w:rPr>
          <w:rFonts w:ascii="Averta for TBWA Regular" w:hAnsi="Averta for TBWA Regular"/>
          <w:lang w:val="fr-BE"/>
        </w:rPr>
      </w:pPr>
    </w:p>
    <w:p w14:paraId="3BE7DC29" w14:textId="77777777" w:rsidR="0047116A" w:rsidRDefault="0047116A" w:rsidP="0047116A">
      <w:pPr>
        <w:pStyle w:val="Normal1"/>
        <w:rPr>
          <w:rFonts w:ascii="Averta for TBWA Regular" w:hAnsi="Averta for TBWA Regular"/>
          <w:b/>
          <w:lang w:val="fr-BE"/>
        </w:rPr>
      </w:pPr>
      <w:r w:rsidRPr="0047116A">
        <w:rPr>
          <w:rFonts w:ascii="Averta for TBWA Regular" w:hAnsi="Averta for TBWA Regular"/>
          <w:b/>
          <w:lang w:val="fr-BE"/>
        </w:rPr>
        <w:t>Des actions en ligne pour cibler chaque Anversois.</w:t>
      </w:r>
    </w:p>
    <w:p w14:paraId="1A7F7DCB" w14:textId="77777777" w:rsidR="0047116A" w:rsidRPr="0047116A" w:rsidRDefault="0047116A" w:rsidP="0047116A">
      <w:pPr>
        <w:pStyle w:val="Normal1"/>
        <w:rPr>
          <w:rFonts w:ascii="Averta for TBWA Regular" w:hAnsi="Averta for TBWA Regular"/>
          <w:lang w:val="fr-BE"/>
        </w:rPr>
      </w:pPr>
    </w:p>
    <w:p w14:paraId="48F5E50A"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À travers une série de posts à l’accent anversois sur les réseaux sociaux, Nissan cible les Anversois avec une communication sur mesure. Nissan sera aussi présent en ligne avec un banner de circonstance sur le site de la Gazet van Antwerpen.</w:t>
      </w:r>
    </w:p>
    <w:p w14:paraId="1C6089CD" w14:textId="77777777" w:rsidR="0047116A" w:rsidRPr="0047116A" w:rsidRDefault="0047116A" w:rsidP="0047116A">
      <w:pPr>
        <w:pStyle w:val="Normal1"/>
        <w:rPr>
          <w:rFonts w:ascii="Averta for TBWA Regular" w:hAnsi="Averta for TBWA Regular"/>
          <w:lang w:val="fr-BE"/>
        </w:rPr>
      </w:pPr>
    </w:p>
    <w:p w14:paraId="3E9336CB"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Pour en savoir plus sur la Nissan LEAF 100% électrique, consultez le site nissan.be/LEAF</w:t>
      </w:r>
    </w:p>
    <w:p w14:paraId="30A9E1DD" w14:textId="77777777" w:rsidR="0047116A" w:rsidRPr="0047116A" w:rsidRDefault="0047116A" w:rsidP="0047116A">
      <w:pPr>
        <w:pStyle w:val="Normal1"/>
        <w:rPr>
          <w:rFonts w:ascii="Averta for TBWA Regular" w:hAnsi="Averta for TBWA Regular"/>
          <w:lang w:val="fr-BE"/>
        </w:rPr>
      </w:pPr>
    </w:p>
    <w:p w14:paraId="004AA625" w14:textId="77777777" w:rsidR="0047116A" w:rsidRPr="0047116A" w:rsidRDefault="0047116A" w:rsidP="0047116A">
      <w:pPr>
        <w:pStyle w:val="Normal1"/>
        <w:rPr>
          <w:rFonts w:ascii="Averta for TBWA Regular" w:hAnsi="Averta for TBWA Regular"/>
          <w:lang w:val="fr-BE"/>
        </w:rPr>
      </w:pPr>
    </w:p>
    <w:p w14:paraId="4AD47829" w14:textId="77777777" w:rsidR="0047116A" w:rsidRPr="0047116A" w:rsidRDefault="0047116A" w:rsidP="0047116A">
      <w:pPr>
        <w:pStyle w:val="Normal1"/>
        <w:rPr>
          <w:rFonts w:ascii="Averta for TBWA Regular" w:hAnsi="Averta for TBWA Regular"/>
          <w:b/>
          <w:lang w:val="fr-BE"/>
        </w:rPr>
      </w:pPr>
      <w:r w:rsidRPr="0047116A">
        <w:rPr>
          <w:rFonts w:ascii="Averta for TBWA Regular" w:hAnsi="Averta for TBWA Regular"/>
          <w:b/>
          <w:lang w:val="fr-BE"/>
        </w:rPr>
        <w:t>Crédits :</w:t>
      </w:r>
    </w:p>
    <w:p w14:paraId="5412A8DE"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Client : Nissan Benelux – Niels van der Burg</w:t>
      </w:r>
    </w:p>
    <w:p w14:paraId="6AE52B0E"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Agency : TBWA Brussels</w:t>
      </w:r>
    </w:p>
    <w:p w14:paraId="74B1B331"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Creative Director : Bout Holtof</w:t>
      </w:r>
    </w:p>
    <w:p w14:paraId="6034496C"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Copywriter : Arnaud Bouclier, Vital Schippers</w:t>
      </w:r>
    </w:p>
    <w:p w14:paraId="50F1A05B"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Art Director : Philip De Cock</w:t>
      </w:r>
    </w:p>
    <w:p w14:paraId="60A1A104"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Accounts : Jonas Moors, Elien Limpens</w:t>
      </w:r>
    </w:p>
    <w:p w14:paraId="33AB0E1D" w14:textId="77777777" w:rsidR="0047116A" w:rsidRPr="0047116A" w:rsidRDefault="0047116A" w:rsidP="0047116A">
      <w:pPr>
        <w:pStyle w:val="Normal1"/>
        <w:rPr>
          <w:rFonts w:ascii="Averta for TBWA Regular" w:hAnsi="Averta for TBWA Regular"/>
          <w:lang w:val="fr-BE"/>
        </w:rPr>
      </w:pPr>
      <w:r w:rsidRPr="0047116A">
        <w:rPr>
          <w:rFonts w:ascii="Averta for TBWA Regular" w:hAnsi="Averta for TBWA Regular"/>
          <w:lang w:val="fr-BE"/>
        </w:rPr>
        <w:t>Production : TBWA</w:t>
      </w:r>
    </w:p>
    <w:p w14:paraId="44494B72" w14:textId="77777777" w:rsidR="0047116A" w:rsidRPr="0047116A" w:rsidRDefault="0047116A" w:rsidP="0047116A">
      <w:pPr>
        <w:pStyle w:val="Normal1"/>
        <w:rPr>
          <w:rFonts w:ascii="Averta for TBWA Regular" w:hAnsi="Averta for TBWA Regular"/>
          <w:lang w:val="fr-BE"/>
        </w:rPr>
      </w:pPr>
    </w:p>
    <w:p w14:paraId="15F632F2" w14:textId="77777777" w:rsidR="00EE0336" w:rsidRPr="0047116A" w:rsidRDefault="00EE0336" w:rsidP="00890B9D">
      <w:pPr>
        <w:pStyle w:val="TBWA"/>
        <w:rPr>
          <w:rFonts w:ascii="Averta for TBWA Regular" w:hAnsi="Averta for TBWA Regular"/>
          <w:b/>
          <w:color w:val="auto"/>
          <w:lang w:val="fr-FR"/>
        </w:rPr>
      </w:pPr>
    </w:p>
    <w:p w14:paraId="210D3399" w14:textId="77777777" w:rsidR="00EE0336" w:rsidRPr="0047116A" w:rsidRDefault="00EE0336" w:rsidP="00890B9D">
      <w:pPr>
        <w:pStyle w:val="TBWA"/>
        <w:rPr>
          <w:rFonts w:ascii="Averta for TBWA Regular" w:hAnsi="Averta for TBWA Regular"/>
          <w:b/>
          <w:color w:val="auto"/>
          <w:lang w:val="fr-FR"/>
        </w:rPr>
      </w:pPr>
    </w:p>
    <w:p w14:paraId="3D7E29AB" w14:textId="77777777" w:rsidR="00EA3B9C" w:rsidRPr="0047116A" w:rsidRDefault="00EA3B9C" w:rsidP="0061795A">
      <w:pPr>
        <w:pStyle w:val="TBWA"/>
        <w:rPr>
          <w:rFonts w:ascii="Averta for TBWA Regular" w:hAnsi="Averta for TBWA Regular"/>
          <w:color w:val="auto"/>
          <w:sz w:val="22"/>
          <w:lang w:val="fr-FR"/>
        </w:rPr>
      </w:pPr>
      <w:bookmarkStart w:id="0" w:name="_GoBack"/>
      <w:bookmarkEnd w:id="0"/>
    </w:p>
    <w:sectPr w:rsidR="00EA3B9C" w:rsidRPr="0047116A" w:rsidSect="004C5BFD">
      <w:headerReference w:type="even" r:id="rId8"/>
      <w:headerReference w:type="default" r:id="rId9"/>
      <w:footerReference w:type="default" r:id="rId10"/>
      <w:headerReference w:type="first" r:id="rId11"/>
      <w:footerReference w:type="first" r:id="rId12"/>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B8A7" w14:textId="77777777" w:rsidR="00082F08" w:rsidRDefault="00082F08" w:rsidP="0061795A">
      <w:r>
        <w:separator/>
      </w:r>
    </w:p>
  </w:endnote>
  <w:endnote w:type="continuationSeparator" w:id="0">
    <w:p w14:paraId="1A919197" w14:textId="77777777" w:rsidR="00082F08" w:rsidRDefault="00082F0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rta for TBWA Regular">
    <w:panose1 w:val="01000000000000000000"/>
    <w:charset w:val="00"/>
    <w:family w:val="auto"/>
    <w:pitch w:val="variable"/>
    <w:sig w:usb0="A00000EF" w:usb1="0000E021" w:usb2="00000000" w:usb3="00000000" w:csb0="000001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D190" w14:textId="77777777" w:rsidR="00EE0336" w:rsidRPr="00F34201" w:rsidRDefault="00EE0336" w:rsidP="00496AA6">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3D574CC4" w14:textId="77777777" w:rsidR="00EE0336" w:rsidRPr="004C5BFD" w:rsidRDefault="00EE0336" w:rsidP="00666192">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E3B2" w14:textId="77777777" w:rsidR="00EE0336" w:rsidRPr="00F34201" w:rsidRDefault="00EE0336" w:rsidP="004C5BFD">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5CFBCE12" w14:textId="77777777" w:rsidR="00EE0336" w:rsidRPr="004C5BFD" w:rsidRDefault="00EE0336" w:rsidP="004C5BFD">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0E611" w14:textId="77777777" w:rsidR="00082F08" w:rsidRDefault="00082F08" w:rsidP="0061795A">
      <w:r>
        <w:separator/>
      </w:r>
    </w:p>
  </w:footnote>
  <w:footnote w:type="continuationSeparator" w:id="0">
    <w:p w14:paraId="799D1CC2" w14:textId="77777777" w:rsidR="00082F08" w:rsidRDefault="00082F08"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539C" w14:textId="77777777" w:rsidR="00EE0336" w:rsidRDefault="00EE033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43395" w14:textId="77777777" w:rsidR="00EE0336" w:rsidRDefault="00EE0336"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44C2" w14:textId="77777777" w:rsidR="00EE0336" w:rsidRPr="001C6E34" w:rsidRDefault="00EE0336"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47116A">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47E6EDC" w14:textId="77777777" w:rsidR="00EE0336" w:rsidRPr="001C6E34" w:rsidRDefault="00EE0336"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5E391F10" wp14:editId="50699FDF">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7E7E" w14:textId="3C21127A" w:rsidR="00EE0336" w:rsidRPr="004C5BFD" w:rsidRDefault="00685708" w:rsidP="004C5BFD">
    <w:pPr>
      <w:pStyle w:val="Header"/>
      <w:ind w:right="-6" w:hanging="1134"/>
      <w:jc w:val="right"/>
      <w:rPr>
        <w:color w:val="717171"/>
      </w:rPr>
    </w:pPr>
    <w:r w:rsidRPr="00E454B8">
      <w:rPr>
        <w:rFonts w:asciiTheme="minorHAnsi" w:hAnsiTheme="minorHAnsi"/>
        <w:noProof/>
        <w:color w:val="717171"/>
        <w:sz w:val="20"/>
        <w:szCs w:val="20"/>
        <w:lang w:val="en-US" w:eastAsia="en-US"/>
      </w:rPr>
      <w:drawing>
        <wp:anchor distT="0" distB="0" distL="114300" distR="114300" simplePos="0" relativeHeight="251661312" behindDoc="1" locked="0" layoutInCell="1" allowOverlap="1" wp14:anchorId="5BCE9E99" wp14:editId="20A729FA">
          <wp:simplePos x="0" y="0"/>
          <wp:positionH relativeFrom="page">
            <wp:posOffset>1080135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C"/>
    <w:rsid w:val="0005059A"/>
    <w:rsid w:val="00061A67"/>
    <w:rsid w:val="00082F08"/>
    <w:rsid w:val="00121240"/>
    <w:rsid w:val="0016068C"/>
    <w:rsid w:val="001C6E34"/>
    <w:rsid w:val="001C767B"/>
    <w:rsid w:val="00204365"/>
    <w:rsid w:val="00294644"/>
    <w:rsid w:val="00295847"/>
    <w:rsid w:val="002A77AA"/>
    <w:rsid w:val="002D3B55"/>
    <w:rsid w:val="00332519"/>
    <w:rsid w:val="00346C66"/>
    <w:rsid w:val="003F3A21"/>
    <w:rsid w:val="003F54D5"/>
    <w:rsid w:val="0047116A"/>
    <w:rsid w:val="004774D4"/>
    <w:rsid w:val="0048020D"/>
    <w:rsid w:val="00496AA6"/>
    <w:rsid w:val="004C5BFD"/>
    <w:rsid w:val="0057625F"/>
    <w:rsid w:val="005D12D3"/>
    <w:rsid w:val="00615045"/>
    <w:rsid w:val="0061795A"/>
    <w:rsid w:val="00642CA5"/>
    <w:rsid w:val="00666192"/>
    <w:rsid w:val="00685708"/>
    <w:rsid w:val="006E2266"/>
    <w:rsid w:val="006F6190"/>
    <w:rsid w:val="00740375"/>
    <w:rsid w:val="007C632C"/>
    <w:rsid w:val="007C689B"/>
    <w:rsid w:val="00827E2B"/>
    <w:rsid w:val="00890B9D"/>
    <w:rsid w:val="008E3B1C"/>
    <w:rsid w:val="009F000D"/>
    <w:rsid w:val="00A324C3"/>
    <w:rsid w:val="00A41608"/>
    <w:rsid w:val="00A73A16"/>
    <w:rsid w:val="00A858C9"/>
    <w:rsid w:val="00BB7BB0"/>
    <w:rsid w:val="00C01C3B"/>
    <w:rsid w:val="00C30A11"/>
    <w:rsid w:val="00C66B16"/>
    <w:rsid w:val="00D17DF3"/>
    <w:rsid w:val="00D2314A"/>
    <w:rsid w:val="00E4399B"/>
    <w:rsid w:val="00EA119E"/>
    <w:rsid w:val="00EA3B9C"/>
    <w:rsid w:val="00EE0336"/>
    <w:rsid w:val="00F068FC"/>
    <w:rsid w:val="00F13790"/>
    <w:rsid w:val="00F3420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3742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2314A"/>
    <w:rPr>
      <w:color w:val="0000FF" w:themeColor="hyperlink"/>
      <w:u w:val="single"/>
    </w:rPr>
  </w:style>
  <w:style w:type="paragraph" w:customStyle="1" w:styleId="Normal1">
    <w:name w:val="Normal1"/>
    <w:rsid w:val="0047116A"/>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2314A"/>
    <w:rPr>
      <w:color w:val="0000FF" w:themeColor="hyperlink"/>
      <w:u w:val="single"/>
    </w:rPr>
  </w:style>
  <w:style w:type="paragraph" w:customStyle="1" w:styleId="Normal1">
    <w:name w:val="Normal1"/>
    <w:rsid w:val="0047116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621E-894B-8A49-A6DB-23F46EA7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Katrien de Raijmaeker</cp:lastModifiedBy>
  <cp:revision>2</cp:revision>
  <cp:lastPrinted>2016-12-01T14:16:00Z</cp:lastPrinted>
  <dcterms:created xsi:type="dcterms:W3CDTF">2017-02-01T10:33:00Z</dcterms:created>
  <dcterms:modified xsi:type="dcterms:W3CDTF">2017-02-01T10:33:00Z</dcterms:modified>
</cp:coreProperties>
</file>