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A6181" w14:textId="77777777" w:rsidR="00215928" w:rsidRDefault="00C81775">
      <w:pPr>
        <w:pStyle w:val="Title"/>
      </w:pPr>
      <w:r>
        <w:t>Projet de football féminin de l'UEFA</w:t>
      </w:r>
    </w:p>
    <w:p w14:paraId="031DFBE1" w14:textId="77777777" w:rsidR="005C6E55" w:rsidRDefault="00C81775">
      <w:pPr>
        <w:pStyle w:val="Subtitle"/>
        <w:rPr>
          <w:sz w:val="40"/>
        </w:rPr>
      </w:pPr>
      <w:r>
        <w:rPr>
          <w:sz w:val="40"/>
        </w:rPr>
        <w:t xml:space="preserve">Revue de la littérature - Résumé </w:t>
      </w:r>
    </w:p>
    <w:p w14:paraId="16BB7991" w14:textId="1FA474B5" w:rsidR="00215928" w:rsidRDefault="00C81775">
      <w:pPr>
        <w:pStyle w:val="Subtitle"/>
      </w:pPr>
      <w:proofErr w:type="gramStart"/>
      <w:r>
        <w:rPr>
          <w:sz w:val="24"/>
        </w:rPr>
        <w:t>produit</w:t>
      </w:r>
      <w:proofErr w:type="gramEnd"/>
      <w:r>
        <w:rPr>
          <w:sz w:val="24"/>
        </w:rPr>
        <w:t xml:space="preserve"> par l'Ecole Carnegie de Sport de l'Université Leeds Beckett, septembre 2019</w:t>
      </w:r>
      <w:r>
        <w:t xml:space="preserve"> </w:t>
      </w:r>
    </w:p>
    <w:p w14:paraId="31337223" w14:textId="77777777" w:rsidR="00215928" w:rsidRDefault="00215928"/>
    <w:p w14:paraId="1DAE86FA" w14:textId="77777777" w:rsidR="00215928" w:rsidRDefault="00215928">
      <w:pPr>
        <w:sectPr w:rsidR="00215928" w:rsidSect="00207FCE">
          <w:headerReference w:type="default" r:id="rId8"/>
          <w:footerReference w:type="default" r:id="rId9"/>
          <w:pgSz w:w="11907" w:h="16840" w:code="9"/>
          <w:pgMar w:top="2410" w:right="1134" w:bottom="1985" w:left="1134" w:header="709" w:footer="709" w:gutter="0"/>
          <w:cols w:space="720"/>
          <w:vAlign w:val="bottom"/>
        </w:sectPr>
      </w:pPr>
    </w:p>
    <w:p w14:paraId="4B7CEBA1" w14:textId="77777777" w:rsidR="00215928" w:rsidRDefault="00C81775">
      <w:pPr>
        <w:pStyle w:val="Heading1"/>
      </w:pPr>
      <w:r>
        <w:lastRenderedPageBreak/>
        <w:t>Synthèse</w:t>
      </w:r>
    </w:p>
    <w:p w14:paraId="12684BEB" w14:textId="5A717797" w:rsidR="00215928" w:rsidRDefault="00C81775">
      <w:pPr>
        <w:spacing w:after="240" w:line="276" w:lineRule="auto"/>
        <w:jc w:val="both"/>
      </w:pPr>
      <w:r>
        <w:t xml:space="preserve">Cette revue de la </w:t>
      </w:r>
      <w:r w:rsidR="00B73B44">
        <w:t>littérature</w:t>
      </w:r>
      <w:r>
        <w:t xml:space="preserve"> a été commandée par l'UEFA pour développer une base de preuves pour le prochain </w:t>
      </w:r>
      <w:r w:rsidR="009402E3">
        <w:t xml:space="preserve">Projet de football féminin </w:t>
      </w:r>
      <w:r w:rsidR="009402E3" w:rsidRPr="009402E3">
        <w:t>(</w:t>
      </w:r>
      <w:r>
        <w:t xml:space="preserve">Girls </w:t>
      </w:r>
      <w:proofErr w:type="spellStart"/>
      <w:r>
        <w:t>Grassroots</w:t>
      </w:r>
      <w:proofErr w:type="spellEnd"/>
      <w:r>
        <w:t xml:space="preserve"> Project</w:t>
      </w:r>
      <w:r w:rsidR="009402E3" w:rsidRPr="009402E3">
        <w:t>)</w:t>
      </w:r>
      <w:r>
        <w:t>, conçu et réalisé en association avec Disney. Il est prévu que</w:t>
      </w:r>
      <w:r w:rsidR="00B73B44">
        <w:t xml:space="preserve"> </w:t>
      </w:r>
      <w:r>
        <w:t xml:space="preserve">la recherche et les informations recueillies dans le cadre de cet exercice éclaireront la conception, le contenu et la prestation du programme. C'est également le point de départ d'un partenariat de </w:t>
      </w:r>
      <w:hyperlink r:id="rId10" w:history="1">
        <w:r w:rsidR="00B73B44" w:rsidRPr="00B73B44">
          <w:t xml:space="preserve">la recherche et </w:t>
        </w:r>
        <w:r w:rsidR="009402E3">
          <w:t>de la collecte d</w:t>
        </w:r>
        <w:r w:rsidR="00B73B44" w:rsidRPr="00B73B44">
          <w:t>'information</w:t>
        </w:r>
      </w:hyperlink>
      <w:r w:rsidR="00B73B44">
        <w:t xml:space="preserve"> </w:t>
      </w:r>
      <w:r>
        <w:t>sur le football féminin de l'UEFA.</w:t>
      </w:r>
    </w:p>
    <w:p w14:paraId="46353456" w14:textId="77777777" w:rsidR="00215928" w:rsidRDefault="00C81775">
      <w:pPr>
        <w:spacing w:after="240" w:line="276" w:lineRule="auto"/>
        <w:jc w:val="both"/>
      </w:pPr>
      <w:r>
        <w:t>En plus de la revue de la littérature, un exercice international de cadrage des meilleures pratiques dans les programmes sportifs pour les femmes et les filles a été entrepris. Au total, 27 exemples de bonnes pratiques ont été identifiés et les principales caractéristiques de ces programmes ont été mises en évidence. Il s'agit notamment des objectifs du programme, du public cible, des stratégies de recrutement et de prestation et de l'impact.</w:t>
      </w:r>
    </w:p>
    <w:p w14:paraId="0225A967" w14:textId="77777777" w:rsidR="00215928" w:rsidRDefault="00C81775">
      <w:pPr>
        <w:spacing w:after="240" w:line="276" w:lineRule="auto"/>
        <w:jc w:val="both"/>
      </w:pPr>
      <w:r>
        <w:t>La revue de la littérature a été structurée autour des thèmes suivants :</w:t>
      </w:r>
    </w:p>
    <w:p w14:paraId="79E085F1" w14:textId="77777777" w:rsidR="00215928" w:rsidRDefault="00C81775">
      <w:pPr>
        <w:pStyle w:val="Heading2"/>
      </w:pPr>
      <w:r>
        <w:t>Avantages et défis de la participation des filles au football</w:t>
      </w:r>
    </w:p>
    <w:p w14:paraId="357F713B" w14:textId="77777777" w:rsidR="00215928" w:rsidRDefault="00C81775">
      <w:pPr>
        <w:spacing w:after="240" w:line="276" w:lineRule="auto"/>
        <w:jc w:val="both"/>
      </w:pPr>
      <w:r>
        <w:t xml:space="preserve">Dans l'ensemble, la documentation examinée montre des résultats positifs de la participation au sport et à l'activité physique. Entre autres, ils comprennent : </w:t>
      </w:r>
    </w:p>
    <w:p w14:paraId="7527A698" w14:textId="77777777" w:rsidR="00215928" w:rsidRDefault="00C81775">
      <w:pPr>
        <w:pStyle w:val="ListBullet"/>
        <w:ind w:left="709"/>
      </w:pPr>
      <w:bookmarkStart w:id="0" w:name="_Hlk18676276"/>
      <w:r>
        <w:t>Amélioration de la santé et du bien-être</w:t>
      </w:r>
    </w:p>
    <w:bookmarkEnd w:id="0"/>
    <w:p w14:paraId="0D2EFDF9" w14:textId="77777777" w:rsidR="00215928" w:rsidRDefault="00C81775">
      <w:pPr>
        <w:pStyle w:val="ListBullet"/>
        <w:ind w:left="709"/>
      </w:pPr>
      <w:r>
        <w:t>Développement des compétences de vie et celles sociales</w:t>
      </w:r>
    </w:p>
    <w:p w14:paraId="5ED1EA89" w14:textId="77777777" w:rsidR="00215928" w:rsidRDefault="00C81775">
      <w:pPr>
        <w:pStyle w:val="ListBullet"/>
        <w:ind w:left="709"/>
      </w:pPr>
      <w:r>
        <w:t xml:space="preserve">Augmentation du niveau de scolarité et des perspectives d'emploi. </w:t>
      </w:r>
    </w:p>
    <w:p w14:paraId="361F62A3" w14:textId="77777777" w:rsidR="00215928" w:rsidRDefault="00215928">
      <w:pPr>
        <w:pStyle w:val="ListBullet"/>
        <w:numPr>
          <w:ilvl w:val="0"/>
          <w:numId w:val="0"/>
        </w:numPr>
        <w:ind w:left="709"/>
      </w:pPr>
    </w:p>
    <w:p w14:paraId="6D17CB06" w14:textId="3C0249DD" w:rsidR="00215928" w:rsidRDefault="00C81775">
      <w:pPr>
        <w:pStyle w:val="ListBullet"/>
        <w:numPr>
          <w:ilvl w:val="0"/>
          <w:numId w:val="0"/>
        </w:numPr>
        <w:spacing w:after="240" w:line="276" w:lineRule="auto"/>
        <w:jc w:val="both"/>
      </w:pPr>
      <w:r>
        <w:t>Malgré les avantages bien connus, il ressort également des preuves que la participation des femmes et des filles à l'activité physique est inférieure à celle des hommes et des garçons. Les statistiques mondiales montrent que 84 % des filles de moins de 17 ans ne respectent pas les lignes directrices de l'OMS sur l'activité minimale (OMS, s</w:t>
      </w:r>
      <w:r w:rsidR="00B73B44">
        <w:t>.</w:t>
      </w:r>
      <w:r>
        <w:t>d</w:t>
      </w:r>
      <w:r w:rsidR="00B73B44">
        <w:t>.</w:t>
      </w:r>
      <w:r>
        <w:t xml:space="preserve">). Des résultats similaires ont été publiés dans des contextes européens, les garçons âgés de 15 à 24 ans étant deux fois plus susceptibles de faire régulièrement du sport que les filles du même âge (Commission européenne pour l'éducation, le sport, la jeunesse et la culture, 2018). </w:t>
      </w:r>
    </w:p>
    <w:p w14:paraId="44D48DC8" w14:textId="77777777" w:rsidR="00215928" w:rsidRDefault="00215928">
      <w:pPr>
        <w:pStyle w:val="ListBullet"/>
        <w:numPr>
          <w:ilvl w:val="0"/>
          <w:numId w:val="0"/>
        </w:numPr>
        <w:spacing w:after="240" w:line="276" w:lineRule="auto"/>
        <w:jc w:val="both"/>
      </w:pPr>
    </w:p>
    <w:p w14:paraId="294FFB03" w14:textId="37DC02AA" w:rsidR="00215928" w:rsidRDefault="00C81775">
      <w:pPr>
        <w:pStyle w:val="ListBullet"/>
        <w:numPr>
          <w:ilvl w:val="0"/>
          <w:numId w:val="0"/>
        </w:numPr>
        <w:spacing w:after="240" w:line="276" w:lineRule="auto"/>
        <w:jc w:val="both"/>
      </w:pPr>
      <w:r>
        <w:t xml:space="preserve">Il semblerait que ces statistiques puissent être liées à un certain nombre de défis rencontrés par les femmes et les filles. Par exemple, de nombreux sports, dont le football, sont considérés comme des activités masculines, où les caractéristiques associées aux hommes et aux garçons </w:t>
      </w:r>
      <w:r w:rsidR="00B73B44">
        <w:t>–</w:t>
      </w:r>
      <w:r>
        <w:t xml:space="preserve"> la compétitivité, la force et l'agress</w:t>
      </w:r>
      <w:bookmarkStart w:id="1" w:name="_GoBack"/>
      <w:bookmarkEnd w:id="1"/>
      <w:r>
        <w:t xml:space="preserve">ivité </w:t>
      </w:r>
      <w:r w:rsidR="00B73B44">
        <w:t>–</w:t>
      </w:r>
      <w:r>
        <w:t xml:space="preserve"> sont très appréciées. Ce positionnement traditionnel du football en tant que sport masculin rend indésirable la participation des femmes et des filles à ce sport (Norman, 2016). Ces types de systèmes de croyances sont inculqués aux filles dès leur plus jeune âge, des jeux comme le football étant toujours proposés dans le cadre de l'éducation physique des garçons, mais ils ne sont pas la norme pour les filles (</w:t>
      </w:r>
      <w:proofErr w:type="spellStart"/>
      <w:r>
        <w:t>Paetcher</w:t>
      </w:r>
      <w:proofErr w:type="spellEnd"/>
      <w:r>
        <w:t xml:space="preserve">, 2003). Pourtant, nous devons également reconnaître que les femmes et les filles ne sont pas toutes pareilles. Par exemple, les travaux d'Ahmad (2011) et </w:t>
      </w:r>
      <w:proofErr w:type="spellStart"/>
      <w:r>
        <w:t>Hamzeh</w:t>
      </w:r>
      <w:proofErr w:type="spellEnd"/>
      <w:r>
        <w:t xml:space="preserve"> (2015) attirent l'attention sur les façons dont l'interdiction du hijab a exclu certaines femmes et filles musulmanes du football. Différents groupes d'âge et filles </w:t>
      </w:r>
      <w:r>
        <w:lastRenderedPageBreak/>
        <w:t xml:space="preserve">handicapées seront également confrontés à différents ensembles de défis et de besoins lors de la pratique du football. </w:t>
      </w:r>
    </w:p>
    <w:p w14:paraId="7C5D7542" w14:textId="77777777" w:rsidR="00215928" w:rsidRDefault="00C81775">
      <w:pPr>
        <w:pStyle w:val="Heading2"/>
      </w:pPr>
      <w:r>
        <w:t>Besoins, influences et motivations des filles pour participer au football</w:t>
      </w:r>
    </w:p>
    <w:p w14:paraId="286856A5" w14:textId="77777777" w:rsidR="00215928" w:rsidRDefault="00C81775">
      <w:pPr>
        <w:spacing w:after="240" w:line="276" w:lineRule="auto"/>
        <w:jc w:val="both"/>
      </w:pPr>
      <w:r>
        <w:t>En ce qui concerne les besoins des filles de manière plus générale, la revue montre que l'accent mis sur le plaisir et l'envie de s'amuser est une raison principale de s'engager dans le sport à un jeune âge (</w:t>
      </w:r>
      <w:proofErr w:type="spellStart"/>
      <w:r>
        <w:t>Allender</w:t>
      </w:r>
      <w:proofErr w:type="spellEnd"/>
      <w:r>
        <w:t xml:space="preserve"> et al., 2006 ; </w:t>
      </w:r>
      <w:proofErr w:type="spellStart"/>
      <w:r>
        <w:t>McCalpin</w:t>
      </w:r>
      <w:proofErr w:type="spellEnd"/>
      <w:r>
        <w:t xml:space="preserve"> et al., 2017 ; </w:t>
      </w:r>
      <w:proofErr w:type="spellStart"/>
      <w:r>
        <w:t>Yungblut</w:t>
      </w:r>
      <w:proofErr w:type="spellEnd"/>
      <w:r>
        <w:t xml:space="preserve"> et al., 2012). À l'inverse, la compétition et les activités hautement structurées sont identifiées comme démotivantes pour les jeunes enfants et les filles (</w:t>
      </w:r>
      <w:proofErr w:type="spellStart"/>
      <w:r>
        <w:t>Allender</w:t>
      </w:r>
      <w:proofErr w:type="spellEnd"/>
      <w:r>
        <w:t xml:space="preserve"> et al., 2006 ; Casey et al., 2014 ; Farmer et al, 2018). Il s'agit d'une distinction importante par rapport aux motivations des adultes. Peut-être plus important encore, il convient de noter que ce sont souvent les motivations des acteurs adultes (entraîneurs, décideurs, responsables d'initiatives, parents) qui sont prioritaires par rapport à celles des jeunes participantes. </w:t>
      </w:r>
    </w:p>
    <w:p w14:paraId="45D0C08C" w14:textId="0DE7A43E" w:rsidR="00215928" w:rsidRDefault="00C81775">
      <w:pPr>
        <w:spacing w:after="240" w:line="276" w:lineRule="auto"/>
        <w:jc w:val="both"/>
      </w:pPr>
      <w:r>
        <w:t>Un autre besoin essentiel pour faciliter la participation au football est le soutien fonctionnel et émotionnel des parents (</w:t>
      </w:r>
      <w:proofErr w:type="spellStart"/>
      <w:r>
        <w:t>Allender</w:t>
      </w:r>
      <w:proofErr w:type="spellEnd"/>
      <w:r>
        <w:t xml:space="preserve"> et al, 2006 ; Knight et al., 2011). Cependant, les actions et le comportement des parents (encadrement à partir des lignes de côté, discussions avec les officiels, insistance sur la victoire) peuvent également avoir un impact négatif sur le plaisir d'une jeune fille (Knight et al., 2011 ; Goodman et James, 2017). L'importance des relations avec les pairs ne doit pas non plus être sous-estimée en raison de l'aide, des commentaires positifs, des encouragements et de l'expérience sociale qu'</w:t>
      </w:r>
      <w:r w:rsidR="009402E3">
        <w:t>elles</w:t>
      </w:r>
      <w:r>
        <w:t xml:space="preserve"> offrent (</w:t>
      </w:r>
      <w:proofErr w:type="spellStart"/>
      <w:r>
        <w:t>McCalpin</w:t>
      </w:r>
      <w:proofErr w:type="spellEnd"/>
      <w:r>
        <w:t xml:space="preserve"> et al., 2017</w:t>
      </w:r>
      <w:r w:rsidR="00CC2789" w:rsidRPr="00CC2789">
        <w:t xml:space="preserve"> </w:t>
      </w:r>
      <w:r>
        <w:t xml:space="preserve">; </w:t>
      </w:r>
      <w:proofErr w:type="spellStart"/>
      <w:r>
        <w:t>Yungblut</w:t>
      </w:r>
      <w:proofErr w:type="spellEnd"/>
      <w:r>
        <w:t xml:space="preserve"> et al., 2012). Il convient de noter la notion d'amitié en tant qu'outil promotionnel efficace pour encourager les nouvelles filles à assister aux séances de football (</w:t>
      </w:r>
      <w:proofErr w:type="spellStart"/>
      <w:r>
        <w:t>Schaillee</w:t>
      </w:r>
      <w:proofErr w:type="spellEnd"/>
      <w:r>
        <w:t xml:space="preserve"> et al., 2017).</w:t>
      </w:r>
    </w:p>
    <w:p w14:paraId="74779512" w14:textId="214B1084" w:rsidR="00215928" w:rsidRDefault="00C81775">
      <w:pPr>
        <w:spacing w:after="240" w:line="276" w:lineRule="auto"/>
        <w:jc w:val="both"/>
      </w:pPr>
      <w:r>
        <w:t xml:space="preserve">Un autre problème mis en évidence dans la littérature est que c'est souvent l'environnement dans lequel les filles sont censées jouer au football qui pose un problème </w:t>
      </w:r>
      <w:r w:rsidR="00CC2789">
        <w:t>–</w:t>
      </w:r>
      <w:r>
        <w:t xml:space="preserve"> pas les filles elles-mêmes (Kirk et Oliver, 2014). Les deux facteurs environnementaux liés entre eux et problématiques qui influencent la décision des filles de participer comprennent : </w:t>
      </w:r>
    </w:p>
    <w:p w14:paraId="2A9EC80E" w14:textId="77777777" w:rsidR="00215928" w:rsidRDefault="00C81775">
      <w:pPr>
        <w:pStyle w:val="ListBullet"/>
        <w:spacing w:line="276" w:lineRule="auto"/>
        <w:ind w:left="709"/>
      </w:pPr>
      <w:r>
        <w:t xml:space="preserve">Cadre réservé aux filles ou mixte, et </w:t>
      </w:r>
    </w:p>
    <w:p w14:paraId="286D85F2" w14:textId="77777777" w:rsidR="00215928" w:rsidRDefault="00C81775">
      <w:pPr>
        <w:pStyle w:val="ListBullet"/>
        <w:spacing w:line="276" w:lineRule="auto"/>
        <w:ind w:left="709"/>
      </w:pPr>
      <w:r>
        <w:t>Environnement compétitif.</w:t>
      </w:r>
    </w:p>
    <w:p w14:paraId="0CB86BFC" w14:textId="77777777" w:rsidR="00215928" w:rsidRDefault="00215928">
      <w:pPr>
        <w:pStyle w:val="ListBullet"/>
        <w:numPr>
          <w:ilvl w:val="0"/>
          <w:numId w:val="0"/>
        </w:numPr>
        <w:spacing w:line="276" w:lineRule="auto"/>
        <w:ind w:left="709"/>
      </w:pPr>
    </w:p>
    <w:p w14:paraId="1A135893" w14:textId="64ED803D" w:rsidR="00215928" w:rsidRDefault="00C81775">
      <w:pPr>
        <w:spacing w:after="240" w:line="276" w:lineRule="auto"/>
        <w:jc w:val="both"/>
      </w:pPr>
      <w:r>
        <w:t xml:space="preserve">Les filles qui se définissent comme sportives, préfèrent souvent les classes mixtes car elles leur offrent la possibilité de s'améliorer plus rapidement en jouant contre les garçons (Casey et al., 2014). Cependant, pour la majorité des filles, ce n'est pas le cas, les espaces unisexes étant privilégiés. Cela est lié aux préoccupations des filles concernant les taquineries des garçons et la domination des garçons sur l'activité </w:t>
      </w:r>
      <w:r w:rsidR="00CC2789">
        <w:t>–</w:t>
      </w:r>
      <w:r>
        <w:t xml:space="preserve"> c'est-à-dire ne pas passer aux filles et marginaliser leur implication (Casey et al., 2014 ; Oliver et </w:t>
      </w:r>
      <w:proofErr w:type="spellStart"/>
      <w:r>
        <w:t>Hamzeh</w:t>
      </w:r>
      <w:proofErr w:type="spellEnd"/>
      <w:r>
        <w:t xml:space="preserve">, 2010). </w:t>
      </w:r>
    </w:p>
    <w:p w14:paraId="7339B174" w14:textId="084712F0" w:rsidR="00215928" w:rsidRDefault="00C81775">
      <w:pPr>
        <w:spacing w:after="240" w:line="276" w:lineRule="auto"/>
        <w:jc w:val="both"/>
      </w:pPr>
      <w:r>
        <w:t xml:space="preserve">La notion de compétition et d'autres types de résultats basés sur la performance est </w:t>
      </w:r>
      <w:r w:rsidR="00CC2789">
        <w:t xml:space="preserve">un </w:t>
      </w:r>
      <w:r>
        <w:t xml:space="preserve">autre problème récurrent qui contribue aux environnements d'exclusion pour les filles. Comme c'est indiqué précédemment, la motivation principale de nombreuses jeunes filles </w:t>
      </w:r>
      <w:r w:rsidR="00CC2789">
        <w:t>jou</w:t>
      </w:r>
      <w:r>
        <w:t xml:space="preserve">ant au football est le plaisir et l'envie de s'amuser, mais les environnements sportifs de compétition traditionnels peuvent supprimer cet aspect (Spencer-Cavalier et al., 2017).   </w:t>
      </w:r>
    </w:p>
    <w:p w14:paraId="075995DF" w14:textId="77777777" w:rsidR="00215928" w:rsidRDefault="00C81775">
      <w:pPr>
        <w:pStyle w:val="Heading2"/>
      </w:pPr>
      <w:r>
        <w:lastRenderedPageBreak/>
        <w:t>Stratégies d'entraînement pour impliquer les filles dans le football</w:t>
      </w:r>
    </w:p>
    <w:p w14:paraId="12D740B0" w14:textId="76FBE320" w:rsidR="00215928" w:rsidRDefault="00C81775">
      <w:pPr>
        <w:spacing w:after="240" w:line="276" w:lineRule="auto"/>
        <w:jc w:val="both"/>
      </w:pPr>
      <w:r>
        <w:t xml:space="preserve">Finalement, d'autres aspects à prendre en compte pour créer un environnement positif pour la participation des filles au football sont liés aux stratégies d'entraînement adoptées par l'entraîneur. L'une de ces stratégies implique l'utilisation de récits et de jeux imaginatifs. Cette perspective reflète la nécessité pour les entraîneurs d'adapter leur entraînement de manière à soutenir les activités de co-construction avec leurs participantes et les opportunités d'activités de jeu libre. Des recherches plus récentes ont commencé à répondre aux préoccupations concernant le manque de consultation avec les participantes, en demandant aux filles elles-mêmes les raisons de leur non-engagement. De plus, ces chercheurs ont adopté une approche qui place les filles au cœur de la recherche, en travaillant avec elles pour créer des environnements physiques plus positifs pour leur permettre de </w:t>
      </w:r>
      <w:r w:rsidR="00CC2789">
        <w:t>jouer</w:t>
      </w:r>
      <w:r>
        <w:t xml:space="preserve"> (</w:t>
      </w:r>
      <w:proofErr w:type="spellStart"/>
      <w:r>
        <w:t>Enright</w:t>
      </w:r>
      <w:proofErr w:type="spellEnd"/>
      <w:r>
        <w:t xml:space="preserve"> et </w:t>
      </w:r>
      <w:proofErr w:type="spellStart"/>
      <w:r>
        <w:t>O'Sullivan</w:t>
      </w:r>
      <w:proofErr w:type="spellEnd"/>
      <w:r>
        <w:t xml:space="preserve">, 2010). </w:t>
      </w:r>
    </w:p>
    <w:p w14:paraId="66D96E03" w14:textId="3D4B96BD" w:rsidR="00215928" w:rsidRDefault="00C81775">
      <w:pPr>
        <w:spacing w:after="240" w:line="276" w:lineRule="auto"/>
        <w:jc w:val="both"/>
      </w:pPr>
      <w:r>
        <w:t xml:space="preserve">Par conséquent, les entraîneurs devraient également être encouragés à abandonner la création d'environnements orientés vers l'ego </w:t>
      </w:r>
      <w:r w:rsidR="00CC2789">
        <w:t>mais ceux</w:t>
      </w:r>
      <w:r>
        <w:t xml:space="preserve"> axé</w:t>
      </w:r>
      <w:r w:rsidR="00CC2789">
        <w:t xml:space="preserve">s plus </w:t>
      </w:r>
      <w:r>
        <w:t xml:space="preserve">sur les tâches, où l'apprentissage individuel, </w:t>
      </w:r>
      <w:r w:rsidR="00CC2789">
        <w:t xml:space="preserve">où </w:t>
      </w:r>
      <w:r>
        <w:t>l'effort et l'amélioration sont célébrés par le renforcement positif. Les entraîneurs qui sont disposés à écouter leurs participantes, à réfléchir de manière critique à leur pratique et à s'éloigner des vues plus traditionnelles de la relation entraîneur-participant seront au cœur de cela. Cependant, peu importe qui soit le coaching, la manière dont les entraîneurs sont formés est également un aspect crucial à considérer. Norman (2016) identifie la formation des entraîneurs comme un facteur important dans l'aptitude des entraîneurs à travailler avec des hommes et des femmes (et des garçons et des filles) dans le sport. Plus important encore, elle plaide pour que les cours d'entraîneur dépassent une approche unique pour travailler avec les athlètes et commencent à considérer leur parcours et leur identité, y compris leur sexe (Norman, 2016).</w:t>
      </w:r>
    </w:p>
    <w:p w14:paraId="3E5E4D45" w14:textId="77777777" w:rsidR="00215928" w:rsidRDefault="00C81775">
      <w:pPr>
        <w:pStyle w:val="Heading2"/>
      </w:pPr>
      <w:bookmarkStart w:id="2" w:name="_Hlk18730722"/>
      <w:r>
        <w:rPr>
          <w:rFonts w:cstheme="minorHAnsi"/>
        </w:rPr>
        <w:t>Exercice de cadrage des meilleures pratiques internationales</w:t>
      </w:r>
    </w:p>
    <w:bookmarkEnd w:id="2"/>
    <w:p w14:paraId="42C72449" w14:textId="77777777" w:rsidR="00215928" w:rsidRDefault="00C81775">
      <w:pPr>
        <w:spacing w:line="360" w:lineRule="auto"/>
      </w:pPr>
      <w:r>
        <w:t xml:space="preserve">L'examen de 27 exemples locaux, nationaux et internationaux de bonnes pratiques a montré que des programmes sportifs efficaces pour les femmes et les filles devraient prendre en compte les éléments suivants : </w:t>
      </w:r>
    </w:p>
    <w:p w14:paraId="6CC7E4A6" w14:textId="7193E8D8" w:rsidR="00215928" w:rsidRDefault="00C81775">
      <w:pPr>
        <w:pStyle w:val="ListParagraph"/>
        <w:numPr>
          <w:ilvl w:val="0"/>
          <w:numId w:val="46"/>
        </w:numPr>
        <w:spacing w:after="160" w:line="360" w:lineRule="auto"/>
      </w:pPr>
      <w:r>
        <w:t>Approches de toute la communauté qui reconnaissent l'importance de pr</w:t>
      </w:r>
      <w:r w:rsidR="006D4541">
        <w:t>ise</w:t>
      </w:r>
      <w:r>
        <w:t xml:space="preserve"> en compte les besoins des parents, des amis, des enseignants, des entraîneurs et des travailleurs communautaires et de collaborer avec eux.</w:t>
      </w:r>
    </w:p>
    <w:p w14:paraId="4B9BB63B" w14:textId="77777777" w:rsidR="00215928" w:rsidRDefault="00C81775">
      <w:pPr>
        <w:pStyle w:val="ListParagraph"/>
        <w:numPr>
          <w:ilvl w:val="0"/>
          <w:numId w:val="46"/>
        </w:numPr>
        <w:spacing w:after="160" w:line="360" w:lineRule="auto"/>
      </w:pPr>
      <w:r>
        <w:t>Suppression des barrières de coût, de transport, d'équipement, de préjugés, de stéréotypes et d'attitudes négatives.</w:t>
      </w:r>
    </w:p>
    <w:p w14:paraId="2FAACE13" w14:textId="21E65ED3" w:rsidR="00215928" w:rsidRDefault="00C81775">
      <w:pPr>
        <w:pStyle w:val="ListParagraph"/>
        <w:numPr>
          <w:ilvl w:val="0"/>
          <w:numId w:val="46"/>
        </w:numPr>
        <w:spacing w:after="160" w:line="360" w:lineRule="auto"/>
      </w:pPr>
      <w:r>
        <w:t xml:space="preserve">Promotion du plaisir grâce </w:t>
      </w:r>
      <w:r w:rsidR="00CC2789">
        <w:t>aux</w:t>
      </w:r>
      <w:r>
        <w:t xml:space="preserve"> jeux non compétitifs et / ou à la narration. </w:t>
      </w:r>
    </w:p>
    <w:p w14:paraId="46B0842C" w14:textId="46FC73CA" w:rsidR="00215928" w:rsidRDefault="00CC2789">
      <w:pPr>
        <w:pStyle w:val="ListParagraph"/>
        <w:numPr>
          <w:ilvl w:val="0"/>
          <w:numId w:val="46"/>
        </w:numPr>
        <w:spacing w:after="160" w:line="360" w:lineRule="auto"/>
      </w:pPr>
      <w:r>
        <w:t>E</w:t>
      </w:r>
      <w:r w:rsidR="00C81775">
        <w:t xml:space="preserve">ducation </w:t>
      </w:r>
      <w:r>
        <w:t xml:space="preserve">centrée </w:t>
      </w:r>
      <w:r w:rsidR="00C81775">
        <w:t xml:space="preserve">aux problèmes clés qui affectent la vie des jeunes femmes et des filles, par exemple la pression des pairs, la santé sexuelle, le toilettage, les problèmes corporels, la grossesse.  </w:t>
      </w:r>
    </w:p>
    <w:p w14:paraId="7CCB5A95" w14:textId="33A41B16" w:rsidR="00215928" w:rsidRDefault="00C81775">
      <w:pPr>
        <w:pStyle w:val="ListParagraph"/>
        <w:numPr>
          <w:ilvl w:val="0"/>
          <w:numId w:val="46"/>
        </w:numPr>
        <w:spacing w:after="160" w:line="360" w:lineRule="auto"/>
      </w:pPr>
      <w:r>
        <w:t>Offr</w:t>
      </w:r>
      <w:r w:rsidR="00A7720D">
        <w:t>e d’</w:t>
      </w:r>
      <w:r>
        <w:t xml:space="preserve">une gamme d'activités large et variée. </w:t>
      </w:r>
    </w:p>
    <w:p w14:paraId="205EF4BA" w14:textId="2F42F0C3" w:rsidR="00215928" w:rsidRDefault="00C81775">
      <w:pPr>
        <w:pStyle w:val="ListParagraph"/>
        <w:numPr>
          <w:ilvl w:val="0"/>
          <w:numId w:val="46"/>
        </w:numPr>
        <w:spacing w:after="160" w:line="360" w:lineRule="auto"/>
      </w:pPr>
      <w:r>
        <w:lastRenderedPageBreak/>
        <w:t>Reconna</w:t>
      </w:r>
      <w:r w:rsidR="00A7720D">
        <w:t>issance</w:t>
      </w:r>
      <w:r>
        <w:t xml:space="preserve"> </w:t>
      </w:r>
      <w:r w:rsidR="00A7720D">
        <w:t>d</w:t>
      </w:r>
      <w:r>
        <w:t>es filles en tant qu'experts de leurs besoins et les encourager à aider à concevoir, exécuter et évaluer des programmes.</w:t>
      </w:r>
    </w:p>
    <w:p w14:paraId="75DF3AF0" w14:textId="0C77281E" w:rsidR="00215928" w:rsidRDefault="00A7720D">
      <w:pPr>
        <w:pStyle w:val="ListParagraph"/>
        <w:numPr>
          <w:ilvl w:val="0"/>
          <w:numId w:val="46"/>
        </w:numPr>
        <w:spacing w:after="160" w:line="360" w:lineRule="auto"/>
      </w:pPr>
      <w:r>
        <w:t>Développement d</w:t>
      </w:r>
      <w:r w:rsidR="00C81775">
        <w:t>es filles de sorte qu'elles deviennent des modèles, des leaders et des mentors pour les futurs programmes.</w:t>
      </w:r>
    </w:p>
    <w:p w14:paraId="0FE5124F" w14:textId="19675605" w:rsidR="00215928" w:rsidRDefault="00C81775">
      <w:pPr>
        <w:pStyle w:val="ListParagraph"/>
        <w:numPr>
          <w:ilvl w:val="0"/>
          <w:numId w:val="46"/>
        </w:numPr>
        <w:spacing w:after="160" w:line="360" w:lineRule="auto"/>
      </w:pPr>
      <w:r>
        <w:t>Offr</w:t>
      </w:r>
      <w:r w:rsidR="00A7720D">
        <w:t>e</w:t>
      </w:r>
      <w:r>
        <w:t xml:space="preserve"> des activités qui développent des compétences qui permettent aux jeunes femmes et filles de prendre le contrôle de leur vie - confiance, estime de soi, résilience, leadership, communication et autonomie.</w:t>
      </w:r>
    </w:p>
    <w:p w14:paraId="61FC23C2" w14:textId="77777777" w:rsidR="00215928" w:rsidRDefault="00C81775">
      <w:pPr>
        <w:pStyle w:val="Heading2"/>
        <w:spacing w:line="276" w:lineRule="auto"/>
        <w:rPr>
          <w:rFonts w:cstheme="minorHAnsi"/>
        </w:rPr>
      </w:pPr>
      <w:r>
        <w:rPr>
          <w:rFonts w:cstheme="minorHAnsi"/>
        </w:rPr>
        <w:t xml:space="preserve">Questions clés générales pour la conception, l'exécution et la promotion du programme </w:t>
      </w:r>
    </w:p>
    <w:p w14:paraId="20F4B91F" w14:textId="77777777" w:rsidR="00215928" w:rsidRDefault="00C81775">
      <w:pPr>
        <w:spacing w:after="240" w:line="360" w:lineRule="auto"/>
        <w:jc w:val="both"/>
      </w:pPr>
      <w:r>
        <w:t>Sur la base de la revue de la littérature et de l'exercice de cadrage des meilleures pratiques, un certain nombre de questions clés a été identifié et les parties prenantes doivent les prendre en compte lors de la conception, de la prestation et de la promotion de programmes de football pour les jeunes filles.</w:t>
      </w:r>
    </w:p>
    <w:p w14:paraId="676EA676" w14:textId="77777777" w:rsidR="00215928" w:rsidRDefault="00215928">
      <w:pPr>
        <w:spacing w:after="240" w:line="360" w:lineRule="auto"/>
        <w:jc w:val="both"/>
      </w:pPr>
    </w:p>
    <w:tbl>
      <w:tblPr>
        <w:tblStyle w:val="TableGrid"/>
        <w:tblW w:w="0" w:type="auto"/>
        <w:tblLook w:val="04A0" w:firstRow="1" w:lastRow="0" w:firstColumn="1" w:lastColumn="0" w:noHBand="0" w:noVBand="1"/>
      </w:tblPr>
      <w:tblGrid>
        <w:gridCol w:w="2352"/>
        <w:gridCol w:w="6584"/>
      </w:tblGrid>
      <w:tr w:rsidR="00215928" w14:paraId="29380B35" w14:textId="77777777">
        <w:tc>
          <w:tcPr>
            <w:tcW w:w="2352" w:type="dxa"/>
            <w:vMerge w:val="restart"/>
            <w:tcBorders>
              <w:top w:val="single" w:sz="36" w:space="0" w:color="auto"/>
              <w:left w:val="single" w:sz="36" w:space="0" w:color="000000"/>
            </w:tcBorders>
            <w:shd w:val="clear" w:color="auto" w:fill="CBEEFD" w:themeFill="background2" w:themeFillTint="33"/>
          </w:tcPr>
          <w:p w14:paraId="1AF4F2A8" w14:textId="77777777" w:rsidR="00215928" w:rsidRDefault="00C81775">
            <w:pPr>
              <w:spacing w:line="360" w:lineRule="auto"/>
              <w:rPr>
                <w:b/>
              </w:rPr>
            </w:pPr>
            <w:r>
              <w:rPr>
                <w:b/>
              </w:rPr>
              <w:t>Conception du programme</w:t>
            </w:r>
          </w:p>
        </w:tc>
        <w:tc>
          <w:tcPr>
            <w:tcW w:w="6584" w:type="dxa"/>
            <w:tcBorders>
              <w:top w:val="single" w:sz="36" w:space="0" w:color="auto"/>
              <w:right w:val="single" w:sz="36" w:space="0" w:color="auto"/>
            </w:tcBorders>
            <w:shd w:val="clear" w:color="auto" w:fill="auto"/>
          </w:tcPr>
          <w:p w14:paraId="420DDF30" w14:textId="77777777" w:rsidR="00215928" w:rsidRDefault="00C81775">
            <w:pPr>
              <w:spacing w:line="360" w:lineRule="auto"/>
            </w:pPr>
            <w:r>
              <w:rPr>
                <w:b/>
              </w:rPr>
              <w:t>Plans de session :</w:t>
            </w:r>
            <w:r>
              <w:t xml:space="preserve"> il est important de souligner le besoin de flexibilité et de ne pas forcer les entraîneurs à les suivre à la lettre, mais à s'adapter en fonction des participantes.</w:t>
            </w:r>
          </w:p>
        </w:tc>
      </w:tr>
      <w:tr w:rsidR="00215928" w14:paraId="00B922AD" w14:textId="77777777">
        <w:tc>
          <w:tcPr>
            <w:tcW w:w="2352" w:type="dxa"/>
            <w:vMerge/>
            <w:tcBorders>
              <w:left w:val="single" w:sz="36" w:space="0" w:color="000000"/>
            </w:tcBorders>
            <w:shd w:val="clear" w:color="auto" w:fill="CBEEFD" w:themeFill="background2" w:themeFillTint="33"/>
          </w:tcPr>
          <w:p w14:paraId="6612B0C4" w14:textId="77777777" w:rsidR="00215928" w:rsidRDefault="00215928">
            <w:pPr>
              <w:spacing w:line="360" w:lineRule="auto"/>
              <w:rPr>
                <w:b/>
              </w:rPr>
            </w:pPr>
          </w:p>
        </w:tc>
        <w:tc>
          <w:tcPr>
            <w:tcW w:w="6584" w:type="dxa"/>
            <w:tcBorders>
              <w:right w:val="single" w:sz="36" w:space="0" w:color="auto"/>
            </w:tcBorders>
            <w:shd w:val="clear" w:color="auto" w:fill="auto"/>
          </w:tcPr>
          <w:p w14:paraId="7614381A" w14:textId="77777777" w:rsidR="00215928" w:rsidRDefault="00C81775">
            <w:pPr>
              <w:spacing w:line="360" w:lineRule="auto"/>
            </w:pPr>
            <w:r>
              <w:rPr>
                <w:b/>
              </w:rPr>
              <w:t>Éducation / formation des entraîneurs :</w:t>
            </w:r>
            <w:r>
              <w:t xml:space="preserve"> inclure plus que juste « quoi » encadrer - quels sont les défis auxquels les filles sont confrontées ? Comment les entraîneurs peuvent-ils créer un environnement axé sur les tâches ? Comment peuvent-ils encourager l'appropriation ?</w:t>
            </w:r>
          </w:p>
        </w:tc>
      </w:tr>
      <w:tr w:rsidR="00215928" w14:paraId="74BCCC33" w14:textId="77777777">
        <w:tc>
          <w:tcPr>
            <w:tcW w:w="2352" w:type="dxa"/>
            <w:vMerge/>
            <w:tcBorders>
              <w:left w:val="single" w:sz="36" w:space="0" w:color="000000"/>
            </w:tcBorders>
            <w:shd w:val="clear" w:color="auto" w:fill="CBEEFD" w:themeFill="background2" w:themeFillTint="33"/>
          </w:tcPr>
          <w:p w14:paraId="5974099C" w14:textId="77777777" w:rsidR="00215928" w:rsidRDefault="00215928">
            <w:pPr>
              <w:spacing w:line="360" w:lineRule="auto"/>
              <w:rPr>
                <w:b/>
              </w:rPr>
            </w:pPr>
          </w:p>
        </w:tc>
        <w:tc>
          <w:tcPr>
            <w:tcW w:w="6584" w:type="dxa"/>
            <w:tcBorders>
              <w:bottom w:val="single" w:sz="4" w:space="0" w:color="000000"/>
              <w:right w:val="single" w:sz="36" w:space="0" w:color="auto"/>
            </w:tcBorders>
            <w:shd w:val="clear" w:color="auto" w:fill="auto"/>
          </w:tcPr>
          <w:p w14:paraId="53A17971" w14:textId="5DB7D0FF" w:rsidR="00215928" w:rsidRDefault="00C81775">
            <w:pPr>
              <w:spacing w:line="360" w:lineRule="auto"/>
            </w:pPr>
            <w:r>
              <w:rPr>
                <w:b/>
              </w:rPr>
              <w:t>Conception centrée sur l'enfant :</w:t>
            </w:r>
            <w:r>
              <w:t xml:space="preserve"> le programme est-il conçu sur </w:t>
            </w:r>
            <w:r w:rsidR="00A7720D">
              <w:t xml:space="preserve">la base </w:t>
            </w:r>
            <w:r>
              <w:t>d'une vision du plaisir proposée par les adultes ? Qu'est-ce qui est le plaisir pour une fille de 5 à 8 ans ? Envisage</w:t>
            </w:r>
            <w:r w:rsidR="00A7720D">
              <w:t>r</w:t>
            </w:r>
            <w:r>
              <w:t xml:space="preserve"> des moyens d'obtenir leur contribution à la conception de la session. </w:t>
            </w:r>
          </w:p>
        </w:tc>
      </w:tr>
      <w:tr w:rsidR="00215928" w14:paraId="3B15C7A7" w14:textId="77777777">
        <w:tc>
          <w:tcPr>
            <w:tcW w:w="2352" w:type="dxa"/>
            <w:vMerge/>
            <w:tcBorders>
              <w:left w:val="single" w:sz="36" w:space="0" w:color="000000"/>
              <w:bottom w:val="single" w:sz="36" w:space="0" w:color="000000"/>
            </w:tcBorders>
            <w:shd w:val="clear" w:color="auto" w:fill="CBEEFD" w:themeFill="background2" w:themeFillTint="33"/>
          </w:tcPr>
          <w:p w14:paraId="09F2ACCD" w14:textId="77777777" w:rsidR="00215928" w:rsidRDefault="00215928">
            <w:pPr>
              <w:spacing w:line="360" w:lineRule="auto"/>
              <w:rPr>
                <w:b/>
              </w:rPr>
            </w:pPr>
          </w:p>
        </w:tc>
        <w:tc>
          <w:tcPr>
            <w:tcW w:w="6584" w:type="dxa"/>
            <w:tcBorders>
              <w:top w:val="single" w:sz="4" w:space="0" w:color="000000"/>
              <w:bottom w:val="single" w:sz="36" w:space="0" w:color="000000"/>
              <w:right w:val="single" w:sz="36" w:space="0" w:color="auto"/>
            </w:tcBorders>
            <w:shd w:val="clear" w:color="auto" w:fill="auto"/>
          </w:tcPr>
          <w:p w14:paraId="3DDBFA15" w14:textId="457D4725" w:rsidR="00215928" w:rsidRDefault="00C81775">
            <w:pPr>
              <w:spacing w:line="360" w:lineRule="auto"/>
            </w:pPr>
            <w:r>
              <w:rPr>
                <w:b/>
              </w:rPr>
              <w:t xml:space="preserve">Etudier la suite possible : </w:t>
            </w:r>
            <w:r w:rsidR="00A7720D">
              <w:rPr>
                <w:b/>
              </w:rPr>
              <w:t>C</w:t>
            </w:r>
            <w:r>
              <w:rPr>
                <w:b/>
              </w:rPr>
              <w:t>omment ce programme de</w:t>
            </w:r>
            <w:r>
              <w:t xml:space="preserve"> 8 semaines se peut-il emmener vers le football de club ? Les clubs / </w:t>
            </w:r>
            <w:r w:rsidR="00A7720D">
              <w:t xml:space="preserve">les </w:t>
            </w:r>
            <w:r>
              <w:t xml:space="preserve">entraîneurs participent-ils à la réalisation du projet ? Les sessions sont-elles organisées dans un club ? Les entraîneurs </w:t>
            </w:r>
            <w:r>
              <w:lastRenderedPageBreak/>
              <w:t>de club connaissent-ils l'importance du plaisir / de l'appropriation</w:t>
            </w:r>
            <w:r w:rsidR="00A7720D">
              <w:t> ?</w:t>
            </w:r>
            <w:r>
              <w:t xml:space="preserve"> Ou bien les filles seront-elles confrontées aux </w:t>
            </w:r>
            <w:r w:rsidR="00A7720D">
              <w:t>« </w:t>
            </w:r>
            <w:r>
              <w:t>mêmes vieux » défis une fois qu'elles auront rejoint un club ?</w:t>
            </w:r>
          </w:p>
        </w:tc>
      </w:tr>
      <w:tr w:rsidR="00215928" w14:paraId="1F1B0862" w14:textId="77777777">
        <w:tc>
          <w:tcPr>
            <w:tcW w:w="2352" w:type="dxa"/>
            <w:vMerge w:val="restart"/>
            <w:tcBorders>
              <w:top w:val="single" w:sz="36" w:space="0" w:color="000000"/>
              <w:left w:val="single" w:sz="36" w:space="0" w:color="000000"/>
            </w:tcBorders>
            <w:shd w:val="clear" w:color="auto" w:fill="FFC000"/>
          </w:tcPr>
          <w:p w14:paraId="4D992B35" w14:textId="77777777" w:rsidR="00215928" w:rsidRDefault="00C81775">
            <w:pPr>
              <w:spacing w:line="360" w:lineRule="auto"/>
              <w:rPr>
                <w:b/>
              </w:rPr>
            </w:pPr>
            <w:r>
              <w:rPr>
                <w:b/>
              </w:rPr>
              <w:lastRenderedPageBreak/>
              <w:t>Offrir le programme</w:t>
            </w:r>
          </w:p>
        </w:tc>
        <w:tc>
          <w:tcPr>
            <w:tcW w:w="6584" w:type="dxa"/>
            <w:tcBorders>
              <w:top w:val="single" w:sz="36" w:space="0" w:color="000000"/>
              <w:right w:val="single" w:sz="36" w:space="0" w:color="auto"/>
            </w:tcBorders>
            <w:shd w:val="clear" w:color="auto" w:fill="auto"/>
          </w:tcPr>
          <w:p w14:paraId="081B6C6B" w14:textId="77777777" w:rsidR="00215928" w:rsidRDefault="00C81775">
            <w:pPr>
              <w:spacing w:line="360" w:lineRule="auto"/>
            </w:pPr>
            <w:r>
              <w:rPr>
                <w:b/>
              </w:rPr>
              <w:t>Flexibilité de l'entraîneur :</w:t>
            </w:r>
            <w:r>
              <w:t xml:space="preserve"> importance de trouver un équilibre entre « suivre le guide » et encadrer ce qui est devant vous.</w:t>
            </w:r>
          </w:p>
        </w:tc>
      </w:tr>
      <w:tr w:rsidR="00215928" w14:paraId="22DFA8CF" w14:textId="77777777">
        <w:tc>
          <w:tcPr>
            <w:tcW w:w="2352" w:type="dxa"/>
            <w:vMerge/>
            <w:tcBorders>
              <w:left w:val="single" w:sz="36" w:space="0" w:color="000000"/>
            </w:tcBorders>
            <w:shd w:val="clear" w:color="auto" w:fill="FFC000"/>
          </w:tcPr>
          <w:p w14:paraId="6B1D6453" w14:textId="77777777" w:rsidR="00215928" w:rsidRDefault="00215928">
            <w:pPr>
              <w:spacing w:line="360" w:lineRule="auto"/>
              <w:rPr>
                <w:b/>
              </w:rPr>
            </w:pPr>
          </w:p>
        </w:tc>
        <w:tc>
          <w:tcPr>
            <w:tcW w:w="6584" w:type="dxa"/>
            <w:tcBorders>
              <w:right w:val="single" w:sz="36" w:space="0" w:color="auto"/>
            </w:tcBorders>
            <w:shd w:val="clear" w:color="auto" w:fill="auto"/>
          </w:tcPr>
          <w:p w14:paraId="619EC45A" w14:textId="276DA01E" w:rsidR="00215928" w:rsidRDefault="00C81775">
            <w:pPr>
              <w:spacing w:line="360" w:lineRule="auto"/>
            </w:pPr>
            <w:r>
              <w:rPr>
                <w:b/>
              </w:rPr>
              <w:t>Pédagogie centrée sur l'enfant :</w:t>
            </w:r>
            <w:r>
              <w:t xml:space="preserve"> comprendre le besoin d'appropriation et d'autonomisation </w:t>
            </w:r>
            <w:r w:rsidR="00A7720D">
              <w:t>–</w:t>
            </w:r>
            <w:r>
              <w:t xml:space="preserve"> à quoi le coach veut-il que cela ressemble et à quoi les filles veulent-elles que cela ressemble ? Ces visions-ci peuvent être différentes.</w:t>
            </w:r>
          </w:p>
        </w:tc>
      </w:tr>
      <w:tr w:rsidR="00215928" w14:paraId="781F8A44" w14:textId="77777777">
        <w:tc>
          <w:tcPr>
            <w:tcW w:w="2352" w:type="dxa"/>
            <w:vMerge w:val="restart"/>
            <w:tcBorders>
              <w:top w:val="single" w:sz="36" w:space="0" w:color="000000"/>
              <w:left w:val="single" w:sz="36" w:space="0" w:color="000000"/>
            </w:tcBorders>
            <w:shd w:val="clear" w:color="auto" w:fill="E27A7C"/>
          </w:tcPr>
          <w:p w14:paraId="795BC731" w14:textId="77777777" w:rsidR="00215928" w:rsidRDefault="00C81775">
            <w:pPr>
              <w:spacing w:line="360" w:lineRule="auto"/>
              <w:rPr>
                <w:b/>
              </w:rPr>
            </w:pPr>
            <w:r>
              <w:rPr>
                <w:b/>
              </w:rPr>
              <w:t>Évaluation du programme</w:t>
            </w:r>
          </w:p>
        </w:tc>
        <w:tc>
          <w:tcPr>
            <w:tcW w:w="6584" w:type="dxa"/>
            <w:tcBorders>
              <w:top w:val="single" w:sz="36" w:space="0" w:color="000000"/>
              <w:right w:val="single" w:sz="36" w:space="0" w:color="auto"/>
            </w:tcBorders>
            <w:shd w:val="clear" w:color="auto" w:fill="auto"/>
          </w:tcPr>
          <w:p w14:paraId="50F59344" w14:textId="50376D84" w:rsidR="00215928" w:rsidRDefault="00C81775">
            <w:pPr>
              <w:spacing w:line="360" w:lineRule="auto"/>
            </w:pPr>
            <w:r>
              <w:rPr>
                <w:b/>
              </w:rPr>
              <w:t>Lacunes dans la recherche :</w:t>
            </w:r>
            <w:r>
              <w:t xml:space="preserve"> utilise</w:t>
            </w:r>
            <w:r w:rsidR="006D4541">
              <w:t xml:space="preserve">r </w:t>
            </w:r>
            <w:r>
              <w:t xml:space="preserve">ce programme pour effectuer des recherches sur les filles de 5 à 8 ans jouant au football </w:t>
            </w:r>
            <w:r w:rsidR="00A7720D">
              <w:t>–</w:t>
            </w:r>
            <w:r>
              <w:t xml:space="preserve"> combler les lacunes dans la recherche.</w:t>
            </w:r>
          </w:p>
        </w:tc>
      </w:tr>
      <w:tr w:rsidR="00215928" w14:paraId="196F6E4E" w14:textId="77777777">
        <w:tc>
          <w:tcPr>
            <w:tcW w:w="2352" w:type="dxa"/>
            <w:vMerge/>
            <w:tcBorders>
              <w:left w:val="single" w:sz="36" w:space="0" w:color="000000"/>
              <w:bottom w:val="single" w:sz="36" w:space="0" w:color="000000"/>
            </w:tcBorders>
            <w:shd w:val="clear" w:color="auto" w:fill="E27A7C"/>
          </w:tcPr>
          <w:p w14:paraId="6D08487D" w14:textId="77777777" w:rsidR="00215928" w:rsidRDefault="00215928">
            <w:pPr>
              <w:spacing w:line="360" w:lineRule="auto"/>
              <w:rPr>
                <w:b/>
              </w:rPr>
            </w:pPr>
          </w:p>
        </w:tc>
        <w:tc>
          <w:tcPr>
            <w:tcW w:w="6584" w:type="dxa"/>
            <w:tcBorders>
              <w:bottom w:val="single" w:sz="36" w:space="0" w:color="auto"/>
              <w:right w:val="single" w:sz="36" w:space="0" w:color="auto"/>
            </w:tcBorders>
            <w:shd w:val="clear" w:color="auto" w:fill="auto"/>
          </w:tcPr>
          <w:p w14:paraId="71D1D1ED" w14:textId="4D7B0799" w:rsidR="00215928" w:rsidRDefault="00C81775">
            <w:pPr>
              <w:spacing w:line="360" w:lineRule="auto"/>
            </w:pPr>
            <w:r>
              <w:rPr>
                <w:b/>
              </w:rPr>
              <w:t>Méthodes d'évaluation :</w:t>
            </w:r>
            <w:r>
              <w:t xml:space="preserve"> Réfléchi</w:t>
            </w:r>
            <w:r w:rsidR="006D4541">
              <w:t>r</w:t>
            </w:r>
            <w:r>
              <w:t xml:space="preserve"> à la façon dont le programme est évalué </w:t>
            </w:r>
            <w:r w:rsidR="00A7720D">
              <w:t>–</w:t>
            </w:r>
            <w:r>
              <w:t xml:space="preserve"> les objectifs et les méthodes sont-ils centrés sur l'adulte ou l'enfant ? </w:t>
            </w:r>
          </w:p>
        </w:tc>
      </w:tr>
      <w:tr w:rsidR="00215928" w14:paraId="4EAF7BE2" w14:textId="77777777">
        <w:tc>
          <w:tcPr>
            <w:tcW w:w="2352" w:type="dxa"/>
            <w:vMerge w:val="restart"/>
            <w:tcBorders>
              <w:top w:val="single" w:sz="36" w:space="0" w:color="auto"/>
              <w:left w:val="single" w:sz="36" w:space="0" w:color="auto"/>
            </w:tcBorders>
            <w:shd w:val="clear" w:color="auto" w:fill="2DAFFF" w:themeFill="accent5" w:themeFillTint="99"/>
          </w:tcPr>
          <w:p w14:paraId="62E76DE4" w14:textId="77777777" w:rsidR="00215928" w:rsidRDefault="00C81775">
            <w:pPr>
              <w:spacing w:line="360" w:lineRule="auto"/>
              <w:rPr>
                <w:b/>
              </w:rPr>
            </w:pPr>
            <w:r>
              <w:rPr>
                <w:b/>
              </w:rPr>
              <w:t xml:space="preserve">La recherche future </w:t>
            </w:r>
          </w:p>
        </w:tc>
        <w:tc>
          <w:tcPr>
            <w:tcW w:w="6584" w:type="dxa"/>
            <w:tcBorders>
              <w:top w:val="single" w:sz="36" w:space="0" w:color="auto"/>
              <w:right w:val="single" w:sz="36" w:space="0" w:color="auto"/>
            </w:tcBorders>
            <w:shd w:val="clear" w:color="auto" w:fill="auto"/>
          </w:tcPr>
          <w:p w14:paraId="636FAF93" w14:textId="355D8009" w:rsidR="00215928" w:rsidRDefault="00C81775">
            <w:pPr>
              <w:spacing w:line="360" w:lineRule="auto"/>
            </w:pPr>
            <w:r>
              <w:t>Très peu de recherches ont été menées auprès de filles âgées de 5 à 8 ans dans les milieux d</w:t>
            </w:r>
            <w:r w:rsidR="00A7720D">
              <w:t>u</w:t>
            </w:r>
            <w:r>
              <w:t xml:space="preserve"> football, de l'activité physique et </w:t>
            </w:r>
            <w:r w:rsidR="006D4541">
              <w:t>sportive</w:t>
            </w:r>
            <w:r>
              <w:t>.</w:t>
            </w:r>
          </w:p>
        </w:tc>
      </w:tr>
      <w:tr w:rsidR="00215928" w14:paraId="79ECE57D" w14:textId="77777777">
        <w:tc>
          <w:tcPr>
            <w:tcW w:w="2352" w:type="dxa"/>
            <w:vMerge/>
            <w:tcBorders>
              <w:top w:val="single" w:sz="4" w:space="0" w:color="000000"/>
              <w:left w:val="single" w:sz="36" w:space="0" w:color="auto"/>
            </w:tcBorders>
            <w:shd w:val="clear" w:color="auto" w:fill="2DAFFF" w:themeFill="accent5" w:themeFillTint="99"/>
          </w:tcPr>
          <w:p w14:paraId="3D307301" w14:textId="77777777" w:rsidR="00215928" w:rsidRDefault="00215928">
            <w:pPr>
              <w:spacing w:line="360" w:lineRule="auto"/>
              <w:rPr>
                <w:b/>
              </w:rPr>
            </w:pPr>
          </w:p>
        </w:tc>
        <w:tc>
          <w:tcPr>
            <w:tcW w:w="6584" w:type="dxa"/>
            <w:tcBorders>
              <w:top w:val="single" w:sz="4" w:space="0" w:color="000000"/>
              <w:bottom w:val="single" w:sz="4" w:space="0" w:color="000000"/>
              <w:right w:val="single" w:sz="36" w:space="0" w:color="auto"/>
            </w:tcBorders>
            <w:shd w:val="clear" w:color="auto" w:fill="auto"/>
          </w:tcPr>
          <w:p w14:paraId="06B8C868" w14:textId="77777777" w:rsidR="00215928" w:rsidRDefault="00C81775">
            <w:pPr>
              <w:spacing w:line="360" w:lineRule="auto"/>
            </w:pPr>
            <w:r>
              <w:t>Reconnaître les défis liés au genre que les filles doivent surmonter pour s'engager dans des contextes de sport et de football.</w:t>
            </w:r>
          </w:p>
        </w:tc>
      </w:tr>
      <w:tr w:rsidR="00215928" w14:paraId="3FE531ED" w14:textId="77777777">
        <w:tc>
          <w:tcPr>
            <w:tcW w:w="2352" w:type="dxa"/>
            <w:vMerge/>
            <w:tcBorders>
              <w:left w:val="single" w:sz="36" w:space="0" w:color="auto"/>
              <w:bottom w:val="single" w:sz="36" w:space="0" w:color="auto"/>
            </w:tcBorders>
            <w:shd w:val="clear" w:color="auto" w:fill="2DAFFF" w:themeFill="accent5" w:themeFillTint="99"/>
          </w:tcPr>
          <w:p w14:paraId="102CF6F5" w14:textId="77777777" w:rsidR="00215928" w:rsidRDefault="00215928">
            <w:pPr>
              <w:spacing w:line="360" w:lineRule="auto"/>
              <w:rPr>
                <w:b/>
              </w:rPr>
            </w:pPr>
          </w:p>
        </w:tc>
        <w:tc>
          <w:tcPr>
            <w:tcW w:w="6584" w:type="dxa"/>
            <w:tcBorders>
              <w:top w:val="single" w:sz="4" w:space="0" w:color="000000"/>
              <w:bottom w:val="single" w:sz="36" w:space="0" w:color="auto"/>
              <w:right w:val="single" w:sz="36" w:space="0" w:color="auto"/>
            </w:tcBorders>
            <w:shd w:val="clear" w:color="auto" w:fill="auto"/>
          </w:tcPr>
          <w:p w14:paraId="280AC2F0" w14:textId="77777777" w:rsidR="00215928" w:rsidRDefault="00C81775">
            <w:pPr>
              <w:spacing w:line="360" w:lineRule="auto"/>
            </w:pPr>
            <w:r>
              <w:t>Comprendre les différences entre les filles et les contextes européens. Différents défis et opportunités se présenteront lorsque vous travaillez dans différents endroits, avec différentes personnes.</w:t>
            </w:r>
          </w:p>
        </w:tc>
      </w:tr>
    </w:tbl>
    <w:p w14:paraId="02CA643A" w14:textId="77777777" w:rsidR="00215928" w:rsidRPr="009402E3" w:rsidRDefault="00215928">
      <w:pPr>
        <w:pStyle w:val="BodyText"/>
        <w:spacing w:line="276" w:lineRule="auto"/>
        <w:jc w:val="both"/>
        <w:rPr>
          <w:lang w:val="ru-RU"/>
        </w:rPr>
      </w:pPr>
    </w:p>
    <w:p w14:paraId="2973B15B" w14:textId="77777777" w:rsidR="00215928" w:rsidRDefault="00215928">
      <w:pPr>
        <w:pStyle w:val="BodyText"/>
        <w:spacing w:line="276" w:lineRule="auto"/>
        <w:jc w:val="both"/>
      </w:pPr>
    </w:p>
    <w:p w14:paraId="5667B0F3" w14:textId="77777777" w:rsidR="00215928" w:rsidRDefault="00215928">
      <w:pPr>
        <w:pStyle w:val="BodyText"/>
        <w:spacing w:line="276" w:lineRule="auto"/>
        <w:jc w:val="both"/>
      </w:pPr>
    </w:p>
    <w:p w14:paraId="62FC304B" w14:textId="77777777" w:rsidR="00215928" w:rsidRDefault="00215928">
      <w:pPr>
        <w:pStyle w:val="BodyText"/>
        <w:spacing w:line="276" w:lineRule="auto"/>
        <w:jc w:val="both"/>
      </w:pPr>
    </w:p>
    <w:p w14:paraId="7FD59B2A" w14:textId="77777777" w:rsidR="00215928" w:rsidRDefault="00215928">
      <w:pPr>
        <w:pStyle w:val="BodyText"/>
        <w:spacing w:line="276" w:lineRule="auto"/>
        <w:jc w:val="both"/>
      </w:pPr>
    </w:p>
    <w:p w14:paraId="40AE8601" w14:textId="77777777" w:rsidR="00215928" w:rsidRDefault="00215928">
      <w:pPr>
        <w:pStyle w:val="BodyText"/>
        <w:spacing w:line="276" w:lineRule="auto"/>
        <w:jc w:val="both"/>
      </w:pPr>
    </w:p>
    <w:p w14:paraId="0257B600" w14:textId="77777777" w:rsidR="00215928" w:rsidRDefault="00215928">
      <w:pPr>
        <w:pStyle w:val="BodyText"/>
        <w:spacing w:line="276" w:lineRule="auto"/>
        <w:jc w:val="both"/>
      </w:pPr>
    </w:p>
    <w:p w14:paraId="79EDC51C" w14:textId="77777777" w:rsidR="00215928" w:rsidRDefault="00215928">
      <w:pPr>
        <w:pStyle w:val="BodyText"/>
        <w:spacing w:line="276" w:lineRule="auto"/>
        <w:jc w:val="both"/>
      </w:pPr>
    </w:p>
    <w:p w14:paraId="31AFBC56" w14:textId="77777777" w:rsidR="00215928" w:rsidRDefault="00215928">
      <w:pPr>
        <w:pStyle w:val="BodyText"/>
        <w:spacing w:line="276" w:lineRule="auto"/>
        <w:jc w:val="both"/>
      </w:pPr>
    </w:p>
    <w:p w14:paraId="3DD8EEB5" w14:textId="77777777" w:rsidR="00215928" w:rsidRDefault="00215928">
      <w:pPr>
        <w:pStyle w:val="BodyText"/>
        <w:spacing w:line="276" w:lineRule="auto"/>
        <w:jc w:val="both"/>
      </w:pPr>
    </w:p>
    <w:p w14:paraId="464A69D3" w14:textId="77777777" w:rsidR="00215928" w:rsidRDefault="00215928">
      <w:pPr>
        <w:pStyle w:val="BodyText"/>
        <w:spacing w:line="276" w:lineRule="auto"/>
        <w:jc w:val="both"/>
      </w:pPr>
    </w:p>
    <w:p w14:paraId="2FCA95DA" w14:textId="77777777" w:rsidR="00215928" w:rsidRDefault="00215928">
      <w:pPr>
        <w:pStyle w:val="BodyText"/>
        <w:spacing w:line="276" w:lineRule="auto"/>
        <w:jc w:val="both"/>
      </w:pPr>
    </w:p>
    <w:p w14:paraId="09E389A4" w14:textId="77777777" w:rsidR="00215928" w:rsidRDefault="00215928">
      <w:pPr>
        <w:pStyle w:val="BodyText"/>
        <w:spacing w:line="276" w:lineRule="auto"/>
        <w:jc w:val="both"/>
      </w:pPr>
    </w:p>
    <w:p w14:paraId="792409F4" w14:textId="77777777" w:rsidR="00215928" w:rsidRDefault="00215928">
      <w:pPr>
        <w:pStyle w:val="BodyText"/>
        <w:spacing w:line="276" w:lineRule="auto"/>
        <w:jc w:val="both"/>
      </w:pPr>
    </w:p>
    <w:p w14:paraId="769ECA60" w14:textId="77777777" w:rsidR="00215928" w:rsidRDefault="00215928">
      <w:pPr>
        <w:pStyle w:val="BodyText"/>
        <w:spacing w:line="276" w:lineRule="auto"/>
        <w:jc w:val="both"/>
      </w:pPr>
    </w:p>
    <w:p w14:paraId="44C6C514" w14:textId="77777777" w:rsidR="00215928" w:rsidRDefault="00215928">
      <w:pPr>
        <w:pStyle w:val="BodyText"/>
        <w:spacing w:line="276" w:lineRule="auto"/>
        <w:jc w:val="both"/>
      </w:pPr>
    </w:p>
    <w:p w14:paraId="18836204" w14:textId="77777777" w:rsidR="00215928" w:rsidRDefault="00215928">
      <w:pPr>
        <w:pStyle w:val="BodyText"/>
        <w:spacing w:line="276" w:lineRule="auto"/>
        <w:jc w:val="both"/>
      </w:pPr>
    </w:p>
    <w:p w14:paraId="0353ED74" w14:textId="77777777" w:rsidR="00215928" w:rsidRDefault="00215928">
      <w:pPr>
        <w:pStyle w:val="BodyText"/>
        <w:spacing w:line="276" w:lineRule="auto"/>
        <w:jc w:val="both"/>
      </w:pPr>
    </w:p>
    <w:p w14:paraId="45C91EE2" w14:textId="77777777" w:rsidR="00215928" w:rsidRDefault="00215928">
      <w:pPr>
        <w:pStyle w:val="BodyText"/>
        <w:spacing w:line="276" w:lineRule="auto"/>
        <w:jc w:val="both"/>
      </w:pPr>
    </w:p>
    <w:p w14:paraId="4FB2903B" w14:textId="77777777" w:rsidR="00215928" w:rsidRDefault="00C81775">
      <w:pPr>
        <w:pStyle w:val="BodyText"/>
        <w:jc w:val="both"/>
        <w:rPr>
          <w:sz w:val="20"/>
        </w:rPr>
      </w:pPr>
      <w:r>
        <w:rPr>
          <w:sz w:val="20"/>
        </w:rPr>
        <w:t>Cet examen a été réalisé au nom de l'UEFA par la Carnegie School of Sport de l'Université Leeds Beckett (Royaume-Uni).</w:t>
      </w:r>
    </w:p>
    <w:p w14:paraId="105406E5" w14:textId="77777777" w:rsidR="00215928" w:rsidRDefault="00215928">
      <w:pPr>
        <w:pStyle w:val="BodyText"/>
        <w:jc w:val="both"/>
        <w:rPr>
          <w:sz w:val="20"/>
        </w:rPr>
      </w:pPr>
    </w:p>
    <w:p w14:paraId="02994268" w14:textId="77777777" w:rsidR="00215928" w:rsidRDefault="00C81775">
      <w:pPr>
        <w:pStyle w:val="BodyText"/>
        <w:jc w:val="both"/>
        <w:rPr>
          <w:sz w:val="20"/>
        </w:rPr>
      </w:pPr>
      <w:r>
        <w:rPr>
          <w:sz w:val="20"/>
        </w:rPr>
        <w:t>Coordinateurs de projet : Dr Sergio Lara-</w:t>
      </w:r>
      <w:proofErr w:type="spellStart"/>
      <w:r>
        <w:rPr>
          <w:sz w:val="20"/>
        </w:rPr>
        <w:t>Bercial</w:t>
      </w:r>
      <w:proofErr w:type="spellEnd"/>
      <w:r>
        <w:rPr>
          <w:sz w:val="20"/>
        </w:rPr>
        <w:t xml:space="preserve"> et Dr Annette Stride</w:t>
      </w:r>
    </w:p>
    <w:p w14:paraId="4C9540A2" w14:textId="77777777" w:rsidR="00215928" w:rsidRDefault="00215928">
      <w:pPr>
        <w:pStyle w:val="BodyText"/>
        <w:jc w:val="both"/>
        <w:rPr>
          <w:sz w:val="20"/>
        </w:rPr>
      </w:pPr>
    </w:p>
    <w:p w14:paraId="14DD712E" w14:textId="77777777" w:rsidR="00215928" w:rsidRDefault="00C81775">
      <w:pPr>
        <w:pStyle w:val="BodyText"/>
        <w:jc w:val="both"/>
        <w:rPr>
          <w:sz w:val="20"/>
        </w:rPr>
      </w:pPr>
      <w:r>
        <w:rPr>
          <w:sz w:val="20"/>
        </w:rPr>
        <w:t xml:space="preserve">Auteurs : Dr Annette Stride, Ruth </w:t>
      </w:r>
      <w:proofErr w:type="spellStart"/>
      <w:r>
        <w:rPr>
          <w:sz w:val="20"/>
        </w:rPr>
        <w:t>Brazier</w:t>
      </w:r>
      <w:proofErr w:type="spellEnd"/>
      <w:r>
        <w:rPr>
          <w:sz w:val="20"/>
        </w:rPr>
        <w:t>, Dr Hayley Fitzgerald, Dr Sergio Lara-</w:t>
      </w:r>
      <w:proofErr w:type="spellStart"/>
      <w:r>
        <w:rPr>
          <w:sz w:val="20"/>
        </w:rPr>
        <w:t>Bercial</w:t>
      </w:r>
      <w:proofErr w:type="spellEnd"/>
      <w:r>
        <w:rPr>
          <w:sz w:val="20"/>
        </w:rPr>
        <w:t xml:space="preserve">, Matthew </w:t>
      </w:r>
      <w:proofErr w:type="spellStart"/>
      <w:r>
        <w:rPr>
          <w:sz w:val="20"/>
        </w:rPr>
        <w:t>Staples</w:t>
      </w:r>
      <w:proofErr w:type="spellEnd"/>
      <w:r>
        <w:rPr>
          <w:sz w:val="20"/>
        </w:rPr>
        <w:t xml:space="preserve"> et Sabrina </w:t>
      </w:r>
      <w:proofErr w:type="spellStart"/>
      <w:r>
        <w:rPr>
          <w:sz w:val="20"/>
        </w:rPr>
        <w:t>Piggott</w:t>
      </w:r>
      <w:proofErr w:type="spellEnd"/>
    </w:p>
    <w:p w14:paraId="0E4BB287" w14:textId="77777777" w:rsidR="00215928" w:rsidRDefault="00215928">
      <w:pPr>
        <w:pStyle w:val="BodyText"/>
        <w:jc w:val="both"/>
        <w:rPr>
          <w:sz w:val="20"/>
        </w:rPr>
      </w:pPr>
    </w:p>
    <w:p w14:paraId="090C9D18" w14:textId="77777777" w:rsidR="00215928" w:rsidRDefault="00C81775">
      <w:pPr>
        <w:pStyle w:val="BodyText"/>
        <w:jc w:val="both"/>
        <w:rPr>
          <w:rFonts w:cs="Arial"/>
          <w:sz w:val="20"/>
        </w:rPr>
      </w:pPr>
      <w:r>
        <w:rPr>
          <w:rFonts w:cs="Arial"/>
          <w:sz w:val="20"/>
        </w:rPr>
        <w:t xml:space="preserve">©UEFA </w:t>
      </w:r>
    </w:p>
    <w:p w14:paraId="43F35019" w14:textId="77777777" w:rsidR="00215928" w:rsidRDefault="00C81775">
      <w:pPr>
        <w:pStyle w:val="BodyText"/>
        <w:jc w:val="both"/>
        <w:rPr>
          <w:sz w:val="20"/>
        </w:rPr>
      </w:pPr>
      <w:r>
        <w:rPr>
          <w:sz w:val="20"/>
        </w:rPr>
        <w:t>Septembre 2019</w:t>
      </w:r>
    </w:p>
    <w:p w14:paraId="6854B9A1" w14:textId="77777777" w:rsidR="00215928" w:rsidRDefault="00215928">
      <w:pPr>
        <w:sectPr w:rsidR="00215928" w:rsidSect="00E33A6C">
          <w:headerReference w:type="default" r:id="rId11"/>
          <w:footerReference w:type="default" r:id="rId12"/>
          <w:pgSz w:w="11907" w:h="16840" w:code="9"/>
          <w:pgMar w:top="2410" w:right="1134" w:bottom="1440" w:left="1134" w:header="720" w:footer="720" w:gutter="0"/>
          <w:cols w:space="720"/>
        </w:sectPr>
      </w:pPr>
    </w:p>
    <w:p w14:paraId="15623A92" w14:textId="77777777" w:rsidR="00215928" w:rsidRDefault="00215928"/>
    <w:sectPr w:rsidR="00215928">
      <w:headerReference w:type="default" r:id="rId13"/>
      <w:footerReference w:type="default" r:id="rId14"/>
      <w:pgSz w:w="11907" w:h="16840" w:code="9"/>
      <w:pgMar w:top="2410" w:right="113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0BC83" w14:textId="77777777" w:rsidR="003C2058" w:rsidRDefault="003C2058">
      <w:r>
        <w:separator/>
      </w:r>
    </w:p>
  </w:endnote>
  <w:endnote w:type="continuationSeparator" w:id="0">
    <w:p w14:paraId="219A0264" w14:textId="77777777" w:rsidR="003C2058" w:rsidRDefault="003C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7F4C9" w14:textId="77777777" w:rsidR="00215928" w:rsidRDefault="00C81775">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9BDBE" w14:textId="77777777" w:rsidR="00215928" w:rsidRDefault="00C81775">
    <w:pPr>
      <w:pStyle w:val="Footer"/>
    </w:pPr>
    <w:r>
      <w:tab/>
    </w:r>
    <w:sdt>
      <w:sdtPr>
        <w:id w:val="965081874"/>
        <w:docPartObj>
          <w:docPartGallery w:val="Page Numbers (Bottom of Page)"/>
          <w:docPartUnique/>
        </w:docPartObj>
      </w:sdtPr>
      <w:sdtEndPr/>
      <w:sdtContent>
        <w:r w:rsidRPr="009C0E9C">
          <w:fldChar w:fldCharType="begin"/>
        </w:r>
        <w:r w:rsidRPr="009C0E9C">
          <w:instrText xml:space="preserve"> PAGE   \* MERGEFORMAT </w:instrText>
        </w:r>
        <w:r w:rsidRPr="009C0E9C">
          <w:fldChar w:fldCharType="separate"/>
        </w:r>
        <w:r w:rsidR="00BC6A05">
          <w:t>2</w:t>
        </w:r>
        <w:r w:rsidRPr="009C0E9C">
          <w:fldChar w:fldCharType="end"/>
        </w:r>
      </w:sdtContent>
    </w:sdt>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206D" w14:textId="77777777" w:rsidR="00215928" w:rsidRDefault="00C8177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C86B0" w14:textId="77777777" w:rsidR="003C2058" w:rsidRDefault="003C2058">
      <w:r>
        <w:separator/>
      </w:r>
    </w:p>
  </w:footnote>
  <w:footnote w:type="continuationSeparator" w:id="0">
    <w:p w14:paraId="5ADD5F25" w14:textId="77777777" w:rsidR="003C2058" w:rsidRDefault="003C2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305D" w14:textId="77777777" w:rsidR="00215928" w:rsidRDefault="00C81775">
    <w:pPr>
      <w:pStyle w:val="Header"/>
    </w:pPr>
    <w:r>
      <w:rPr>
        <w:noProof/>
      </w:rPr>
      <w:drawing>
        <wp:anchor distT="0" distB="0" distL="114300" distR="114300" simplePos="0" relativeHeight="251664384" behindDoc="1" locked="0" layoutInCell="1" allowOverlap="1" wp14:anchorId="15839022" wp14:editId="733D2D48">
          <wp:simplePos x="0" y="0"/>
          <wp:positionH relativeFrom="page">
            <wp:align>left</wp:align>
          </wp:positionH>
          <wp:positionV relativeFrom="paragraph">
            <wp:posOffset>-450215</wp:posOffset>
          </wp:positionV>
          <wp:extent cx="7559999" cy="106856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21_Generic_A4_P_cov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6A37" w14:textId="77777777" w:rsidR="00215928" w:rsidRDefault="00C81775">
    <w:pPr>
      <w:pStyle w:val="Header"/>
    </w:pPr>
    <w:r>
      <w:rPr>
        <w:noProof/>
      </w:rPr>
      <w:drawing>
        <wp:anchor distT="0" distB="0" distL="114300" distR="114300" simplePos="0" relativeHeight="251665408" behindDoc="1" locked="0" layoutInCell="1" allowOverlap="1" wp14:anchorId="0CFF278F" wp14:editId="339D4AED">
          <wp:simplePos x="0" y="0"/>
          <wp:positionH relativeFrom="page">
            <wp:posOffset>16625</wp:posOffset>
          </wp:positionH>
          <wp:positionV relativeFrom="paragraph">
            <wp:posOffset>-457195</wp:posOffset>
          </wp:positionV>
          <wp:extent cx="7649946" cy="10812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21_Generic_A4_P_inner.jpg"/>
                  <pic:cNvPicPr/>
                </pic:nvPicPr>
                <pic:blipFill>
                  <a:blip r:embed="rId1">
                    <a:extLst>
                      <a:ext uri="{28A0092B-C50C-407E-A947-70E740481C1C}">
                        <a14:useLocalDpi xmlns:a14="http://schemas.microsoft.com/office/drawing/2010/main" val="0"/>
                      </a:ext>
                    </a:extLst>
                  </a:blip>
                  <a:stretch>
                    <a:fillRect/>
                  </a:stretch>
                </pic:blipFill>
                <pic:spPr>
                  <a:xfrm>
                    <a:off x="0" y="0"/>
                    <a:ext cx="7649946" cy="1081278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BC71" w14:textId="77777777" w:rsidR="00215928" w:rsidRDefault="00C81775">
    <w:pPr>
      <w:pStyle w:val="Header"/>
    </w:pPr>
    <w:r>
      <w:rPr>
        <w:noProof/>
      </w:rPr>
      <w:drawing>
        <wp:anchor distT="0" distB="0" distL="114300" distR="114300" simplePos="0" relativeHeight="251666432" behindDoc="1" locked="0" layoutInCell="1" allowOverlap="1" wp14:anchorId="345045DB" wp14:editId="0694C1A5">
          <wp:simplePos x="0" y="0"/>
          <wp:positionH relativeFrom="page">
            <wp:align>left</wp:align>
          </wp:positionH>
          <wp:positionV relativeFrom="paragraph">
            <wp:posOffset>-457200</wp:posOffset>
          </wp:positionV>
          <wp:extent cx="7559999" cy="106856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21_Generic_A4_Dbl_P_back.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52A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C83D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30B8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A4CC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A9EA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1A1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A90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F6C4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C8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1A736E"/>
    <w:lvl w:ilvl="0">
      <w:start w:val="1"/>
      <w:numFmt w:val="bullet"/>
      <w:pStyle w:val="ListBullet"/>
      <w:lvlText w:val=""/>
      <w:lvlJc w:val="left"/>
      <w:pPr>
        <w:ind w:left="360" w:hanging="360"/>
      </w:pPr>
      <w:rPr>
        <w:rFonts w:ascii="Symbol" w:hAnsi="Symbol" w:hint="default"/>
        <w:color w:val="1A1F56" w:themeColor="text2"/>
      </w:rPr>
    </w:lvl>
  </w:abstractNum>
  <w:abstractNum w:abstractNumId="10" w15:restartNumberingAfterBreak="0">
    <w:nsid w:val="0D6C0C59"/>
    <w:multiLevelType w:val="multilevel"/>
    <w:tmpl w:val="969C830A"/>
    <w:numStyleLink w:val="UEFANumbers1-9"/>
  </w:abstractNum>
  <w:abstractNum w:abstractNumId="11" w15:restartNumberingAfterBreak="0">
    <w:nsid w:val="1041326E"/>
    <w:multiLevelType w:val="multilevel"/>
    <w:tmpl w:val="969C830A"/>
    <w:numStyleLink w:val="UEFANumbers1-9"/>
  </w:abstractNum>
  <w:abstractNum w:abstractNumId="12" w15:restartNumberingAfterBreak="0">
    <w:nsid w:val="143A2EB6"/>
    <w:multiLevelType w:val="multilevel"/>
    <w:tmpl w:val="969C830A"/>
    <w:numStyleLink w:val="UEFANumbers1-9"/>
  </w:abstractNum>
  <w:abstractNum w:abstractNumId="13" w15:restartNumberingAfterBreak="0">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000000"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14" w15:restartNumberingAfterBreak="0">
    <w:nsid w:val="19D0756C"/>
    <w:multiLevelType w:val="multilevel"/>
    <w:tmpl w:val="969C830A"/>
    <w:numStyleLink w:val="UEFANumbers1-9"/>
  </w:abstractNum>
  <w:abstractNum w:abstractNumId="15" w15:restartNumberingAfterBreak="0">
    <w:nsid w:val="1A392578"/>
    <w:multiLevelType w:val="multilevel"/>
    <w:tmpl w:val="969C830A"/>
    <w:numStyleLink w:val="UEFANumbers1-9"/>
  </w:abstractNum>
  <w:abstractNum w:abstractNumId="16" w15:restartNumberingAfterBreak="0">
    <w:nsid w:val="1B5B1F6B"/>
    <w:multiLevelType w:val="multilevel"/>
    <w:tmpl w:val="969C830A"/>
    <w:numStyleLink w:val="UEFANumbers1-9"/>
  </w:abstractNum>
  <w:abstractNum w:abstractNumId="17" w15:restartNumberingAfterBreak="0">
    <w:nsid w:val="1C7452CF"/>
    <w:multiLevelType w:val="multilevel"/>
    <w:tmpl w:val="969C830A"/>
    <w:numStyleLink w:val="UEFANumbers1-9"/>
  </w:abstractNum>
  <w:abstractNum w:abstractNumId="18" w15:restartNumberingAfterBreak="0">
    <w:nsid w:val="1DF02F71"/>
    <w:multiLevelType w:val="multilevel"/>
    <w:tmpl w:val="0802B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AB37FA"/>
    <w:multiLevelType w:val="hybridMultilevel"/>
    <w:tmpl w:val="63341736"/>
    <w:lvl w:ilvl="0" w:tplc="BAEA391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F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F8645B"/>
    <w:multiLevelType w:val="multilevel"/>
    <w:tmpl w:val="969C830A"/>
    <w:numStyleLink w:val="UEFANumbers1-9"/>
  </w:abstractNum>
  <w:abstractNum w:abstractNumId="22" w15:restartNumberingAfterBreak="0">
    <w:nsid w:val="3B6D0748"/>
    <w:multiLevelType w:val="multilevel"/>
    <w:tmpl w:val="969C830A"/>
    <w:numStyleLink w:val="UEFANumbers1-9"/>
  </w:abstractNum>
  <w:abstractNum w:abstractNumId="23" w15:restartNumberingAfterBreak="0">
    <w:nsid w:val="429F0E07"/>
    <w:multiLevelType w:val="multilevel"/>
    <w:tmpl w:val="969C830A"/>
    <w:numStyleLink w:val="UEFANumbers1-9"/>
  </w:abstractNum>
  <w:abstractNum w:abstractNumId="24" w15:restartNumberingAfterBreak="0">
    <w:nsid w:val="478E5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9B1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532394"/>
    <w:multiLevelType w:val="hybridMultilevel"/>
    <w:tmpl w:val="2F8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5D1BC6"/>
    <w:multiLevelType w:val="multilevel"/>
    <w:tmpl w:val="969C830A"/>
    <w:numStyleLink w:val="UEFANumbers1-9"/>
  </w:abstractNum>
  <w:abstractNum w:abstractNumId="28" w15:restartNumberingAfterBreak="0">
    <w:nsid w:val="57C73A68"/>
    <w:multiLevelType w:val="multilevel"/>
    <w:tmpl w:val="969C830A"/>
    <w:numStyleLink w:val="UEFANumbers1-9"/>
  </w:abstractNum>
  <w:abstractNum w:abstractNumId="29" w15:restartNumberingAfterBreak="0">
    <w:nsid w:val="5BAB0BB5"/>
    <w:multiLevelType w:val="multilevel"/>
    <w:tmpl w:val="969C830A"/>
    <w:numStyleLink w:val="UEFANumbers1-9"/>
  </w:abstractNum>
  <w:abstractNum w:abstractNumId="30" w15:restartNumberingAfterBreak="0">
    <w:nsid w:val="5C5276B7"/>
    <w:multiLevelType w:val="multilevel"/>
    <w:tmpl w:val="969C830A"/>
    <w:numStyleLink w:val="UEFANumbers1-9"/>
  </w:abstractNum>
  <w:abstractNum w:abstractNumId="31" w15:restartNumberingAfterBreak="0">
    <w:nsid w:val="5E3B4D81"/>
    <w:multiLevelType w:val="multilevel"/>
    <w:tmpl w:val="969C830A"/>
    <w:numStyleLink w:val="UEFANumbers1-9"/>
  </w:abstractNum>
  <w:abstractNum w:abstractNumId="32" w15:restartNumberingAfterBreak="0">
    <w:nsid w:val="66C6001E"/>
    <w:multiLevelType w:val="multilevel"/>
    <w:tmpl w:val="F38AB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7D5CCD"/>
    <w:multiLevelType w:val="multilevel"/>
    <w:tmpl w:val="969C830A"/>
    <w:numStyleLink w:val="UEFANumbers1-9"/>
  </w:abstractNum>
  <w:abstractNum w:abstractNumId="34" w15:restartNumberingAfterBreak="0">
    <w:nsid w:val="6BCE0FAE"/>
    <w:multiLevelType w:val="multilevel"/>
    <w:tmpl w:val="969C830A"/>
    <w:numStyleLink w:val="UEFANumbers1-9"/>
  </w:abstractNum>
  <w:abstractNum w:abstractNumId="35" w15:restartNumberingAfterBreak="0">
    <w:nsid w:val="6E562EBE"/>
    <w:multiLevelType w:val="multilevel"/>
    <w:tmpl w:val="969C830A"/>
    <w:numStyleLink w:val="UEFANumbers1-9"/>
  </w:abstractNum>
  <w:abstractNum w:abstractNumId="36" w15:restartNumberingAfterBreak="0">
    <w:nsid w:val="6E7F4AD8"/>
    <w:multiLevelType w:val="multilevel"/>
    <w:tmpl w:val="969C830A"/>
    <w:numStyleLink w:val="UEFANumbers1-9"/>
  </w:abstractNum>
  <w:abstractNum w:abstractNumId="37" w15:restartNumberingAfterBreak="0">
    <w:nsid w:val="76626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C6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3371F6"/>
    <w:multiLevelType w:val="multilevel"/>
    <w:tmpl w:val="54128D86"/>
    <w:lvl w:ilvl="0">
      <w:start w:val="1"/>
      <w:numFmt w:val="decimal"/>
      <w:lvlText w:val="%1."/>
      <w:lvlJc w:val="left"/>
      <w:pPr>
        <w:ind w:left="340" w:hanging="340"/>
      </w:pPr>
      <w:rPr>
        <w:rFonts w:ascii="Arial" w:hAnsi="Arial" w:hint="default"/>
        <w:color w:val="000000" w:themeColor="text1"/>
        <w:sz w:val="22"/>
      </w:rPr>
    </w:lvl>
    <w:lvl w:ilvl="1">
      <w:start w:val="1"/>
      <w:numFmt w:val="decimal"/>
      <w:lvlText w:val="%1.%2."/>
      <w:lvlJc w:val="left"/>
      <w:pPr>
        <w:ind w:left="1020" w:hanging="340"/>
      </w:pPr>
      <w:rPr>
        <w:rFonts w:hint="default"/>
      </w:rPr>
    </w:lvl>
    <w:lvl w:ilvl="2">
      <w:start w:val="1"/>
      <w:numFmt w:val="decimal"/>
      <w:lvlText w:val="%1.%2.%3."/>
      <w:lvlJc w:val="left"/>
      <w:pPr>
        <w:ind w:left="1700" w:hanging="340"/>
      </w:pPr>
      <w:rPr>
        <w:rFonts w:hint="default"/>
      </w:rPr>
    </w:lvl>
    <w:lvl w:ilvl="3">
      <w:start w:val="1"/>
      <w:numFmt w:val="decimal"/>
      <w:lvlText w:val="%1.%2.%3.%4."/>
      <w:lvlJc w:val="left"/>
      <w:pPr>
        <w:ind w:left="2380" w:hanging="340"/>
      </w:pPr>
      <w:rPr>
        <w:rFonts w:hint="default"/>
      </w:rPr>
    </w:lvl>
    <w:lvl w:ilvl="4">
      <w:start w:val="1"/>
      <w:numFmt w:val="decimal"/>
      <w:lvlText w:val="%1.%2.%3.%4.%5."/>
      <w:lvlJc w:val="left"/>
      <w:pPr>
        <w:ind w:left="3060" w:hanging="340"/>
      </w:pPr>
      <w:rPr>
        <w:rFonts w:hint="default"/>
      </w:rPr>
    </w:lvl>
    <w:lvl w:ilvl="5">
      <w:start w:val="1"/>
      <w:numFmt w:val="decimal"/>
      <w:lvlText w:val="%1.%2.%3.%4.%5.%6."/>
      <w:lvlJc w:val="left"/>
      <w:pPr>
        <w:ind w:left="3740" w:hanging="340"/>
      </w:pPr>
      <w:rPr>
        <w:rFonts w:hint="default"/>
      </w:rPr>
    </w:lvl>
    <w:lvl w:ilvl="6">
      <w:start w:val="1"/>
      <w:numFmt w:val="decimal"/>
      <w:lvlText w:val="%1.%2.%3.%4.%5.%6.%7."/>
      <w:lvlJc w:val="left"/>
      <w:pPr>
        <w:ind w:left="4420" w:hanging="340"/>
      </w:pPr>
      <w:rPr>
        <w:rFonts w:hint="default"/>
      </w:rPr>
    </w:lvl>
    <w:lvl w:ilvl="7">
      <w:start w:val="1"/>
      <w:numFmt w:val="decimal"/>
      <w:lvlText w:val="%1.%2.%3.%4.%5.%6.%7.%8."/>
      <w:lvlJc w:val="left"/>
      <w:pPr>
        <w:ind w:left="1191" w:hanging="340"/>
      </w:pPr>
      <w:rPr>
        <w:rFonts w:hint="default"/>
      </w:rPr>
    </w:lvl>
    <w:lvl w:ilvl="8">
      <w:start w:val="1"/>
      <w:numFmt w:val="decimal"/>
      <w:lvlText w:val="%1.%2.%3.%4.%5.%6.%7.%8.%9."/>
      <w:lvlJc w:val="left"/>
      <w:pPr>
        <w:ind w:left="5780" w:hanging="340"/>
      </w:pPr>
      <w:rPr>
        <w:rFonts w:hint="default"/>
      </w:rPr>
    </w:lvl>
  </w:abstractNum>
  <w:abstractNum w:abstractNumId="40" w15:restartNumberingAfterBreak="0">
    <w:nsid w:val="7C6C06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C9A70BB"/>
    <w:multiLevelType w:val="multilevel"/>
    <w:tmpl w:val="969C830A"/>
    <w:numStyleLink w:val="UEFANumbers1-9"/>
  </w:abstractNum>
  <w:abstractNum w:abstractNumId="42" w15:restartNumberingAfterBreak="0">
    <w:nsid w:val="7E6A7FD4"/>
    <w:multiLevelType w:val="multilevel"/>
    <w:tmpl w:val="969C830A"/>
    <w:numStyleLink w:val="UEFANumbers1-9"/>
  </w:abstractNum>
  <w:abstractNum w:abstractNumId="43" w15:restartNumberingAfterBreak="0">
    <w:nsid w:val="7F3F732E"/>
    <w:multiLevelType w:val="multilevel"/>
    <w:tmpl w:val="F38AB0E4"/>
    <w:lvl w:ilvl="0">
      <w:start w:val="1"/>
      <w:numFmt w:val="decimal"/>
      <w:lvlText w:val="%1."/>
      <w:lvlJc w:val="left"/>
      <w:pPr>
        <w:ind w:left="2628" w:hanging="360"/>
      </w:pPr>
    </w:lvl>
    <w:lvl w:ilvl="1">
      <w:start w:val="1"/>
      <w:numFmt w:val="decimal"/>
      <w:lvlText w:val="%1.%2."/>
      <w:lvlJc w:val="left"/>
      <w:pPr>
        <w:ind w:left="3060" w:hanging="432"/>
      </w:pPr>
    </w:lvl>
    <w:lvl w:ilvl="2">
      <w:start w:val="1"/>
      <w:numFmt w:val="decimal"/>
      <w:lvlText w:val="%1.%2.%3."/>
      <w:lvlJc w:val="left"/>
      <w:pPr>
        <w:ind w:left="3492" w:hanging="504"/>
      </w:pPr>
    </w:lvl>
    <w:lvl w:ilvl="3">
      <w:start w:val="1"/>
      <w:numFmt w:val="decimal"/>
      <w:lvlText w:val="%1.%2.%3.%4."/>
      <w:lvlJc w:val="left"/>
      <w:pPr>
        <w:ind w:left="3996" w:hanging="648"/>
      </w:pPr>
    </w:lvl>
    <w:lvl w:ilvl="4">
      <w:start w:val="1"/>
      <w:numFmt w:val="decimal"/>
      <w:lvlText w:val="%1.%2.%3.%4.%5."/>
      <w:lvlJc w:val="left"/>
      <w:pPr>
        <w:ind w:left="4500" w:hanging="792"/>
      </w:pPr>
    </w:lvl>
    <w:lvl w:ilvl="5">
      <w:start w:val="1"/>
      <w:numFmt w:val="decimal"/>
      <w:lvlText w:val="%1.%2.%3.%4.%5.%6."/>
      <w:lvlJc w:val="left"/>
      <w:pPr>
        <w:ind w:left="5004" w:hanging="936"/>
      </w:pPr>
    </w:lvl>
    <w:lvl w:ilvl="6">
      <w:start w:val="1"/>
      <w:numFmt w:val="decimal"/>
      <w:lvlText w:val="%1.%2.%3.%4.%5.%6.%7."/>
      <w:lvlJc w:val="left"/>
      <w:pPr>
        <w:ind w:left="5508" w:hanging="1080"/>
      </w:pPr>
    </w:lvl>
    <w:lvl w:ilvl="7">
      <w:start w:val="1"/>
      <w:numFmt w:val="decimal"/>
      <w:lvlText w:val="%1.%2.%3.%4.%5.%6.%7.%8."/>
      <w:lvlJc w:val="left"/>
      <w:pPr>
        <w:ind w:left="6012" w:hanging="1224"/>
      </w:pPr>
    </w:lvl>
    <w:lvl w:ilvl="8">
      <w:start w:val="1"/>
      <w:numFmt w:val="decimal"/>
      <w:lvlText w:val="%1.%2.%3.%4.%5.%6.%7.%8.%9."/>
      <w:lvlJc w:val="left"/>
      <w:pPr>
        <w:ind w:left="6588"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7"/>
  </w:num>
  <w:num w:numId="13">
    <w:abstractNumId w:val="20"/>
  </w:num>
  <w:num w:numId="14">
    <w:abstractNumId w:val="18"/>
  </w:num>
  <w:num w:numId="15">
    <w:abstractNumId w:val="24"/>
  </w:num>
  <w:num w:numId="16">
    <w:abstractNumId w:val="38"/>
  </w:num>
  <w:num w:numId="17">
    <w:abstractNumId w:val="32"/>
  </w:num>
  <w:num w:numId="18">
    <w:abstractNumId w:val="25"/>
  </w:num>
  <w:num w:numId="19">
    <w:abstractNumId w:val="13"/>
  </w:num>
  <w:num w:numId="20">
    <w:abstractNumId w:val="17"/>
  </w:num>
  <w:num w:numId="21">
    <w:abstractNumId w:val="43"/>
  </w:num>
  <w:num w:numId="22">
    <w:abstractNumId w:val="10"/>
  </w:num>
  <w:num w:numId="23">
    <w:abstractNumId w:val="14"/>
  </w:num>
  <w:num w:numId="24">
    <w:abstractNumId w:val="39"/>
  </w:num>
  <w:num w:numId="25">
    <w:abstractNumId w:val="21"/>
  </w:num>
  <w:num w:numId="26">
    <w:abstractNumId w:val="35"/>
    <w:lvlOverride w:ilvl="0">
      <w:lvl w:ilvl="0">
        <w:start w:val="1"/>
        <w:numFmt w:val="decimal"/>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2380" w:hanging="340"/>
        </w:pPr>
        <w:rPr>
          <w:rFonts w:hint="default"/>
        </w:rPr>
      </w:lvl>
    </w:lvlOverride>
    <w:lvlOverride w:ilvl="4">
      <w:lvl w:ilvl="4">
        <w:start w:val="1"/>
        <w:numFmt w:val="decimal"/>
        <w:lvlText w:val="%1.%2.%3.%4.%5."/>
        <w:lvlJc w:val="left"/>
        <w:pPr>
          <w:ind w:left="3060" w:hanging="340"/>
        </w:pPr>
        <w:rPr>
          <w:rFonts w:hint="default"/>
        </w:rPr>
      </w:lvl>
    </w:lvlOverride>
    <w:lvlOverride w:ilvl="5">
      <w:lvl w:ilvl="5">
        <w:start w:val="1"/>
        <w:numFmt w:val="decimal"/>
        <w:lvlText w:val="%1.%2.%3.%4.%5.%6."/>
        <w:lvlJc w:val="left"/>
        <w:pPr>
          <w:ind w:left="3740" w:hanging="340"/>
        </w:pPr>
        <w:rPr>
          <w:rFonts w:hint="default"/>
        </w:rPr>
      </w:lvl>
    </w:lvlOverride>
    <w:lvlOverride w:ilvl="6">
      <w:lvl w:ilvl="6">
        <w:start w:val="1"/>
        <w:numFmt w:val="decimal"/>
        <w:lvlText w:val="%1.%2.%3.%4.%5.%6.%7."/>
        <w:lvlJc w:val="left"/>
        <w:pPr>
          <w:ind w:left="4420" w:hanging="340"/>
        </w:pPr>
        <w:rPr>
          <w:rFonts w:hint="default"/>
        </w:rPr>
      </w:lvl>
    </w:lvlOverride>
    <w:lvlOverride w:ilvl="7">
      <w:lvl w:ilvl="7">
        <w:start w:val="1"/>
        <w:numFmt w:val="decimal"/>
        <w:lvlText w:val="%1.%2.%3.%4.%5.%6.%7.%8."/>
        <w:lvlJc w:val="left"/>
        <w:pPr>
          <w:ind w:left="5100" w:hanging="340"/>
        </w:pPr>
        <w:rPr>
          <w:rFonts w:hint="default"/>
        </w:rPr>
      </w:lvl>
    </w:lvlOverride>
    <w:lvlOverride w:ilvl="8">
      <w:lvl w:ilvl="8">
        <w:start w:val="1"/>
        <w:numFmt w:val="decimal"/>
        <w:lvlText w:val="%1.%2.%3.%4.%5.%6.%7.%8.%9."/>
        <w:lvlJc w:val="left"/>
        <w:pPr>
          <w:ind w:left="5780" w:hanging="340"/>
        </w:pPr>
        <w:rPr>
          <w:rFonts w:hint="default"/>
        </w:rPr>
      </w:lvl>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1"/>
  </w:num>
  <w:num w:numId="30">
    <w:abstractNumId w:val="33"/>
    <w:lvlOverride w:ilvl="1">
      <w:lvl w:ilvl="1">
        <w:start w:val="1"/>
        <w:numFmt w:val="decimal"/>
        <w:lvlText w:val="%1.%2."/>
        <w:lvlJc w:val="left"/>
        <w:pPr>
          <w:ind w:left="1020" w:hanging="340"/>
        </w:pPr>
        <w:rPr>
          <w:rFonts w:hint="default"/>
        </w:rPr>
      </w:lvl>
    </w:lvlOverride>
  </w:num>
  <w:num w:numId="31">
    <w:abstractNumId w:val="36"/>
    <w:lvlOverride w:ilvl="1">
      <w:lvl w:ilvl="1">
        <w:start w:val="1"/>
        <w:numFmt w:val="decimal"/>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rFonts w:hint="default"/>
        </w:rPr>
      </w:lvl>
    </w:lvlOverride>
  </w:num>
  <w:num w:numId="32">
    <w:abstractNumId w:val="42"/>
    <w:lvlOverride w:ilvl="3">
      <w:lvl w:ilvl="3">
        <w:start w:val="1"/>
        <w:numFmt w:val="decimal"/>
        <w:lvlText w:val="%1.%2.%3.%4."/>
        <w:lvlJc w:val="left"/>
        <w:pPr>
          <w:ind w:left="2380" w:hanging="340"/>
        </w:pPr>
        <w:rPr>
          <w:rFonts w:hint="default"/>
        </w:rPr>
      </w:lvl>
    </w:lvlOverride>
  </w:num>
  <w:num w:numId="33">
    <w:abstractNumId w:val="15"/>
  </w:num>
  <w:num w:numId="34">
    <w:abstractNumId w:val="22"/>
    <w:lvlOverride w:ilvl="5">
      <w:lvl w:ilvl="5">
        <w:start w:val="1"/>
        <w:numFmt w:val="decimal"/>
        <w:lvlText w:val="%1.%2.%3.%4.%5.%6."/>
        <w:lvlJc w:val="left"/>
        <w:pPr>
          <w:ind w:left="3740" w:hanging="340"/>
        </w:pPr>
        <w:rPr>
          <w:rFonts w:hint="default"/>
        </w:rPr>
      </w:lvl>
    </w:lvlOverride>
  </w:num>
  <w:num w:numId="35">
    <w:abstractNumId w:val="12"/>
    <w:lvlOverride w:ilvl="6">
      <w:lvl w:ilvl="6">
        <w:start w:val="1"/>
        <w:numFmt w:val="decimal"/>
        <w:lvlText w:val="%1.%2.%3.%4.%5.%6.%7."/>
        <w:lvlJc w:val="left"/>
        <w:pPr>
          <w:ind w:left="4420" w:hanging="340"/>
        </w:pPr>
        <w:rPr>
          <w:rFonts w:hint="default"/>
        </w:rPr>
      </w:lvl>
    </w:lvlOverride>
  </w:num>
  <w:num w:numId="36">
    <w:abstractNumId w:val="34"/>
  </w:num>
  <w:num w:numId="37">
    <w:abstractNumId w:val="28"/>
    <w:lvlOverride w:ilvl="7">
      <w:lvl w:ilvl="7">
        <w:start w:val="1"/>
        <w:numFmt w:val="decimal"/>
        <w:lvlText w:val="%1.%2.%3.%4.%5.%6.%7.%8."/>
        <w:lvlJc w:val="left"/>
        <w:pPr>
          <w:ind w:left="5100" w:hanging="340"/>
        </w:pPr>
        <w:rPr>
          <w:rFonts w:hint="default"/>
        </w:rPr>
      </w:lvl>
    </w:lvlOverride>
  </w:num>
  <w:num w:numId="38">
    <w:abstractNumId w:val="27"/>
  </w:num>
  <w:num w:numId="39">
    <w:abstractNumId w:val="23"/>
  </w:num>
  <w:num w:numId="40">
    <w:abstractNumId w:val="26"/>
  </w:num>
  <w:num w:numId="41">
    <w:abstractNumId w:val="29"/>
  </w:num>
  <w:num w:numId="42">
    <w:abstractNumId w:val="41"/>
  </w:num>
  <w:num w:numId="43">
    <w:abstractNumId w:val="31"/>
  </w:num>
  <w:num w:numId="44">
    <w:abstractNumId w:val="16"/>
  </w:num>
  <w:num w:numId="45">
    <w:abstractNumId w:val="3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embedSystemFonts/>
  <w:proofState w:spelling="clean" w:grammar="clean"/>
  <w:styleLockTheme/>
  <w:styleLockQFSet/>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72"/>
    <w:rsid w:val="00035AB9"/>
    <w:rsid w:val="00065702"/>
    <w:rsid w:val="00074217"/>
    <w:rsid w:val="0009049F"/>
    <w:rsid w:val="000A09A9"/>
    <w:rsid w:val="000A130A"/>
    <w:rsid w:val="000A7864"/>
    <w:rsid w:val="000C482A"/>
    <w:rsid w:val="000D5F0B"/>
    <w:rsid w:val="000E6355"/>
    <w:rsid w:val="000E6920"/>
    <w:rsid w:val="00115720"/>
    <w:rsid w:val="0012421D"/>
    <w:rsid w:val="0014238B"/>
    <w:rsid w:val="001C3FA6"/>
    <w:rsid w:val="001C77D6"/>
    <w:rsid w:val="001F207E"/>
    <w:rsid w:val="00207FCE"/>
    <w:rsid w:val="00215928"/>
    <w:rsid w:val="002950D0"/>
    <w:rsid w:val="002C4DB9"/>
    <w:rsid w:val="002C731D"/>
    <w:rsid w:val="002D2027"/>
    <w:rsid w:val="002D4647"/>
    <w:rsid w:val="002D6EF5"/>
    <w:rsid w:val="00321730"/>
    <w:rsid w:val="00375BC2"/>
    <w:rsid w:val="00382FA5"/>
    <w:rsid w:val="003B6309"/>
    <w:rsid w:val="003C2058"/>
    <w:rsid w:val="003E540C"/>
    <w:rsid w:val="003F622D"/>
    <w:rsid w:val="003F67E9"/>
    <w:rsid w:val="00434912"/>
    <w:rsid w:val="004A1B47"/>
    <w:rsid w:val="004A5F0D"/>
    <w:rsid w:val="004B4040"/>
    <w:rsid w:val="004B7377"/>
    <w:rsid w:val="00507077"/>
    <w:rsid w:val="00552490"/>
    <w:rsid w:val="00552F99"/>
    <w:rsid w:val="00556A58"/>
    <w:rsid w:val="005B018B"/>
    <w:rsid w:val="005C15F5"/>
    <w:rsid w:val="005C6E55"/>
    <w:rsid w:val="005D0B2A"/>
    <w:rsid w:val="005D5752"/>
    <w:rsid w:val="005F4973"/>
    <w:rsid w:val="00600F3E"/>
    <w:rsid w:val="00614C12"/>
    <w:rsid w:val="00616729"/>
    <w:rsid w:val="0064201E"/>
    <w:rsid w:val="006B6EE8"/>
    <w:rsid w:val="006D4541"/>
    <w:rsid w:val="006E2CC8"/>
    <w:rsid w:val="006F5C9A"/>
    <w:rsid w:val="00727CA5"/>
    <w:rsid w:val="00747CB5"/>
    <w:rsid w:val="00772256"/>
    <w:rsid w:val="007A43B5"/>
    <w:rsid w:val="007F43ED"/>
    <w:rsid w:val="008046A7"/>
    <w:rsid w:val="0080608A"/>
    <w:rsid w:val="00814A85"/>
    <w:rsid w:val="0082432E"/>
    <w:rsid w:val="00850746"/>
    <w:rsid w:val="008A4CC8"/>
    <w:rsid w:val="008C071C"/>
    <w:rsid w:val="008D07FD"/>
    <w:rsid w:val="008D454B"/>
    <w:rsid w:val="008E3B0F"/>
    <w:rsid w:val="00904999"/>
    <w:rsid w:val="00920D3F"/>
    <w:rsid w:val="009335BA"/>
    <w:rsid w:val="009402E3"/>
    <w:rsid w:val="009418D9"/>
    <w:rsid w:val="0096249E"/>
    <w:rsid w:val="00981A40"/>
    <w:rsid w:val="00981F8E"/>
    <w:rsid w:val="00987566"/>
    <w:rsid w:val="00996530"/>
    <w:rsid w:val="0099683C"/>
    <w:rsid w:val="009C0E9C"/>
    <w:rsid w:val="009E61E5"/>
    <w:rsid w:val="009E62BB"/>
    <w:rsid w:val="009F023D"/>
    <w:rsid w:val="00A5687F"/>
    <w:rsid w:val="00A60F47"/>
    <w:rsid w:val="00A65FC5"/>
    <w:rsid w:val="00A720E2"/>
    <w:rsid w:val="00A771BF"/>
    <w:rsid w:val="00A7720D"/>
    <w:rsid w:val="00A81721"/>
    <w:rsid w:val="00A94817"/>
    <w:rsid w:val="00AE2F20"/>
    <w:rsid w:val="00B1160A"/>
    <w:rsid w:val="00B27F46"/>
    <w:rsid w:val="00B735F1"/>
    <w:rsid w:val="00B73B44"/>
    <w:rsid w:val="00B83D0E"/>
    <w:rsid w:val="00BA30B5"/>
    <w:rsid w:val="00BB08E4"/>
    <w:rsid w:val="00BC6A05"/>
    <w:rsid w:val="00BE2722"/>
    <w:rsid w:val="00C00572"/>
    <w:rsid w:val="00C458CD"/>
    <w:rsid w:val="00C6099F"/>
    <w:rsid w:val="00C644C3"/>
    <w:rsid w:val="00C81775"/>
    <w:rsid w:val="00CB20E8"/>
    <w:rsid w:val="00CC2789"/>
    <w:rsid w:val="00CF5EB6"/>
    <w:rsid w:val="00D36AFA"/>
    <w:rsid w:val="00D866DA"/>
    <w:rsid w:val="00D932F4"/>
    <w:rsid w:val="00DA173D"/>
    <w:rsid w:val="00DD26F8"/>
    <w:rsid w:val="00DE7E89"/>
    <w:rsid w:val="00DF1ECB"/>
    <w:rsid w:val="00E33A6C"/>
    <w:rsid w:val="00F20DBB"/>
    <w:rsid w:val="00F2592C"/>
    <w:rsid w:val="00F63CE3"/>
    <w:rsid w:val="00F65520"/>
    <w:rsid w:val="00F75C02"/>
    <w:rsid w:val="00FD48CA"/>
    <w:rsid w:val="00FE72E0"/>
    <w:rsid w:val="00FF7F4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EBB4F"/>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BC6A05"/>
    <w:pPr>
      <w:spacing w:after="0" w:line="240" w:lineRule="auto"/>
    </w:pPr>
    <w:rPr>
      <w:rFonts w:ascii="Arial" w:hAnsi="Arial"/>
    </w:rPr>
  </w:style>
  <w:style w:type="paragraph" w:styleId="Heading1">
    <w:name w:val="heading 1"/>
    <w:aliases w:val="UEFA Title"/>
    <w:basedOn w:val="Normal"/>
    <w:next w:val="Normal"/>
    <w:link w:val="Heading1Char"/>
    <w:qFormat/>
    <w:rsid w:val="009F023D"/>
    <w:pPr>
      <w:keepNext/>
      <w:spacing w:before="240" w:after="240"/>
      <w:contextualSpacing/>
      <w:outlineLvl w:val="0"/>
    </w:pPr>
    <w:rPr>
      <w:rFonts w:eastAsiaTheme="majorEastAsia" w:cstheme="majorBidi"/>
      <w:b/>
      <w:bCs/>
      <w:color w:val="1A1F56" w:themeColor="text2"/>
      <w:sz w:val="28"/>
      <w:szCs w:val="28"/>
      <w:lang w:bidi="en-US"/>
    </w:rPr>
  </w:style>
  <w:style w:type="paragraph" w:styleId="Heading2">
    <w:name w:val="heading 2"/>
    <w:aliases w:val="UEFA Subtitle"/>
    <w:basedOn w:val="Normal"/>
    <w:next w:val="Normal"/>
    <w:link w:val="Heading2Char"/>
    <w:uiPriority w:val="1"/>
    <w:qFormat/>
    <w:rsid w:val="009F023D"/>
    <w:pPr>
      <w:keepNext/>
      <w:spacing w:before="240" w:after="240"/>
      <w:contextualSpacing/>
      <w:outlineLvl w:val="1"/>
    </w:pPr>
    <w:rPr>
      <w:rFonts w:eastAsiaTheme="majorEastAsia" w:cstheme="majorBidi"/>
      <w:b/>
      <w:bCs/>
      <w:color w:val="1A1F56" w:themeColor="text2"/>
      <w:sz w:val="24"/>
      <w:szCs w:val="26"/>
      <w:lang w:bidi="en-US"/>
    </w:rPr>
  </w:style>
  <w:style w:type="paragraph" w:styleId="Heading3">
    <w:name w:val="heading 3"/>
    <w:basedOn w:val="Normal"/>
    <w:next w:val="Normal"/>
    <w:link w:val="Heading3Char"/>
    <w:uiPriority w:val="2"/>
    <w:rsid w:val="00C458CD"/>
    <w:pPr>
      <w:keepNext/>
      <w:spacing w:before="240" w:after="240"/>
      <w:contextualSpacing/>
      <w:outlineLvl w:val="2"/>
    </w:pPr>
    <w:rPr>
      <w:rFonts w:eastAsiaTheme="majorEastAsia" w:cstheme="majorBidi"/>
      <w:b/>
      <w:bCs/>
      <w:color w:val="000000" w:themeColor="text1"/>
      <w:sz w:val="24"/>
      <w:lang w:bidi="en-US"/>
    </w:rPr>
  </w:style>
  <w:style w:type="paragraph" w:styleId="Heading4">
    <w:name w:val="heading 4"/>
    <w:basedOn w:val="Normal"/>
    <w:next w:val="Normal"/>
    <w:link w:val="Heading4Char"/>
    <w:uiPriority w:val="3"/>
    <w:semiHidden/>
    <w:unhideWhenUsed/>
    <w:rsid w:val="00C458CD"/>
    <w:pPr>
      <w:keepNext/>
      <w:spacing w:before="240" w:after="240"/>
      <w:contextualSpacing/>
      <w:outlineLvl w:val="3"/>
    </w:pPr>
    <w:rPr>
      <w:rFonts w:eastAsiaTheme="majorEastAsia" w:cstheme="majorBidi"/>
      <w:b/>
      <w:bCs/>
      <w:iCs/>
      <w:color w:val="000000" w:themeColor="text1"/>
      <w:lang w:bidi="en-US"/>
    </w:rPr>
  </w:style>
  <w:style w:type="paragraph" w:styleId="Heading5">
    <w:name w:val="heading 5"/>
    <w:basedOn w:val="Normal"/>
    <w:next w:val="Normal"/>
    <w:link w:val="Heading5Char"/>
    <w:uiPriority w:val="4"/>
    <w:semiHidden/>
    <w:unhideWhenUsed/>
    <w:qFormat/>
    <w:rsid w:val="00C458CD"/>
    <w:pPr>
      <w:keepNext/>
      <w:spacing w:before="240" w:after="240"/>
      <w:outlineLvl w:val="4"/>
    </w:pPr>
    <w:rPr>
      <w:rFonts w:eastAsiaTheme="majorEastAsia" w:cstheme="majorBidi"/>
      <w:b/>
      <w:bCs/>
      <w:color w:val="000000" w:themeColor="text1"/>
      <w:lang w:bidi="en-US"/>
    </w:rPr>
  </w:style>
  <w:style w:type="paragraph" w:styleId="Heading6">
    <w:name w:val="heading 6"/>
    <w:basedOn w:val="Normal"/>
    <w:next w:val="Normal"/>
    <w:link w:val="Heading6Char"/>
    <w:uiPriority w:val="5"/>
    <w:semiHidden/>
    <w:unhideWhenUsed/>
    <w:qFormat/>
    <w:rsid w:val="004B7377"/>
    <w:pPr>
      <w:spacing w:before="120" w:after="120"/>
      <w:outlineLvl w:val="5"/>
    </w:pPr>
    <w:rPr>
      <w:rFonts w:eastAsiaTheme="majorEastAsia" w:cstheme="majorBidi"/>
      <w:b/>
      <w:bCs/>
      <w:i/>
      <w:iCs/>
      <w:color w:val="000000" w:themeColor="text1"/>
      <w:lang w:bidi="en-US"/>
    </w:rPr>
  </w:style>
  <w:style w:type="paragraph" w:styleId="Heading7">
    <w:name w:val="heading 7"/>
    <w:basedOn w:val="Normal"/>
    <w:next w:val="Normal"/>
    <w:link w:val="Heading7Char"/>
    <w:uiPriority w:val="6"/>
    <w:semiHidden/>
    <w:unhideWhenUsed/>
    <w:qFormat/>
    <w:rsid w:val="004B7377"/>
    <w:pPr>
      <w:outlineLvl w:val="6"/>
    </w:pPr>
    <w:rPr>
      <w:rFonts w:eastAsiaTheme="majorEastAsia" w:cstheme="majorBidi"/>
      <w:i/>
      <w:iCs/>
      <w:color w:val="000000" w:themeColor="text1"/>
      <w:lang w:bidi="en-US"/>
    </w:rPr>
  </w:style>
  <w:style w:type="paragraph" w:styleId="Heading8">
    <w:name w:val="heading 8"/>
    <w:basedOn w:val="Normal"/>
    <w:next w:val="Normal"/>
    <w:link w:val="Heading8Char"/>
    <w:uiPriority w:val="7"/>
    <w:semiHidden/>
    <w:unhideWhenUsed/>
    <w:qFormat/>
    <w:rsid w:val="004B7377"/>
    <w:pPr>
      <w:outlineLvl w:val="7"/>
    </w:pPr>
    <w:rPr>
      <w:rFonts w:eastAsiaTheme="majorEastAsia" w:cstheme="majorBidi"/>
      <w:sz w:val="20"/>
      <w:szCs w:val="20"/>
      <w:lang w:bidi="en-US"/>
    </w:rPr>
  </w:style>
  <w:style w:type="paragraph" w:styleId="Heading9">
    <w:name w:val="heading 9"/>
    <w:basedOn w:val="Normal"/>
    <w:next w:val="Normal"/>
    <w:link w:val="Heading9Char"/>
    <w:uiPriority w:val="8"/>
    <w:semiHidden/>
    <w:unhideWhenUsed/>
    <w:qFormat/>
    <w:rsid w:val="004B7377"/>
    <w:pPr>
      <w:outlineLvl w:val="8"/>
    </w:pPr>
    <w:rPr>
      <w:rFonts w:eastAsiaTheme="majorEastAsia"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EFA Title Char"/>
    <w:basedOn w:val="DefaultParagraphFont"/>
    <w:link w:val="Heading1"/>
    <w:rsid w:val="00DA173D"/>
    <w:rPr>
      <w:rFonts w:ascii="Arial" w:eastAsiaTheme="majorEastAsia" w:hAnsi="Arial" w:cstheme="majorBidi"/>
      <w:b/>
      <w:bCs/>
      <w:color w:val="1A1F56" w:themeColor="text2"/>
      <w:sz w:val="28"/>
      <w:szCs w:val="28"/>
      <w:lang w:bidi="en-US"/>
    </w:rPr>
  </w:style>
  <w:style w:type="character" w:customStyle="1" w:styleId="Heading2Char">
    <w:name w:val="Heading 2 Char"/>
    <w:aliases w:val="UEFA Subtitle Char"/>
    <w:basedOn w:val="DefaultParagraphFont"/>
    <w:link w:val="Heading2"/>
    <w:uiPriority w:val="1"/>
    <w:rsid w:val="005F4973"/>
    <w:rPr>
      <w:rFonts w:ascii="Arial" w:eastAsiaTheme="majorEastAsia" w:hAnsi="Arial" w:cstheme="majorBidi"/>
      <w:b/>
      <w:bCs/>
      <w:color w:val="1A1F56" w:themeColor="text2"/>
      <w:sz w:val="24"/>
      <w:szCs w:val="26"/>
      <w:lang w:bidi="en-US"/>
    </w:rPr>
  </w:style>
  <w:style w:type="character" w:customStyle="1" w:styleId="Heading3Char">
    <w:name w:val="Heading 3 Char"/>
    <w:basedOn w:val="DefaultParagraphFont"/>
    <w:link w:val="Heading3"/>
    <w:uiPriority w:val="2"/>
    <w:rsid w:val="005F4973"/>
    <w:rPr>
      <w:rFonts w:ascii="Arial" w:eastAsiaTheme="majorEastAsia" w:hAnsi="Arial" w:cstheme="majorBidi"/>
      <w:b/>
      <w:bCs/>
      <w:color w:val="000000" w:themeColor="text1"/>
      <w:sz w:val="24"/>
      <w:lang w:bidi="en-US"/>
    </w:rPr>
  </w:style>
  <w:style w:type="character" w:customStyle="1" w:styleId="Heading4Char">
    <w:name w:val="Heading 4 Char"/>
    <w:basedOn w:val="DefaultParagraphFont"/>
    <w:link w:val="Heading4"/>
    <w:uiPriority w:val="3"/>
    <w:semiHidden/>
    <w:rsid w:val="005F4973"/>
    <w:rPr>
      <w:rFonts w:ascii="Arial" w:eastAsiaTheme="majorEastAsia" w:hAnsi="Arial" w:cstheme="majorBidi"/>
      <w:b/>
      <w:bCs/>
      <w:iCs/>
      <w:color w:val="000000" w:themeColor="text1"/>
      <w:lang w:bidi="en-US"/>
    </w:rPr>
  </w:style>
  <w:style w:type="character" w:customStyle="1" w:styleId="Heading5Char">
    <w:name w:val="Heading 5 Char"/>
    <w:basedOn w:val="DefaultParagraphFont"/>
    <w:link w:val="Heading5"/>
    <w:uiPriority w:val="4"/>
    <w:semiHidden/>
    <w:rsid w:val="005F4973"/>
    <w:rPr>
      <w:rFonts w:ascii="Arial" w:eastAsiaTheme="majorEastAsia" w:hAnsi="Arial" w:cstheme="majorBidi"/>
      <w:b/>
      <w:bCs/>
      <w:color w:val="000000" w:themeColor="text1"/>
      <w:lang w:bidi="en-US"/>
    </w:rPr>
  </w:style>
  <w:style w:type="character" w:customStyle="1" w:styleId="Heading6Char">
    <w:name w:val="Heading 6 Char"/>
    <w:basedOn w:val="DefaultParagraphFont"/>
    <w:link w:val="Heading6"/>
    <w:uiPriority w:val="5"/>
    <w:semiHidden/>
    <w:rsid w:val="005F4973"/>
    <w:rPr>
      <w:rFonts w:ascii="Arial" w:eastAsiaTheme="majorEastAsia" w:hAnsi="Arial" w:cstheme="majorBidi"/>
      <w:b/>
      <w:bCs/>
      <w:i/>
      <w:iCs/>
      <w:color w:val="000000" w:themeColor="text1"/>
      <w:lang w:bidi="en-US"/>
    </w:rPr>
  </w:style>
  <w:style w:type="character" w:customStyle="1" w:styleId="Heading7Char">
    <w:name w:val="Heading 7 Char"/>
    <w:basedOn w:val="DefaultParagraphFont"/>
    <w:link w:val="Heading7"/>
    <w:uiPriority w:val="6"/>
    <w:semiHidden/>
    <w:rsid w:val="005F4973"/>
    <w:rPr>
      <w:rFonts w:ascii="Arial" w:eastAsiaTheme="majorEastAsia" w:hAnsi="Arial" w:cstheme="majorBidi"/>
      <w:i/>
      <w:iCs/>
      <w:color w:val="000000" w:themeColor="text1"/>
      <w:lang w:bidi="en-US"/>
    </w:rPr>
  </w:style>
  <w:style w:type="character" w:customStyle="1" w:styleId="Heading8Char">
    <w:name w:val="Heading 8 Char"/>
    <w:basedOn w:val="DefaultParagraphFont"/>
    <w:link w:val="Heading8"/>
    <w:uiPriority w:val="7"/>
    <w:semiHidden/>
    <w:rsid w:val="005F4973"/>
    <w:rPr>
      <w:rFonts w:ascii="Arial" w:eastAsiaTheme="majorEastAsia" w:hAnsi="Arial" w:cstheme="majorBidi"/>
      <w:sz w:val="20"/>
      <w:szCs w:val="20"/>
      <w:lang w:bidi="en-US"/>
    </w:rPr>
  </w:style>
  <w:style w:type="character" w:customStyle="1" w:styleId="Heading9Char">
    <w:name w:val="Heading 9 Char"/>
    <w:basedOn w:val="DefaultParagraphFont"/>
    <w:link w:val="Heading9"/>
    <w:uiPriority w:val="8"/>
    <w:semiHidden/>
    <w:rsid w:val="005F4973"/>
    <w:rPr>
      <w:rFonts w:ascii="Arial" w:eastAsiaTheme="majorEastAsia" w:hAnsi="Arial" w:cstheme="majorBidi"/>
      <w:i/>
      <w:iCs/>
      <w:color w:val="000000" w:themeColor="text1"/>
      <w:spacing w:val="5"/>
      <w:sz w:val="20"/>
      <w:szCs w:val="20"/>
      <w:lang w:bidi="en-US"/>
    </w:rPr>
  </w:style>
  <w:style w:type="paragraph" w:styleId="Title">
    <w:name w:val="Title"/>
    <w:aliases w:val="UEFA Cover Title"/>
    <w:basedOn w:val="Normal"/>
    <w:next w:val="Normal"/>
    <w:link w:val="TitleChar"/>
    <w:uiPriority w:val="10"/>
    <w:semiHidden/>
    <w:qFormat/>
    <w:rsid w:val="00614C12"/>
    <w:pPr>
      <w:jc w:val="right"/>
    </w:pPr>
    <w:rPr>
      <w:color w:val="FFFFFF" w:themeColor="background1"/>
      <w:sz w:val="40"/>
    </w:rPr>
  </w:style>
  <w:style w:type="character" w:customStyle="1" w:styleId="TitleChar">
    <w:name w:val="Title Char"/>
    <w:aliases w:val="UEFA Cover Title Char"/>
    <w:basedOn w:val="DefaultParagraphFont"/>
    <w:link w:val="Title"/>
    <w:uiPriority w:val="10"/>
    <w:semiHidden/>
    <w:rsid w:val="004A5F0D"/>
    <w:rPr>
      <w:rFonts w:ascii="Arial" w:hAnsi="Arial"/>
      <w:color w:val="FFFFFF" w:themeColor="background1"/>
      <w:sz w:val="40"/>
    </w:rPr>
  </w:style>
  <w:style w:type="paragraph" w:styleId="Subtitle">
    <w:name w:val="Subtitle"/>
    <w:aliases w:val="UEFA Cover Subtitle"/>
    <w:basedOn w:val="Normal"/>
    <w:next w:val="Normal"/>
    <w:link w:val="SubtitleChar"/>
    <w:uiPriority w:val="11"/>
    <w:semiHidden/>
    <w:qFormat/>
    <w:rsid w:val="00614C12"/>
    <w:pPr>
      <w:jc w:val="right"/>
    </w:pPr>
    <w:rPr>
      <w:color w:val="FFFFFF" w:themeColor="background1"/>
      <w:sz w:val="28"/>
    </w:rPr>
  </w:style>
  <w:style w:type="character" w:customStyle="1" w:styleId="SubtitleChar">
    <w:name w:val="Subtitle Char"/>
    <w:aliases w:val="UEFA Cover Subtitle Char"/>
    <w:basedOn w:val="DefaultParagraphFont"/>
    <w:link w:val="Subtitle"/>
    <w:uiPriority w:val="11"/>
    <w:semiHidden/>
    <w:rsid w:val="004A5F0D"/>
    <w:rPr>
      <w:rFonts w:ascii="Arial" w:hAnsi="Arial"/>
      <w:color w:val="FFFFFF" w:themeColor="background1"/>
      <w:sz w:val="28"/>
    </w:rPr>
  </w:style>
  <w:style w:type="character" w:styleId="Strong">
    <w:name w:val="Strong"/>
    <w:uiPriority w:val="22"/>
    <w:semiHidden/>
    <w:qFormat/>
    <w:rsid w:val="00C458CD"/>
    <w:rPr>
      <w:rFonts w:ascii="Arial" w:hAnsi="Arial"/>
      <w:b/>
      <w:bCs/>
      <w:color w:val="000000" w:themeColor="text1"/>
    </w:rPr>
  </w:style>
  <w:style w:type="character" w:styleId="Emphasis">
    <w:name w:val="Emphasis"/>
    <w:uiPriority w:val="20"/>
    <w:qFormat/>
    <w:rsid w:val="00C458CD"/>
    <w:rPr>
      <w:rFonts w:ascii="Arial" w:hAnsi="Arial"/>
      <w:b/>
      <w:bCs/>
      <w:i/>
      <w:iCs/>
      <w:color w:val="000000" w:themeColor="text1"/>
      <w:spacing w:val="10"/>
      <w:bdr w:val="none" w:sz="0" w:space="0" w:color="auto"/>
      <w:shd w:val="clear" w:color="auto" w:fill="auto"/>
    </w:rPr>
  </w:style>
  <w:style w:type="paragraph" w:styleId="NoSpacing">
    <w:name w:val="No Spacing"/>
    <w:basedOn w:val="Normal"/>
    <w:uiPriority w:val="1"/>
    <w:semiHidden/>
    <w:qFormat/>
    <w:rsid w:val="00B83D0E"/>
  </w:style>
  <w:style w:type="paragraph" w:styleId="ListParagraph">
    <w:name w:val="List Paragraph"/>
    <w:basedOn w:val="Normal"/>
    <w:uiPriority w:val="34"/>
    <w:qFormat/>
    <w:rsid w:val="00AE2F20"/>
    <w:pPr>
      <w:contextualSpacing/>
    </w:pPr>
  </w:style>
  <w:style w:type="paragraph" w:styleId="Quote">
    <w:name w:val="Quote"/>
    <w:basedOn w:val="Normal"/>
    <w:next w:val="Normal"/>
    <w:link w:val="QuoteChar"/>
    <w:uiPriority w:val="29"/>
    <w:semiHidden/>
    <w:qFormat/>
    <w:rsid w:val="00C458CD"/>
    <w:pPr>
      <w:spacing w:before="200"/>
      <w:ind w:left="360" w:right="360"/>
    </w:pPr>
    <w:rPr>
      <w:i/>
      <w:iCs/>
      <w:color w:val="000000" w:themeColor="text1"/>
      <w:lang w:bidi="en-US"/>
    </w:rPr>
  </w:style>
  <w:style w:type="character" w:customStyle="1" w:styleId="QuoteChar">
    <w:name w:val="Quote Char"/>
    <w:basedOn w:val="DefaultParagraphFont"/>
    <w:link w:val="Quote"/>
    <w:uiPriority w:val="29"/>
    <w:semiHidden/>
    <w:rsid w:val="003B6309"/>
    <w:rPr>
      <w:rFonts w:ascii="Arial" w:hAnsi="Arial"/>
      <w:i/>
      <w:iCs/>
      <w:color w:val="000000" w:themeColor="text1"/>
      <w:lang w:bidi="en-US"/>
    </w:rPr>
  </w:style>
  <w:style w:type="paragraph" w:styleId="IntenseQuote">
    <w:name w:val="Intense Quote"/>
    <w:basedOn w:val="Normal"/>
    <w:next w:val="Normal"/>
    <w:link w:val="IntenseQuoteChar"/>
    <w:uiPriority w:val="30"/>
    <w:semiHidden/>
    <w:qFormat/>
    <w:rsid w:val="00C458CD"/>
    <w:pPr>
      <w:pBdr>
        <w:bottom w:val="single" w:sz="4" w:space="1" w:color="auto"/>
      </w:pBdr>
      <w:spacing w:before="200" w:after="280"/>
      <w:ind w:left="1008" w:right="1152"/>
      <w:jc w:val="both"/>
    </w:pPr>
    <w:rPr>
      <w:b/>
      <w:bCs/>
      <w:i/>
      <w:iCs/>
      <w:color w:val="000000" w:themeColor="text1"/>
      <w:lang w:bidi="en-US"/>
    </w:rPr>
  </w:style>
  <w:style w:type="character" w:customStyle="1" w:styleId="IntenseQuoteChar">
    <w:name w:val="Intense Quote Char"/>
    <w:basedOn w:val="DefaultParagraphFont"/>
    <w:link w:val="IntenseQuote"/>
    <w:uiPriority w:val="30"/>
    <w:semiHidden/>
    <w:rsid w:val="003B6309"/>
    <w:rPr>
      <w:rFonts w:ascii="Arial" w:hAnsi="Arial"/>
      <w:b/>
      <w:bCs/>
      <w:i/>
      <w:iCs/>
      <w:color w:val="000000" w:themeColor="text1"/>
      <w:lang w:bidi="en-US"/>
    </w:rPr>
  </w:style>
  <w:style w:type="character" w:styleId="SubtleEmphasis">
    <w:name w:val="Subtle Emphasis"/>
    <w:uiPriority w:val="19"/>
    <w:semiHidden/>
    <w:qFormat/>
    <w:rsid w:val="00C458CD"/>
    <w:rPr>
      <w:rFonts w:ascii="Arial" w:hAnsi="Arial"/>
      <w:i/>
      <w:iCs/>
      <w:color w:val="000000" w:themeColor="text1"/>
    </w:rPr>
  </w:style>
  <w:style w:type="character" w:styleId="IntenseEmphasis">
    <w:name w:val="Intense Emphasis"/>
    <w:uiPriority w:val="21"/>
    <w:semiHidden/>
    <w:qFormat/>
    <w:rsid w:val="00C458CD"/>
    <w:rPr>
      <w:rFonts w:ascii="Arial" w:hAnsi="Arial"/>
      <w:b/>
      <w:bCs/>
      <w:color w:val="000000" w:themeColor="text1"/>
    </w:rPr>
  </w:style>
  <w:style w:type="character" w:styleId="SubtleReference">
    <w:name w:val="Subtle Reference"/>
    <w:uiPriority w:val="31"/>
    <w:semiHidden/>
    <w:qFormat/>
    <w:rsid w:val="00C458CD"/>
    <w:rPr>
      <w:smallCaps/>
      <w:color w:val="000000" w:themeColor="text1"/>
    </w:rPr>
  </w:style>
  <w:style w:type="character" w:styleId="IntenseReference">
    <w:name w:val="Intense Reference"/>
    <w:uiPriority w:val="32"/>
    <w:semiHidden/>
    <w:qFormat/>
    <w:rsid w:val="00C458CD"/>
    <w:rPr>
      <w:smallCaps/>
      <w:color w:val="000000" w:themeColor="text1"/>
      <w:spacing w:val="5"/>
      <w:u w:val="single"/>
    </w:rPr>
  </w:style>
  <w:style w:type="character" w:styleId="BookTitle">
    <w:name w:val="Book Title"/>
    <w:uiPriority w:val="33"/>
    <w:semiHidden/>
    <w:qFormat/>
    <w:rsid w:val="00B83D0E"/>
    <w:rPr>
      <w:i/>
      <w:iCs/>
      <w:smallCaps/>
      <w:spacing w:val="5"/>
    </w:rPr>
  </w:style>
  <w:style w:type="paragraph" w:styleId="TOCHeading">
    <w:name w:val="TOC Heading"/>
    <w:basedOn w:val="Heading1"/>
    <w:next w:val="Normal"/>
    <w:uiPriority w:val="39"/>
    <w:semiHidden/>
    <w:qFormat/>
    <w:rsid w:val="00FE72E0"/>
    <w:pPr>
      <w:outlineLvl w:val="9"/>
    </w:pPr>
  </w:style>
  <w:style w:type="paragraph" w:styleId="Header">
    <w:name w:val="header"/>
    <w:basedOn w:val="Normal"/>
    <w:link w:val="HeaderChar"/>
    <w:uiPriority w:val="99"/>
    <w:unhideWhenUsed/>
    <w:rsid w:val="00552490"/>
    <w:pPr>
      <w:tabs>
        <w:tab w:val="center" w:pos="4820"/>
        <w:tab w:val="right" w:pos="9639"/>
      </w:tabs>
    </w:pPr>
    <w:rPr>
      <w:color w:val="FFFFFF" w:themeColor="background1"/>
      <w:sz w:val="28"/>
    </w:rPr>
  </w:style>
  <w:style w:type="character" w:customStyle="1" w:styleId="HeaderChar">
    <w:name w:val="Header Char"/>
    <w:basedOn w:val="DefaultParagraphFont"/>
    <w:link w:val="Header"/>
    <w:uiPriority w:val="99"/>
    <w:rsid w:val="00552490"/>
    <w:rPr>
      <w:rFonts w:ascii="Arial" w:hAnsi="Arial"/>
      <w:color w:val="FFFFFF" w:themeColor="background1"/>
      <w:sz w:val="28"/>
    </w:rPr>
  </w:style>
  <w:style w:type="paragraph" w:styleId="Footer">
    <w:name w:val="footer"/>
    <w:basedOn w:val="Normal"/>
    <w:link w:val="FooterChar"/>
    <w:uiPriority w:val="99"/>
    <w:semiHidden/>
    <w:rsid w:val="00E33A6C"/>
    <w:pPr>
      <w:tabs>
        <w:tab w:val="center" w:pos="4820"/>
        <w:tab w:val="right" w:pos="9639"/>
      </w:tabs>
    </w:pPr>
    <w:rPr>
      <w:noProof/>
    </w:rPr>
  </w:style>
  <w:style w:type="character" w:customStyle="1" w:styleId="FooterChar">
    <w:name w:val="Footer Char"/>
    <w:basedOn w:val="DefaultParagraphFont"/>
    <w:link w:val="Footer"/>
    <w:uiPriority w:val="99"/>
    <w:semiHidden/>
    <w:rsid w:val="009C0E9C"/>
    <w:rPr>
      <w:rFonts w:ascii="Arial" w:hAnsi="Arial"/>
      <w:noProof/>
    </w:rPr>
  </w:style>
  <w:style w:type="paragraph" w:customStyle="1" w:styleId="UEFAIntroduction">
    <w:name w:val="UEFA Introduction"/>
    <w:basedOn w:val="Normal"/>
    <w:uiPriority w:val="10"/>
    <w:qFormat/>
    <w:rsid w:val="00850746"/>
    <w:rPr>
      <w:b/>
    </w:rPr>
  </w:style>
  <w:style w:type="paragraph" w:styleId="ListBullet">
    <w:name w:val="List Bullet"/>
    <w:aliases w:val="UEFA Bullets"/>
    <w:basedOn w:val="Normal"/>
    <w:uiPriority w:val="13"/>
    <w:qFormat/>
    <w:rsid w:val="00FE72E0"/>
    <w:pPr>
      <w:numPr>
        <w:numId w:val="1"/>
      </w:numPr>
      <w:contextualSpacing/>
    </w:pPr>
  </w:style>
  <w:style w:type="paragraph" w:styleId="ListNumber">
    <w:name w:val="List Number"/>
    <w:basedOn w:val="Normal"/>
    <w:uiPriority w:val="99"/>
    <w:semiHidden/>
    <w:rsid w:val="00850746"/>
    <w:pPr>
      <w:numPr>
        <w:numId w:val="6"/>
      </w:numPr>
      <w:contextualSpacing/>
    </w:pPr>
  </w:style>
  <w:style w:type="paragraph" w:styleId="BodyText">
    <w:name w:val="Body Text"/>
    <w:basedOn w:val="Normal"/>
    <w:link w:val="BodyTextChar"/>
    <w:uiPriority w:val="11"/>
    <w:qFormat/>
    <w:rsid w:val="009F023D"/>
    <w:pPr>
      <w:spacing w:after="60"/>
    </w:pPr>
  </w:style>
  <w:style w:type="character" w:customStyle="1" w:styleId="BodyTextChar">
    <w:name w:val="Body Text Char"/>
    <w:basedOn w:val="DefaultParagraphFont"/>
    <w:link w:val="BodyText"/>
    <w:uiPriority w:val="11"/>
    <w:rsid w:val="005F4973"/>
    <w:rPr>
      <w:rFonts w:ascii="Arial" w:hAnsi="Arial"/>
    </w:rPr>
  </w:style>
  <w:style w:type="paragraph" w:styleId="ListNumber2">
    <w:name w:val="List Number 2"/>
    <w:basedOn w:val="Normal"/>
    <w:uiPriority w:val="99"/>
    <w:semiHidden/>
    <w:rsid w:val="005D5752"/>
    <w:pPr>
      <w:numPr>
        <w:numId w:val="7"/>
      </w:numPr>
      <w:contextualSpacing/>
    </w:pPr>
  </w:style>
  <w:style w:type="paragraph" w:styleId="ListNumber3">
    <w:name w:val="List Number 3"/>
    <w:basedOn w:val="Normal"/>
    <w:uiPriority w:val="99"/>
    <w:semiHidden/>
    <w:rsid w:val="005D5752"/>
    <w:pPr>
      <w:numPr>
        <w:numId w:val="8"/>
      </w:numPr>
      <w:contextualSpacing/>
    </w:pPr>
  </w:style>
  <w:style w:type="paragraph" w:styleId="ListNumber4">
    <w:name w:val="List Number 4"/>
    <w:basedOn w:val="Normal"/>
    <w:uiPriority w:val="99"/>
    <w:semiHidden/>
    <w:rsid w:val="005D5752"/>
    <w:pPr>
      <w:numPr>
        <w:numId w:val="9"/>
      </w:numPr>
      <w:contextualSpacing/>
    </w:pPr>
  </w:style>
  <w:style w:type="paragraph" w:styleId="TOAHeading">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TableofFigures">
    <w:name w:val="table of figures"/>
    <w:basedOn w:val="Normal"/>
    <w:next w:val="Normal"/>
    <w:uiPriority w:val="99"/>
    <w:semiHidden/>
    <w:unhideWhenUsed/>
    <w:rsid w:val="00C458CD"/>
  </w:style>
  <w:style w:type="paragraph" w:styleId="TableofAuthorities">
    <w:name w:val="table of authorities"/>
    <w:basedOn w:val="Normal"/>
    <w:next w:val="Normal"/>
    <w:uiPriority w:val="99"/>
    <w:semiHidden/>
    <w:unhideWhenUsed/>
    <w:rsid w:val="00C458CD"/>
    <w:pPr>
      <w:ind w:left="220" w:hanging="220"/>
    </w:pPr>
  </w:style>
  <w:style w:type="character" w:styleId="FootnoteReference">
    <w:name w:val="footnote reference"/>
    <w:basedOn w:val="DefaultParagraphFont"/>
    <w:uiPriority w:val="99"/>
    <w:semiHidden/>
    <w:unhideWhenUsed/>
    <w:rsid w:val="00C458CD"/>
    <w:rPr>
      <w:rFonts w:ascii="Arial" w:hAnsi="Arial"/>
      <w:vertAlign w:val="superscript"/>
    </w:rPr>
  </w:style>
  <w:style w:type="paragraph" w:styleId="FootnoteText">
    <w:name w:val="footnote text"/>
    <w:basedOn w:val="Normal"/>
    <w:link w:val="FootnoteTextChar"/>
    <w:uiPriority w:val="99"/>
    <w:semiHidden/>
    <w:unhideWhenUsed/>
    <w:rsid w:val="00C458CD"/>
    <w:rPr>
      <w:sz w:val="20"/>
      <w:szCs w:val="20"/>
    </w:rPr>
  </w:style>
  <w:style w:type="character" w:customStyle="1" w:styleId="FootnoteTextChar">
    <w:name w:val="Footnote Text Char"/>
    <w:basedOn w:val="DefaultParagraphFont"/>
    <w:link w:val="FootnoteText"/>
    <w:uiPriority w:val="99"/>
    <w:semiHidden/>
    <w:rsid w:val="00C458CD"/>
    <w:rPr>
      <w:rFonts w:ascii="Arial" w:hAnsi="Arial"/>
      <w:sz w:val="20"/>
      <w:szCs w:val="20"/>
    </w:rPr>
  </w:style>
  <w:style w:type="paragraph" w:styleId="EnvelopeReturn">
    <w:name w:val="envelope return"/>
    <w:basedOn w:val="Normal"/>
    <w:uiPriority w:val="99"/>
    <w:semiHidden/>
    <w:unhideWhenUsed/>
    <w:rsid w:val="00C458CD"/>
    <w:rPr>
      <w:rFonts w:eastAsiaTheme="majorEastAsia" w:cstheme="majorBidi"/>
      <w:sz w:val="20"/>
      <w:szCs w:val="20"/>
    </w:rPr>
  </w:style>
  <w:style w:type="paragraph" w:styleId="EndnoteText">
    <w:name w:val="endnote text"/>
    <w:basedOn w:val="Normal"/>
    <w:link w:val="EndnoteTextChar"/>
    <w:uiPriority w:val="99"/>
    <w:semiHidden/>
    <w:unhideWhenUsed/>
    <w:rsid w:val="00C458CD"/>
    <w:rPr>
      <w:sz w:val="20"/>
      <w:szCs w:val="20"/>
    </w:rPr>
  </w:style>
  <w:style w:type="character" w:customStyle="1" w:styleId="EndnoteTextChar">
    <w:name w:val="Endnote Text Char"/>
    <w:basedOn w:val="DefaultParagraphFont"/>
    <w:link w:val="EndnoteText"/>
    <w:uiPriority w:val="99"/>
    <w:semiHidden/>
    <w:rsid w:val="00C458CD"/>
    <w:rPr>
      <w:rFonts w:ascii="Arial" w:hAnsi="Arial"/>
      <w:sz w:val="20"/>
      <w:szCs w:val="20"/>
    </w:rPr>
  </w:style>
  <w:style w:type="paragraph" w:styleId="Caption">
    <w:name w:val="caption"/>
    <w:basedOn w:val="Normal"/>
    <w:next w:val="Normal"/>
    <w:uiPriority w:val="35"/>
    <w:semiHidden/>
    <w:unhideWhenUsed/>
    <w:rsid w:val="00C458CD"/>
    <w:pPr>
      <w:spacing w:after="200"/>
    </w:pPr>
    <w:rPr>
      <w:b/>
      <w:bCs/>
      <w:color w:val="000000" w:themeColor="text1"/>
      <w:sz w:val="18"/>
      <w:szCs w:val="18"/>
    </w:rPr>
  </w:style>
  <w:style w:type="numbering" w:customStyle="1" w:styleId="UEFANumbers1-9">
    <w:name w:val="UEFA Numbers 1-9"/>
    <w:uiPriority w:val="99"/>
    <w:rsid w:val="00382FA5"/>
    <w:pPr>
      <w:numPr>
        <w:numId w:val="19"/>
      </w:numPr>
    </w:pPr>
  </w:style>
  <w:style w:type="paragraph" w:styleId="ListNumber5">
    <w:name w:val="List Number 5"/>
    <w:basedOn w:val="Normal"/>
    <w:uiPriority w:val="99"/>
    <w:semiHidden/>
    <w:rsid w:val="00BA30B5"/>
    <w:pPr>
      <w:numPr>
        <w:numId w:val="10"/>
      </w:numPr>
      <w:contextualSpacing/>
    </w:pPr>
  </w:style>
  <w:style w:type="paragraph" w:styleId="BalloonText">
    <w:name w:val="Balloon Text"/>
    <w:basedOn w:val="Normal"/>
    <w:link w:val="BalloonTextChar"/>
    <w:uiPriority w:val="99"/>
    <w:semiHidden/>
    <w:unhideWhenUsed/>
    <w:rsid w:val="00DF1ECB"/>
    <w:rPr>
      <w:rFonts w:ascii="Tahoma" w:hAnsi="Tahoma" w:cs="Tahoma"/>
      <w:sz w:val="16"/>
      <w:szCs w:val="16"/>
    </w:rPr>
  </w:style>
  <w:style w:type="character" w:customStyle="1" w:styleId="BalloonTextChar">
    <w:name w:val="Balloon Text Char"/>
    <w:basedOn w:val="DefaultParagraphFont"/>
    <w:link w:val="BalloonText"/>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lockText">
    <w:name w:val="Block Text"/>
    <w:basedOn w:val="Normal"/>
    <w:uiPriority w:val="99"/>
    <w:semiHidden/>
    <w:unhideWhenUsed/>
    <w:rsid w:val="00FE72E0"/>
    <w:pPr>
      <w:pBdr>
        <w:top w:val="single" w:sz="2" w:space="10" w:color="80B7DE" w:themeColor="accent1" w:shadow="1"/>
        <w:left w:val="single" w:sz="2" w:space="10" w:color="80B7DE" w:themeColor="accent1" w:shadow="1"/>
        <w:bottom w:val="single" w:sz="2" w:space="10" w:color="80B7DE" w:themeColor="accent1" w:shadow="1"/>
        <w:right w:val="single" w:sz="2" w:space="10" w:color="80B7DE" w:themeColor="accent1" w:shadow="1"/>
      </w:pBdr>
      <w:ind w:left="1152" w:right="1152"/>
    </w:pPr>
    <w:rPr>
      <w:rFonts w:asciiTheme="minorHAnsi" w:hAnsiTheme="minorHAnsi"/>
      <w:i/>
      <w:iCs/>
      <w:color w:val="1A1F56" w:themeColor="text2"/>
    </w:rPr>
  </w:style>
  <w:style w:type="paragraph" w:styleId="TOC9">
    <w:name w:val="toc 9"/>
    <w:basedOn w:val="Normal"/>
    <w:next w:val="Normal"/>
    <w:autoRedefine/>
    <w:uiPriority w:val="39"/>
    <w:semiHidden/>
    <w:rsid w:val="004B4040"/>
    <w:pPr>
      <w:ind w:left="1758"/>
    </w:pPr>
  </w:style>
  <w:style w:type="paragraph" w:styleId="TOC8">
    <w:name w:val="toc 8"/>
    <w:basedOn w:val="Normal"/>
    <w:next w:val="Normal"/>
    <w:autoRedefine/>
    <w:uiPriority w:val="39"/>
    <w:semiHidden/>
    <w:rsid w:val="004B4040"/>
    <w:pPr>
      <w:ind w:left="1542"/>
    </w:pPr>
  </w:style>
  <w:style w:type="paragraph" w:styleId="TOC7">
    <w:name w:val="toc 7"/>
    <w:basedOn w:val="Normal"/>
    <w:next w:val="Normal"/>
    <w:autoRedefine/>
    <w:uiPriority w:val="39"/>
    <w:semiHidden/>
    <w:rsid w:val="004B4040"/>
    <w:pPr>
      <w:ind w:left="1321"/>
    </w:pPr>
  </w:style>
  <w:style w:type="paragraph" w:styleId="TOC6">
    <w:name w:val="toc 6"/>
    <w:basedOn w:val="Normal"/>
    <w:next w:val="Normal"/>
    <w:autoRedefine/>
    <w:uiPriority w:val="39"/>
    <w:semiHidden/>
    <w:rsid w:val="004B4040"/>
    <w:pPr>
      <w:ind w:left="1100"/>
    </w:pPr>
  </w:style>
  <w:style w:type="paragraph" w:styleId="TOC5">
    <w:name w:val="toc 5"/>
    <w:basedOn w:val="Normal"/>
    <w:next w:val="Normal"/>
    <w:autoRedefine/>
    <w:uiPriority w:val="39"/>
    <w:semiHidden/>
    <w:rsid w:val="004B4040"/>
    <w:pPr>
      <w:ind w:left="879"/>
    </w:pPr>
  </w:style>
  <w:style w:type="paragraph" w:styleId="TOC4">
    <w:name w:val="toc 4"/>
    <w:basedOn w:val="Normal"/>
    <w:next w:val="Normal"/>
    <w:autoRedefine/>
    <w:uiPriority w:val="39"/>
    <w:semiHidden/>
    <w:rsid w:val="004B4040"/>
    <w:pPr>
      <w:ind w:left="658"/>
    </w:pPr>
  </w:style>
  <w:style w:type="paragraph" w:styleId="TOC3">
    <w:name w:val="toc 3"/>
    <w:basedOn w:val="Normal"/>
    <w:next w:val="Normal"/>
    <w:autoRedefine/>
    <w:uiPriority w:val="39"/>
    <w:semiHidden/>
    <w:rsid w:val="004B4040"/>
    <w:pPr>
      <w:ind w:left="442"/>
    </w:pPr>
  </w:style>
  <w:style w:type="paragraph" w:styleId="TOC2">
    <w:name w:val="toc 2"/>
    <w:basedOn w:val="Normal"/>
    <w:next w:val="Normal"/>
    <w:autoRedefine/>
    <w:uiPriority w:val="39"/>
    <w:semiHidden/>
    <w:rsid w:val="004B4040"/>
    <w:pPr>
      <w:ind w:left="221"/>
    </w:pPr>
  </w:style>
  <w:style w:type="paragraph" w:styleId="TOC1">
    <w:name w:val="toc 1"/>
    <w:basedOn w:val="Normal"/>
    <w:next w:val="Normal"/>
    <w:autoRedefine/>
    <w:uiPriority w:val="39"/>
    <w:semiHidden/>
    <w:rsid w:val="004B4040"/>
    <w:pPr>
      <w:spacing w:before="60" w:after="60"/>
    </w:pPr>
  </w:style>
  <w:style w:type="table" w:styleId="TableGrid">
    <w:name w:val="Table Grid"/>
    <w:basedOn w:val="TableNormal"/>
    <w:uiPriority w:val="39"/>
    <w:rsid w:val="00A8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
    <w:name w:val="Light_Shading"/>
    <w:basedOn w:val="LightShading-Accent1"/>
    <w:uiPriority w:val="99"/>
    <w:rsid w:val="00A81721"/>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List">
    <w:name w:val="Light_List"/>
    <w:basedOn w:val="LightList-Accent1"/>
    <w:uiPriority w:val="99"/>
    <w:rsid w:val="00A81721"/>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styleId="LightShading-Accent1">
    <w:name w:val="Light Shading Accent 1"/>
    <w:basedOn w:val="TableNormal"/>
    <w:uiPriority w:val="99"/>
    <w:semiHidden/>
    <w:unhideWhenUsed/>
    <w:rsid w:val="00A81721"/>
    <w:pPr>
      <w:spacing w:after="0" w:line="240" w:lineRule="auto"/>
    </w:pPr>
    <w:rPr>
      <w:color w:val="3A8FCB" w:themeColor="accent1" w:themeShade="BF"/>
    </w:rPr>
    <w:tblPr>
      <w:tblStyleRowBandSize w:val="1"/>
      <w:tblStyleColBandSize w:val="1"/>
      <w:tblBorders>
        <w:top w:val="single" w:sz="8" w:space="0" w:color="80B7DE" w:themeColor="accent1"/>
        <w:bottom w:val="single" w:sz="8" w:space="0" w:color="80B7DE" w:themeColor="accent1"/>
      </w:tblBorders>
    </w:tblPr>
    <w:tblStylePr w:type="fir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lastRow">
      <w:pPr>
        <w:spacing w:before="0" w:after="0" w:line="240" w:lineRule="auto"/>
      </w:pPr>
      <w:rPr>
        <w:b/>
        <w:bCs/>
      </w:rPr>
      <w:tblPr/>
      <w:tcPr>
        <w:tcBorders>
          <w:top w:val="single" w:sz="8" w:space="0" w:color="80B7DE" w:themeColor="accent1"/>
          <w:left w:val="nil"/>
          <w:bottom w:val="single" w:sz="8" w:space="0" w:color="80B7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left w:val="nil"/>
          <w:right w:val="nil"/>
          <w:insideH w:val="nil"/>
          <w:insideV w:val="nil"/>
        </w:tcBorders>
        <w:shd w:val="clear" w:color="auto" w:fill="DFEDF6" w:themeFill="accent1" w:themeFillTint="3F"/>
      </w:tcPr>
    </w:tblStylePr>
  </w:style>
  <w:style w:type="table" w:customStyle="1" w:styleId="LightGrid">
    <w:name w:val="Light_Grid"/>
    <w:basedOn w:val="LightGrid-Accent1"/>
    <w:uiPriority w:val="99"/>
    <w:rsid w:val="00A81721"/>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 w:type="table" w:styleId="LightList-Accent1">
    <w:name w:val="Light List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pPr>
        <w:spacing w:before="0" w:after="0" w:line="240" w:lineRule="auto"/>
      </w:pPr>
      <w:rPr>
        <w:b/>
        <w:bCs/>
        <w:color w:val="FFFFFF" w:themeColor="background1"/>
      </w:rPr>
      <w:tblPr/>
      <w:tcPr>
        <w:shd w:val="clear" w:color="auto" w:fill="80B7DE" w:themeFill="accent1"/>
      </w:tcPr>
    </w:tblStylePr>
    <w:tblStylePr w:type="lastRow">
      <w:pPr>
        <w:spacing w:before="0" w:after="0" w:line="240" w:lineRule="auto"/>
      </w:pPr>
      <w:rPr>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tcBorders>
      </w:tcPr>
    </w:tblStylePr>
    <w:tblStylePr w:type="firstCol">
      <w:rPr>
        <w:b/>
        <w:bCs/>
      </w:rPr>
    </w:tblStylePr>
    <w:tblStylePr w:type="lastCol">
      <w:rPr>
        <w:b/>
        <w:bCs/>
      </w:r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style>
  <w:style w:type="table" w:customStyle="1" w:styleId="MediumShading1">
    <w:name w:val="Medium_Shading 1"/>
    <w:basedOn w:val="MediumShading1-Accent1"/>
    <w:uiPriority w:val="99"/>
    <w:rsid w:val="00A81721"/>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styleId="TableGrid1">
    <w:name w:val="Table Grid 1"/>
    <w:basedOn w:val="TableNormal"/>
    <w:uiPriority w:val="99"/>
    <w:semiHidden/>
    <w:unhideWhenUsed/>
    <w:rsid w:val="00A8172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MediumShading2-Accent1"/>
    <w:uiPriority w:val="99"/>
    <w:rsid w:val="00A8172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semiHidden/>
    <w:unhideWhenUsed/>
    <w:rsid w:val="00A81721"/>
    <w:pPr>
      <w:spacing w:after="0" w:line="240" w:lineRule="auto"/>
    </w:pPr>
    <w:tblPr>
      <w:tblStyleRowBandSize w:val="1"/>
      <w:tblStyleColBandSize w:val="1"/>
      <w:tbl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single" w:sz="8" w:space="0" w:color="9FC8E6" w:themeColor="accent1" w:themeTint="BF"/>
      </w:tblBorders>
    </w:tblPr>
    <w:tblStylePr w:type="firstRow">
      <w:pPr>
        <w:spacing w:before="0" w:after="0" w:line="240" w:lineRule="auto"/>
      </w:pPr>
      <w:rPr>
        <w:b/>
        <w:bCs/>
        <w:color w:val="FFFFFF" w:themeColor="background1"/>
      </w:rPr>
      <w:tblPr/>
      <w:tcPr>
        <w:tcBorders>
          <w:top w:val="single" w:sz="8"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shd w:val="clear" w:color="auto" w:fill="80B7DE" w:themeFill="accent1"/>
      </w:tcPr>
    </w:tblStylePr>
    <w:tblStylePr w:type="lastRow">
      <w:pPr>
        <w:spacing w:before="0" w:after="0" w:line="240" w:lineRule="auto"/>
      </w:pPr>
      <w:rPr>
        <w:b/>
        <w:bCs/>
      </w:rPr>
      <w:tblPr/>
      <w:tcPr>
        <w:tcBorders>
          <w:top w:val="double" w:sz="6" w:space="0" w:color="9FC8E6" w:themeColor="accent1" w:themeTint="BF"/>
          <w:left w:val="single" w:sz="8" w:space="0" w:color="9FC8E6" w:themeColor="accent1" w:themeTint="BF"/>
          <w:bottom w:val="single" w:sz="8" w:space="0" w:color="9FC8E6" w:themeColor="accent1" w:themeTint="BF"/>
          <w:right w:val="single" w:sz="8" w:space="0" w:color="9FC8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DF6" w:themeFill="accent1" w:themeFillTint="3F"/>
      </w:tcPr>
    </w:tblStylePr>
    <w:tblStylePr w:type="band1Horz">
      <w:tblPr/>
      <w:tcPr>
        <w:tcBorders>
          <w:insideH w:val="nil"/>
          <w:insideV w:val="nil"/>
        </w:tcBorders>
        <w:shd w:val="clear" w:color="auto" w:fill="DFEDF6" w:themeFill="accent1" w:themeFillTint="3F"/>
      </w:tcPr>
    </w:tblStylePr>
    <w:tblStylePr w:type="band2Horz">
      <w:tblPr/>
      <w:tcPr>
        <w:tcBorders>
          <w:insideH w:val="nil"/>
          <w:insideV w:val="nil"/>
        </w:tcBorders>
      </w:tcPr>
    </w:tblStylePr>
  </w:style>
  <w:style w:type="table" w:customStyle="1" w:styleId="MediumList">
    <w:name w:val="Medium_List"/>
    <w:basedOn w:val="MediumList2-Accent1"/>
    <w:uiPriority w:val="99"/>
    <w:rsid w:val="00A81721"/>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99"/>
    <w:semiHidden/>
    <w:unhideWhenUsed/>
    <w:rsid w:val="00A817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7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7DE" w:themeFill="accent1"/>
      </w:tcPr>
    </w:tblStylePr>
    <w:tblStylePr w:type="lastCol">
      <w:rPr>
        <w:b/>
        <w:bCs/>
        <w:color w:val="FFFFFF" w:themeColor="background1"/>
      </w:rPr>
      <w:tblPr/>
      <w:tcPr>
        <w:tcBorders>
          <w:left w:val="nil"/>
          <w:right w:val="nil"/>
          <w:insideH w:val="nil"/>
          <w:insideV w:val="nil"/>
        </w:tcBorders>
        <w:shd w:val="clear" w:color="auto" w:fill="80B7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semiHidden/>
    <w:unhideWhenUsed/>
    <w:rsid w:val="00A817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tblBorders>
    </w:tblPr>
    <w:tblStylePr w:type="firstRow">
      <w:rPr>
        <w:sz w:val="24"/>
        <w:szCs w:val="24"/>
      </w:rPr>
      <w:tblPr/>
      <w:tcPr>
        <w:tcBorders>
          <w:top w:val="nil"/>
          <w:left w:val="nil"/>
          <w:bottom w:val="single" w:sz="24" w:space="0" w:color="80B7DE" w:themeColor="accent1"/>
          <w:right w:val="nil"/>
          <w:insideH w:val="nil"/>
          <w:insideV w:val="nil"/>
        </w:tcBorders>
        <w:shd w:val="clear" w:color="auto" w:fill="FFFFFF" w:themeFill="background1"/>
      </w:tcPr>
    </w:tblStylePr>
    <w:tblStylePr w:type="lastRow">
      <w:tblPr/>
      <w:tcPr>
        <w:tcBorders>
          <w:top w:val="single" w:sz="8" w:space="0" w:color="80B7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7DE" w:themeColor="accent1"/>
          <w:insideH w:val="nil"/>
          <w:insideV w:val="nil"/>
        </w:tcBorders>
        <w:shd w:val="clear" w:color="auto" w:fill="FFFFFF" w:themeFill="background1"/>
      </w:tcPr>
    </w:tblStylePr>
    <w:tblStylePr w:type="lastCol">
      <w:tblPr/>
      <w:tcPr>
        <w:tcBorders>
          <w:top w:val="nil"/>
          <w:left w:val="single" w:sz="8" w:space="0" w:color="80B7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6" w:themeFill="accent1" w:themeFillTint="3F"/>
      </w:tcPr>
    </w:tblStylePr>
    <w:tblStylePr w:type="band1Horz">
      <w:tblPr/>
      <w:tcPr>
        <w:tcBorders>
          <w:top w:val="nil"/>
          <w:bottom w:val="nil"/>
          <w:insideH w:val="nil"/>
          <w:insideV w:val="nil"/>
        </w:tcBorders>
        <w:shd w:val="clear" w:color="auto" w:fill="DFE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99"/>
    <w:semiHidden/>
    <w:unhideWhenUsed/>
    <w:rsid w:val="00A81721"/>
    <w:pPr>
      <w:spacing w:after="0" w:line="240" w:lineRule="auto"/>
    </w:pPr>
    <w:tblPr>
      <w:tblStyleRowBandSize w:val="1"/>
      <w:tblStyleColBandSize w:val="1"/>
      <w:tblBorders>
        <w:top w:val="single" w:sz="8" w:space="0" w:color="80B7DE" w:themeColor="accent1"/>
        <w:left w:val="single" w:sz="8" w:space="0" w:color="80B7DE" w:themeColor="accent1"/>
        <w:bottom w:val="single" w:sz="8" w:space="0" w:color="80B7DE" w:themeColor="accent1"/>
        <w:right w:val="single" w:sz="8" w:space="0" w:color="80B7DE" w:themeColor="accent1"/>
        <w:insideH w:val="single" w:sz="8" w:space="0" w:color="80B7DE" w:themeColor="accent1"/>
        <w:insideV w:val="single" w:sz="8" w:space="0" w:color="80B7D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18" w:space="0" w:color="80B7DE" w:themeColor="accent1"/>
          <w:right w:val="single" w:sz="8" w:space="0" w:color="80B7DE" w:themeColor="accent1"/>
          <w:insideH w:val="nil"/>
          <w:insideV w:val="single" w:sz="8" w:space="0" w:color="80B7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7DE" w:themeColor="accent1"/>
          <w:left w:val="single" w:sz="8" w:space="0" w:color="80B7DE" w:themeColor="accent1"/>
          <w:bottom w:val="single" w:sz="8" w:space="0" w:color="80B7DE" w:themeColor="accent1"/>
          <w:right w:val="single" w:sz="8" w:space="0" w:color="80B7DE" w:themeColor="accent1"/>
          <w:insideH w:val="nil"/>
          <w:insideV w:val="single" w:sz="8" w:space="0" w:color="80B7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tcPr>
    </w:tblStylePr>
    <w:tblStylePr w:type="band1Vert">
      <w:tblPr/>
      <w:tcPr>
        <w:tcBorders>
          <w:top w:val="single" w:sz="8" w:space="0" w:color="80B7DE" w:themeColor="accent1"/>
          <w:left w:val="single" w:sz="8" w:space="0" w:color="80B7DE" w:themeColor="accent1"/>
          <w:bottom w:val="single" w:sz="8" w:space="0" w:color="80B7DE" w:themeColor="accent1"/>
          <w:right w:val="single" w:sz="8" w:space="0" w:color="80B7DE" w:themeColor="accent1"/>
        </w:tcBorders>
        <w:shd w:val="clear" w:color="auto" w:fill="DFEDF6" w:themeFill="accent1" w:themeFillTint="3F"/>
      </w:tcPr>
    </w:tblStylePr>
    <w:tblStylePr w:type="band1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shd w:val="clear" w:color="auto" w:fill="DFEDF6" w:themeFill="accent1" w:themeFillTint="3F"/>
      </w:tcPr>
    </w:tblStylePr>
    <w:tblStylePr w:type="band2Horz">
      <w:tblPr/>
      <w:tcPr>
        <w:tcBorders>
          <w:top w:val="single" w:sz="8" w:space="0" w:color="80B7DE" w:themeColor="accent1"/>
          <w:left w:val="single" w:sz="8" w:space="0" w:color="80B7DE" w:themeColor="accent1"/>
          <w:bottom w:val="single" w:sz="8" w:space="0" w:color="80B7DE" w:themeColor="accent1"/>
          <w:right w:val="single" w:sz="8" w:space="0" w:color="80B7DE" w:themeColor="accent1"/>
          <w:insideV w:val="single" w:sz="8" w:space="0" w:color="80B7DE"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text.reverso.net/traduction/francais-anglais/la+recherche+et+l%27inform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p_U21_2017">
      <a:dk1>
        <a:srgbClr val="000000"/>
      </a:dk1>
      <a:lt1>
        <a:srgbClr val="FFFFFF"/>
      </a:lt1>
      <a:dk2>
        <a:srgbClr val="1A1F56"/>
      </a:dk2>
      <a:lt2>
        <a:srgbClr val="07AAEF"/>
      </a:lt2>
      <a:accent1>
        <a:srgbClr val="80B7DE"/>
      </a:accent1>
      <a:accent2>
        <a:srgbClr val="014782"/>
      </a:accent2>
      <a:accent3>
        <a:srgbClr val="B2B2B2"/>
      </a:accent3>
      <a:accent4>
        <a:srgbClr val="686868"/>
      </a:accent4>
      <a:accent5>
        <a:srgbClr val="0064A0"/>
      </a:accent5>
      <a:accent6>
        <a:srgbClr val="011744"/>
      </a:accent6>
      <a:hlink>
        <a:srgbClr val="FFFFFF"/>
      </a:hlink>
      <a:folHlink>
        <a:srgbClr val="FFFF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F15A5-43C3-40F7-BAB6-C373EA09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1984</Words>
  <Characters>11315</Characters>
  <Application>Microsoft Office Word</Application>
  <DocSecurity>0</DocSecurity>
  <Lines>94</Lines>
  <Paragraphs>26</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vt:i4>
      </vt:variant>
    </vt:vector>
  </HeadingPairs>
  <TitlesOfParts>
    <vt:vector size="4" baseType="lpstr">
      <vt:lpstr/>
      <vt:lpstr/>
      <vt:lpstr>Heading 1, UEFA Title – this style is for main titles</vt:lpstr>
      <vt:lpstr>    Heading 2, UEFA Subtitle – this style is for subtitles</vt:lpstr>
    </vt:vector>
  </TitlesOfParts>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2020-02-07T08:25:00Z</dcterms:created>
  <dcterms:modified xsi:type="dcterms:W3CDTF">2020-02-07T08:25:00Z</dcterms:modified>
</cp:coreProperties>
</file>