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FCC" w:rsidRDefault="00F62FCC" w:rsidP="00801FC2">
      <w:pPr>
        <w:spacing w:after="0"/>
        <w:jc w:val="right"/>
        <w:rPr>
          <w:b/>
        </w:rPr>
      </w:pPr>
    </w:p>
    <w:p w:rsidR="00832F23" w:rsidRDefault="00832F23" w:rsidP="00801FC2">
      <w:pPr>
        <w:spacing w:after="0"/>
        <w:jc w:val="right"/>
        <w:rPr>
          <w:b/>
        </w:rPr>
      </w:pPr>
      <w:r w:rsidRPr="00F62FCC">
        <w:rPr>
          <w:b/>
        </w:rPr>
        <w:t>COMMUNIQUÉ DE PRESSE</w:t>
      </w:r>
    </w:p>
    <w:p w:rsidR="00F62FCC" w:rsidRPr="00F62FCC" w:rsidRDefault="00F62FCC" w:rsidP="00801FC2">
      <w:pPr>
        <w:spacing w:after="0"/>
        <w:jc w:val="right"/>
        <w:rPr>
          <w:b/>
        </w:rPr>
      </w:pPr>
    </w:p>
    <w:p w:rsidR="00832F23" w:rsidRPr="00994C7B" w:rsidRDefault="00832F23" w:rsidP="00801FC2">
      <w:pPr>
        <w:spacing w:after="0"/>
        <w:rPr>
          <w:b/>
          <w:sz w:val="28"/>
          <w:szCs w:val="28"/>
        </w:rPr>
      </w:pPr>
      <w:r w:rsidRPr="00994C7B">
        <w:rPr>
          <w:b/>
          <w:sz w:val="28"/>
          <w:szCs w:val="28"/>
        </w:rPr>
        <w:t>Enquête :  4 femmes belges sur 10 ne sont pas préparées pour la grossesse</w:t>
      </w:r>
    </w:p>
    <w:p w:rsidR="00801FC2" w:rsidRDefault="00801FC2" w:rsidP="00801FC2">
      <w:pPr>
        <w:pStyle w:val="ListParagraph"/>
        <w:spacing w:after="0" w:line="240" w:lineRule="auto"/>
        <w:rPr>
          <w:b/>
        </w:rPr>
      </w:pPr>
    </w:p>
    <w:p w:rsidR="00F62FCC" w:rsidRDefault="00F62FCC" w:rsidP="00801FC2">
      <w:pPr>
        <w:pStyle w:val="ListParagraph"/>
        <w:numPr>
          <w:ilvl w:val="0"/>
          <w:numId w:val="1"/>
        </w:numPr>
        <w:spacing w:after="0" w:line="240" w:lineRule="auto"/>
        <w:rPr>
          <w:b/>
        </w:rPr>
      </w:pPr>
      <w:r w:rsidRPr="00F62FCC">
        <w:rPr>
          <w:b/>
        </w:rPr>
        <w:t>Deux</w:t>
      </w:r>
      <w:r w:rsidR="00832F23" w:rsidRPr="00F62FCC">
        <w:rPr>
          <w:b/>
        </w:rPr>
        <w:t xml:space="preserve"> </w:t>
      </w:r>
      <w:r>
        <w:rPr>
          <w:b/>
        </w:rPr>
        <w:t>femmes belges sur cinq</w:t>
      </w:r>
      <w:r w:rsidR="00832F23" w:rsidRPr="00F62FCC">
        <w:rPr>
          <w:b/>
        </w:rPr>
        <w:t xml:space="preserve"> (38,5%) ne savent pas </w:t>
      </w:r>
      <w:r w:rsidR="00C10239" w:rsidRPr="00F62FCC">
        <w:rPr>
          <w:b/>
        </w:rPr>
        <w:t>qu’elles peuvent influencer de façon positive</w:t>
      </w:r>
      <w:r w:rsidR="00832F23" w:rsidRPr="00F62FCC">
        <w:rPr>
          <w:b/>
        </w:rPr>
        <w:t xml:space="preserve"> la santé de leur bébé </w:t>
      </w:r>
      <w:r w:rsidR="00C10239" w:rsidRPr="00F62FCC">
        <w:rPr>
          <w:b/>
        </w:rPr>
        <w:t xml:space="preserve">avant </w:t>
      </w:r>
      <w:r w:rsidR="00626DB5">
        <w:rPr>
          <w:b/>
        </w:rPr>
        <w:t>la conception</w:t>
      </w:r>
      <w:r w:rsidR="00C10239" w:rsidRPr="00F62FCC">
        <w:rPr>
          <w:b/>
        </w:rPr>
        <w:t xml:space="preserve">; </w:t>
      </w:r>
    </w:p>
    <w:p w:rsidR="00F62FCC" w:rsidRDefault="00832F23" w:rsidP="00801FC2">
      <w:pPr>
        <w:pStyle w:val="ListParagraph"/>
        <w:numPr>
          <w:ilvl w:val="0"/>
          <w:numId w:val="1"/>
        </w:numPr>
        <w:spacing w:after="0" w:line="240" w:lineRule="auto"/>
        <w:rPr>
          <w:b/>
        </w:rPr>
      </w:pPr>
      <w:r w:rsidRPr="00F62FCC">
        <w:rPr>
          <w:b/>
        </w:rPr>
        <w:t xml:space="preserve">En dépit des recommandations, </w:t>
      </w:r>
      <w:r w:rsidR="00C10239" w:rsidRPr="00F62FCC">
        <w:rPr>
          <w:b/>
        </w:rPr>
        <w:t>notamment de l’ONE</w:t>
      </w:r>
      <w:r w:rsidR="00B818A3">
        <w:rPr>
          <w:rStyle w:val="FootnoteReference"/>
          <w:b/>
        </w:rPr>
        <w:footnoteReference w:id="1"/>
      </w:r>
      <w:r w:rsidR="00C10239" w:rsidRPr="00F62FCC">
        <w:rPr>
          <w:b/>
        </w:rPr>
        <w:t xml:space="preserve">, seule la moitié des femmes </w:t>
      </w:r>
      <w:r w:rsidRPr="00F62FCC">
        <w:rPr>
          <w:b/>
        </w:rPr>
        <w:t xml:space="preserve">(55,8%) </w:t>
      </w:r>
      <w:r w:rsidR="00F62FCC">
        <w:rPr>
          <w:b/>
        </w:rPr>
        <w:t>utilise</w:t>
      </w:r>
      <w:r w:rsidR="00C10239" w:rsidRPr="00F62FCC">
        <w:rPr>
          <w:b/>
        </w:rPr>
        <w:t xml:space="preserve"> de l’acide folique durant </w:t>
      </w:r>
      <w:r w:rsidRPr="00F62FCC">
        <w:rPr>
          <w:b/>
        </w:rPr>
        <w:t>la phase de planification de leur grossesse;</w:t>
      </w:r>
    </w:p>
    <w:p w:rsidR="00F62FCC" w:rsidRDefault="00F62FCC" w:rsidP="00801FC2">
      <w:pPr>
        <w:pStyle w:val="ListParagraph"/>
        <w:numPr>
          <w:ilvl w:val="0"/>
          <w:numId w:val="1"/>
        </w:numPr>
        <w:spacing w:after="0" w:line="240" w:lineRule="auto"/>
        <w:rPr>
          <w:b/>
        </w:rPr>
      </w:pPr>
      <w:r>
        <w:rPr>
          <w:b/>
        </w:rPr>
        <w:t>Une</w:t>
      </w:r>
      <w:r w:rsidR="00832F23" w:rsidRPr="00F62FCC">
        <w:rPr>
          <w:b/>
        </w:rPr>
        <w:t xml:space="preserve"> femme sur </w:t>
      </w:r>
      <w:r>
        <w:rPr>
          <w:b/>
        </w:rPr>
        <w:t>trois</w:t>
      </w:r>
      <w:r w:rsidR="00832F23" w:rsidRPr="00F62FCC">
        <w:rPr>
          <w:b/>
        </w:rPr>
        <w:t xml:space="preserve"> (36,1%) ne </w:t>
      </w:r>
      <w:r w:rsidR="00C10239" w:rsidRPr="00F62FCC">
        <w:rPr>
          <w:b/>
        </w:rPr>
        <w:t>sait</w:t>
      </w:r>
      <w:r w:rsidR="00832F23" w:rsidRPr="00F62FCC">
        <w:rPr>
          <w:b/>
        </w:rPr>
        <w:t xml:space="preserve"> pas ce qu</w:t>
      </w:r>
      <w:r w:rsidR="00C10239" w:rsidRPr="00F62FCC">
        <w:rPr>
          <w:b/>
        </w:rPr>
        <w:t>’</w:t>
      </w:r>
      <w:r w:rsidR="00832F23" w:rsidRPr="00F62FCC">
        <w:rPr>
          <w:b/>
        </w:rPr>
        <w:t>e</w:t>
      </w:r>
      <w:r w:rsidR="00C10239" w:rsidRPr="00F62FCC">
        <w:rPr>
          <w:b/>
        </w:rPr>
        <w:t xml:space="preserve">st </w:t>
      </w:r>
      <w:r w:rsidR="00832F23" w:rsidRPr="00F62FCC">
        <w:rPr>
          <w:b/>
        </w:rPr>
        <w:t>l'acide folique</w:t>
      </w:r>
      <w:r w:rsidR="00357A54" w:rsidRPr="00F62FCC">
        <w:rPr>
          <w:b/>
        </w:rPr>
        <w:t xml:space="preserve"> </w:t>
      </w:r>
      <w:r w:rsidR="00C10239" w:rsidRPr="00F62FCC">
        <w:rPr>
          <w:b/>
        </w:rPr>
        <w:t xml:space="preserve">et quel effet il a sur la santé de </w:t>
      </w:r>
      <w:r w:rsidR="00357A54" w:rsidRPr="00F62FCC">
        <w:rPr>
          <w:b/>
        </w:rPr>
        <w:t>son</w:t>
      </w:r>
      <w:r w:rsidR="00C10239" w:rsidRPr="00F62FCC">
        <w:rPr>
          <w:b/>
        </w:rPr>
        <w:t xml:space="preserve"> </w:t>
      </w:r>
      <w:r w:rsidR="00832F23" w:rsidRPr="00F62FCC">
        <w:rPr>
          <w:b/>
        </w:rPr>
        <w:t>bébé;</w:t>
      </w:r>
    </w:p>
    <w:p w:rsidR="00832F23" w:rsidRDefault="00F62FCC" w:rsidP="00801FC2">
      <w:pPr>
        <w:pStyle w:val="ListParagraph"/>
        <w:numPr>
          <w:ilvl w:val="0"/>
          <w:numId w:val="1"/>
        </w:numPr>
        <w:spacing w:after="0" w:line="240" w:lineRule="auto"/>
        <w:rPr>
          <w:b/>
        </w:rPr>
      </w:pPr>
      <w:r>
        <w:rPr>
          <w:b/>
        </w:rPr>
        <w:t>Trois à cinq</w:t>
      </w:r>
      <w:r w:rsidR="00832F23" w:rsidRPr="00994C7B">
        <w:rPr>
          <w:b/>
        </w:rPr>
        <w:t xml:space="preserve"> femmes (60,4%) ne savent pas que l'acide folique </w:t>
      </w:r>
      <w:r w:rsidR="00357A54" w:rsidRPr="00994C7B">
        <w:rPr>
          <w:b/>
        </w:rPr>
        <w:t xml:space="preserve">réduit significativement </w:t>
      </w:r>
      <w:r w:rsidR="00832F23" w:rsidRPr="00994C7B">
        <w:rPr>
          <w:b/>
        </w:rPr>
        <w:t xml:space="preserve">le risque de </w:t>
      </w:r>
      <w:r w:rsidR="00357A54" w:rsidRPr="00994C7B">
        <w:rPr>
          <w:b/>
        </w:rPr>
        <w:t xml:space="preserve">dos ouvert </w:t>
      </w:r>
      <w:r w:rsidR="00832F23" w:rsidRPr="00994C7B">
        <w:rPr>
          <w:b/>
        </w:rPr>
        <w:t xml:space="preserve">(spina bifida) et </w:t>
      </w:r>
      <w:r w:rsidR="00357A54" w:rsidRPr="00994C7B">
        <w:rPr>
          <w:b/>
        </w:rPr>
        <w:t>de</w:t>
      </w:r>
      <w:r w:rsidR="00832F23" w:rsidRPr="00994C7B">
        <w:rPr>
          <w:b/>
        </w:rPr>
        <w:t xml:space="preserve"> crâne ouvert chez les bébés.</w:t>
      </w:r>
    </w:p>
    <w:p w:rsidR="00801FC2" w:rsidRPr="00994C7B" w:rsidRDefault="00801FC2" w:rsidP="00801FC2">
      <w:pPr>
        <w:pStyle w:val="ListParagraph"/>
        <w:spacing w:after="0" w:line="240" w:lineRule="auto"/>
        <w:rPr>
          <w:b/>
        </w:rPr>
      </w:pPr>
    </w:p>
    <w:p w:rsidR="00832F23" w:rsidRPr="00801FC2" w:rsidRDefault="00832F23" w:rsidP="00801FC2">
      <w:pPr>
        <w:spacing w:after="0"/>
        <w:rPr>
          <w:sz w:val="20"/>
        </w:rPr>
      </w:pPr>
      <w:r w:rsidRPr="00801FC2">
        <w:rPr>
          <w:sz w:val="20"/>
        </w:rPr>
        <w:t xml:space="preserve">Bruxelles, le </w:t>
      </w:r>
      <w:r w:rsidR="00801FC2" w:rsidRPr="00801FC2">
        <w:rPr>
          <w:sz w:val="20"/>
        </w:rPr>
        <w:t>23 août</w:t>
      </w:r>
      <w:r w:rsidRPr="00801FC2">
        <w:rPr>
          <w:sz w:val="20"/>
        </w:rPr>
        <w:t xml:space="preserve"> 2016 - Les femmes </w:t>
      </w:r>
      <w:r w:rsidR="00357A54" w:rsidRPr="00801FC2">
        <w:rPr>
          <w:sz w:val="20"/>
        </w:rPr>
        <w:t>belges ne</w:t>
      </w:r>
      <w:r w:rsidRPr="00801FC2">
        <w:rPr>
          <w:sz w:val="20"/>
        </w:rPr>
        <w:t xml:space="preserve"> sont souvent pas suffisamment conscient</w:t>
      </w:r>
      <w:r w:rsidR="00357A54" w:rsidRPr="00801FC2">
        <w:rPr>
          <w:sz w:val="20"/>
        </w:rPr>
        <w:t>e</w:t>
      </w:r>
      <w:r w:rsidRPr="00801FC2">
        <w:rPr>
          <w:sz w:val="20"/>
        </w:rPr>
        <w:t>s de l'importan</w:t>
      </w:r>
      <w:r w:rsidR="00357A54" w:rsidRPr="00801FC2">
        <w:rPr>
          <w:sz w:val="20"/>
        </w:rPr>
        <w:t>ce d'une bonne préparation de leur</w:t>
      </w:r>
      <w:r w:rsidR="00626DB5" w:rsidRPr="00801FC2">
        <w:rPr>
          <w:sz w:val="20"/>
        </w:rPr>
        <w:t xml:space="preserve"> grossesse,</w:t>
      </w:r>
      <w:r w:rsidRPr="00801FC2">
        <w:rPr>
          <w:sz w:val="20"/>
        </w:rPr>
        <w:t xml:space="preserve"> </w:t>
      </w:r>
      <w:r w:rsidR="00626DB5" w:rsidRPr="00801FC2">
        <w:rPr>
          <w:sz w:val="20"/>
        </w:rPr>
        <w:t>c</w:t>
      </w:r>
      <w:r w:rsidR="00357A54" w:rsidRPr="00801FC2">
        <w:rPr>
          <w:sz w:val="20"/>
        </w:rPr>
        <w:t xml:space="preserve">’est ce que révèle une enquête de </w:t>
      </w:r>
      <w:proofErr w:type="spellStart"/>
      <w:r w:rsidR="00357A54" w:rsidRPr="00801FC2">
        <w:rPr>
          <w:sz w:val="20"/>
        </w:rPr>
        <w:t>Merck</w:t>
      </w:r>
      <w:proofErr w:type="spellEnd"/>
      <w:r w:rsidR="00357A54" w:rsidRPr="00801FC2">
        <w:rPr>
          <w:sz w:val="20"/>
        </w:rPr>
        <w:t xml:space="preserve"> Consumer </w:t>
      </w:r>
      <w:proofErr w:type="spellStart"/>
      <w:r w:rsidR="00357A54" w:rsidRPr="00801FC2">
        <w:rPr>
          <w:sz w:val="20"/>
        </w:rPr>
        <w:t>Health</w:t>
      </w:r>
      <w:proofErr w:type="spellEnd"/>
      <w:r w:rsidRPr="00801FC2">
        <w:rPr>
          <w:sz w:val="20"/>
        </w:rPr>
        <w:t>. Un bébé en bonne santé</w:t>
      </w:r>
      <w:r w:rsidR="006D45CD" w:rsidRPr="00801FC2">
        <w:rPr>
          <w:sz w:val="20"/>
        </w:rPr>
        <w:t>, c’est</w:t>
      </w:r>
      <w:r w:rsidRPr="00801FC2">
        <w:rPr>
          <w:sz w:val="20"/>
        </w:rPr>
        <w:t xml:space="preserve"> à peu près le plus grand souhait </w:t>
      </w:r>
      <w:r w:rsidR="00357A54" w:rsidRPr="00801FC2">
        <w:rPr>
          <w:sz w:val="20"/>
        </w:rPr>
        <w:t>d</w:t>
      </w:r>
      <w:r w:rsidRPr="00801FC2">
        <w:rPr>
          <w:sz w:val="20"/>
        </w:rPr>
        <w:t xml:space="preserve">es femmes pendant leur grossesse. Mais ce désir est en contraste frappant avec la façon dont les femmes </w:t>
      </w:r>
      <w:r w:rsidR="00357A54" w:rsidRPr="00801FC2">
        <w:rPr>
          <w:sz w:val="20"/>
        </w:rPr>
        <w:t>belges</w:t>
      </w:r>
      <w:r w:rsidRPr="00801FC2">
        <w:rPr>
          <w:sz w:val="20"/>
        </w:rPr>
        <w:t xml:space="preserve"> préparent leur grossesse. Dans les milieux médicaux, </w:t>
      </w:r>
      <w:r w:rsidR="00546EDA" w:rsidRPr="00801FC2">
        <w:rPr>
          <w:sz w:val="20"/>
        </w:rPr>
        <w:t xml:space="preserve">ce n’est plus à démontrer : la période avant la conception est une </w:t>
      </w:r>
      <w:r w:rsidRPr="00801FC2">
        <w:rPr>
          <w:sz w:val="20"/>
        </w:rPr>
        <w:t xml:space="preserve">étape cruciale pour la santé du bébé. En Belgique, il semble </w:t>
      </w:r>
      <w:r w:rsidR="00546EDA" w:rsidRPr="00801FC2">
        <w:rPr>
          <w:sz w:val="20"/>
        </w:rPr>
        <w:t>qu’il y ait encore beaucoup de pain sur la pla</w:t>
      </w:r>
      <w:r w:rsidR="00626DB5" w:rsidRPr="00801FC2">
        <w:rPr>
          <w:sz w:val="20"/>
        </w:rPr>
        <w:t xml:space="preserve">nche. En attestent les chiffres : </w:t>
      </w:r>
      <w:r w:rsidR="00546EDA" w:rsidRPr="00801FC2">
        <w:rPr>
          <w:sz w:val="20"/>
        </w:rPr>
        <w:t>quatre femmes sur dix ne sont pas suffisamment préparées à leur</w:t>
      </w:r>
      <w:r w:rsidRPr="00801FC2">
        <w:rPr>
          <w:sz w:val="20"/>
        </w:rPr>
        <w:t xml:space="preserve"> grossesse. L'enquête a été menée par </w:t>
      </w:r>
      <w:r w:rsidR="00994C7B" w:rsidRPr="00801FC2">
        <w:rPr>
          <w:sz w:val="20"/>
        </w:rPr>
        <w:t>le bureau d’études de marché</w:t>
      </w:r>
      <w:r w:rsidRPr="00801FC2">
        <w:rPr>
          <w:sz w:val="20"/>
        </w:rPr>
        <w:t xml:space="preserve"> </w:t>
      </w:r>
      <w:proofErr w:type="spellStart"/>
      <w:r w:rsidRPr="00801FC2">
        <w:rPr>
          <w:sz w:val="20"/>
        </w:rPr>
        <w:t>iVox</w:t>
      </w:r>
      <w:proofErr w:type="spellEnd"/>
      <w:r w:rsidRPr="00801FC2">
        <w:rPr>
          <w:sz w:val="20"/>
        </w:rPr>
        <w:t xml:space="preserve"> </w:t>
      </w:r>
      <w:r w:rsidR="00626DB5" w:rsidRPr="00801FC2">
        <w:rPr>
          <w:sz w:val="20"/>
        </w:rPr>
        <w:t>auprès de</w:t>
      </w:r>
      <w:r w:rsidRPr="00801FC2">
        <w:rPr>
          <w:sz w:val="20"/>
        </w:rPr>
        <w:t xml:space="preserve"> 1000 femmes belges *.</w:t>
      </w:r>
    </w:p>
    <w:p w:rsidR="00801FC2" w:rsidRPr="00801FC2" w:rsidRDefault="00801FC2" w:rsidP="00801FC2">
      <w:pPr>
        <w:spacing w:after="0"/>
        <w:rPr>
          <w:sz w:val="20"/>
        </w:rPr>
      </w:pPr>
    </w:p>
    <w:p w:rsidR="00832F23" w:rsidRPr="00801FC2" w:rsidRDefault="00832F23" w:rsidP="00801FC2">
      <w:pPr>
        <w:spacing w:after="0"/>
        <w:rPr>
          <w:b/>
          <w:sz w:val="20"/>
        </w:rPr>
      </w:pPr>
      <w:r w:rsidRPr="00801FC2">
        <w:rPr>
          <w:b/>
          <w:sz w:val="20"/>
        </w:rPr>
        <w:t>Grossesse</w:t>
      </w:r>
      <w:r w:rsidR="00626DB5" w:rsidRPr="00801FC2">
        <w:rPr>
          <w:b/>
          <w:sz w:val="20"/>
        </w:rPr>
        <w:t> :</w:t>
      </w:r>
      <w:r w:rsidRPr="00801FC2">
        <w:rPr>
          <w:b/>
          <w:sz w:val="20"/>
        </w:rPr>
        <w:t xml:space="preserve"> </w:t>
      </w:r>
      <w:r w:rsidR="00626DB5" w:rsidRPr="00801FC2">
        <w:rPr>
          <w:b/>
          <w:sz w:val="20"/>
        </w:rPr>
        <w:t>l</w:t>
      </w:r>
      <w:r w:rsidRPr="00801FC2">
        <w:rPr>
          <w:b/>
          <w:sz w:val="20"/>
        </w:rPr>
        <w:t xml:space="preserve">a préparation </w:t>
      </w:r>
      <w:r w:rsidR="00626DB5" w:rsidRPr="00801FC2">
        <w:rPr>
          <w:b/>
          <w:sz w:val="20"/>
        </w:rPr>
        <w:t>n’</w:t>
      </w:r>
      <w:r w:rsidRPr="00801FC2">
        <w:rPr>
          <w:b/>
          <w:sz w:val="20"/>
        </w:rPr>
        <w:t>est pas une priorité pour les Belges</w:t>
      </w:r>
    </w:p>
    <w:p w:rsidR="00832F23" w:rsidRPr="00801FC2" w:rsidRDefault="00832F23" w:rsidP="00801FC2">
      <w:pPr>
        <w:spacing w:after="0"/>
        <w:rPr>
          <w:sz w:val="20"/>
        </w:rPr>
      </w:pPr>
      <w:r w:rsidRPr="00801FC2">
        <w:rPr>
          <w:sz w:val="20"/>
        </w:rPr>
        <w:t>La moitié (44,2%) des femmes belges ne</w:t>
      </w:r>
      <w:r w:rsidR="00626DB5" w:rsidRPr="00801FC2">
        <w:rPr>
          <w:sz w:val="20"/>
        </w:rPr>
        <w:t xml:space="preserve"> prend</w:t>
      </w:r>
      <w:r w:rsidRPr="00801FC2">
        <w:rPr>
          <w:sz w:val="20"/>
        </w:rPr>
        <w:t xml:space="preserve"> pas les précautions nécessaires lors de la phase de planification </w:t>
      </w:r>
      <w:r w:rsidR="00994C7B" w:rsidRPr="00801FC2">
        <w:rPr>
          <w:sz w:val="20"/>
        </w:rPr>
        <w:t xml:space="preserve">afin de prendre soin de la santé de leur bébé. Cependant, </w:t>
      </w:r>
      <w:r w:rsidRPr="00801FC2">
        <w:rPr>
          <w:sz w:val="20"/>
        </w:rPr>
        <w:t>la phase comprise entre l'arrêt du contracep</w:t>
      </w:r>
      <w:r w:rsidR="00994C7B" w:rsidRPr="00801FC2">
        <w:rPr>
          <w:sz w:val="20"/>
        </w:rPr>
        <w:t>tif et le début de la grossesse est</w:t>
      </w:r>
      <w:r w:rsidRPr="00801FC2">
        <w:rPr>
          <w:sz w:val="20"/>
        </w:rPr>
        <w:t xml:space="preserve"> une période décisive pour la santé</w:t>
      </w:r>
      <w:r w:rsidR="00994C7B" w:rsidRPr="00801FC2">
        <w:rPr>
          <w:sz w:val="20"/>
        </w:rPr>
        <w:t xml:space="preserve"> future du bébé. « </w:t>
      </w:r>
      <w:r w:rsidRPr="00801FC2">
        <w:rPr>
          <w:i/>
          <w:sz w:val="20"/>
        </w:rPr>
        <w:t>C'est un chiffre tout</w:t>
      </w:r>
      <w:r w:rsidR="00994C7B" w:rsidRPr="00801FC2">
        <w:rPr>
          <w:i/>
          <w:sz w:val="20"/>
        </w:rPr>
        <w:t xml:space="preserve"> à fait remarquable et alarmant</w:t>
      </w:r>
      <w:r w:rsidR="00994C7B" w:rsidRPr="00801FC2">
        <w:rPr>
          <w:sz w:val="20"/>
        </w:rPr>
        <w:t> »</w:t>
      </w:r>
      <w:r w:rsidRPr="00801FC2">
        <w:rPr>
          <w:sz w:val="20"/>
        </w:rPr>
        <w:t xml:space="preserve">, dit </w:t>
      </w:r>
      <w:r w:rsidR="00801FC2">
        <w:rPr>
          <w:sz w:val="20"/>
        </w:rPr>
        <w:t xml:space="preserve">Dr </w:t>
      </w:r>
      <w:r w:rsidR="00801FC2" w:rsidRPr="00801FC2">
        <w:rPr>
          <w:sz w:val="20"/>
        </w:rPr>
        <w:t xml:space="preserve">Johan Van </w:t>
      </w:r>
      <w:proofErr w:type="spellStart"/>
      <w:r w:rsidR="00801FC2" w:rsidRPr="00801FC2">
        <w:rPr>
          <w:sz w:val="20"/>
        </w:rPr>
        <w:t>Wiemeersch</w:t>
      </w:r>
      <w:proofErr w:type="spellEnd"/>
      <w:r w:rsidR="00801FC2" w:rsidRPr="00801FC2">
        <w:rPr>
          <w:sz w:val="20"/>
        </w:rPr>
        <w:t xml:space="preserve">, le président </w:t>
      </w:r>
      <w:r w:rsidR="00994C7B" w:rsidRPr="00801FC2">
        <w:rPr>
          <w:sz w:val="20"/>
        </w:rPr>
        <w:t xml:space="preserve">de </w:t>
      </w:r>
      <w:r w:rsidR="00801FC2">
        <w:rPr>
          <w:sz w:val="20"/>
        </w:rPr>
        <w:t>l’a</w:t>
      </w:r>
      <w:r w:rsidR="00801FC2" w:rsidRPr="00801FC2">
        <w:rPr>
          <w:sz w:val="20"/>
        </w:rPr>
        <w:t>ssociation professionnelle des obstétriciens et gynécologues belges</w:t>
      </w:r>
      <w:r w:rsidR="00994C7B" w:rsidRPr="00801FC2">
        <w:rPr>
          <w:sz w:val="20"/>
        </w:rPr>
        <w:t>. « </w:t>
      </w:r>
      <w:r w:rsidRPr="00801FC2">
        <w:rPr>
          <w:i/>
          <w:sz w:val="20"/>
        </w:rPr>
        <w:t>La plupart des femmes savent que la grossesse exige un ajustement de leur</w:t>
      </w:r>
      <w:r w:rsidR="00626DB5" w:rsidRPr="00801FC2">
        <w:rPr>
          <w:i/>
          <w:sz w:val="20"/>
        </w:rPr>
        <w:t>s</w:t>
      </w:r>
      <w:r w:rsidRPr="00801FC2">
        <w:rPr>
          <w:i/>
          <w:sz w:val="20"/>
        </w:rPr>
        <w:t xml:space="preserve"> mode</w:t>
      </w:r>
      <w:r w:rsidR="00626DB5" w:rsidRPr="00801FC2">
        <w:rPr>
          <w:i/>
          <w:sz w:val="20"/>
        </w:rPr>
        <w:t>s</w:t>
      </w:r>
      <w:r w:rsidRPr="00801FC2">
        <w:rPr>
          <w:i/>
          <w:sz w:val="20"/>
        </w:rPr>
        <w:t xml:space="preserve"> de vie. </w:t>
      </w:r>
      <w:r w:rsidR="00626DB5" w:rsidRPr="00801FC2">
        <w:rPr>
          <w:i/>
          <w:sz w:val="20"/>
        </w:rPr>
        <w:t xml:space="preserve">Mais les </w:t>
      </w:r>
      <w:r w:rsidRPr="00801FC2">
        <w:rPr>
          <w:i/>
          <w:sz w:val="20"/>
        </w:rPr>
        <w:t>action</w:t>
      </w:r>
      <w:r w:rsidR="00626DB5" w:rsidRPr="00801FC2">
        <w:rPr>
          <w:i/>
          <w:sz w:val="20"/>
        </w:rPr>
        <w:t>s ne suivent</w:t>
      </w:r>
      <w:r w:rsidR="002C3DFE" w:rsidRPr="00801FC2">
        <w:rPr>
          <w:i/>
          <w:sz w:val="20"/>
        </w:rPr>
        <w:t xml:space="preserve"> pas efficacement les mots </w:t>
      </w:r>
      <w:r w:rsidRPr="00801FC2">
        <w:rPr>
          <w:i/>
          <w:sz w:val="20"/>
        </w:rPr>
        <w:t>lors de la préparation de leur grossesse</w:t>
      </w:r>
      <w:r w:rsidR="002C3DFE" w:rsidRPr="00801FC2">
        <w:rPr>
          <w:i/>
          <w:sz w:val="20"/>
        </w:rPr>
        <w:t xml:space="preserve">. </w:t>
      </w:r>
      <w:r w:rsidR="002C3DFE" w:rsidRPr="00801FC2">
        <w:rPr>
          <w:sz w:val="20"/>
        </w:rPr>
        <w:t>»</w:t>
      </w:r>
    </w:p>
    <w:p w:rsidR="00225F97" w:rsidRPr="00801FC2" w:rsidRDefault="002C3DFE" w:rsidP="00801FC2">
      <w:pPr>
        <w:spacing w:after="0"/>
        <w:rPr>
          <w:sz w:val="20"/>
        </w:rPr>
      </w:pPr>
      <w:r w:rsidRPr="00801FC2">
        <w:rPr>
          <w:sz w:val="20"/>
        </w:rPr>
        <w:t xml:space="preserve">Lors de la première </w:t>
      </w:r>
      <w:r w:rsidR="00832F23" w:rsidRPr="00801FC2">
        <w:rPr>
          <w:sz w:val="20"/>
        </w:rPr>
        <w:t>planification</w:t>
      </w:r>
      <w:r w:rsidRPr="00801FC2">
        <w:rPr>
          <w:sz w:val="20"/>
        </w:rPr>
        <w:t xml:space="preserve"> de grossesse</w:t>
      </w:r>
      <w:r w:rsidR="00832F23" w:rsidRPr="00801FC2">
        <w:rPr>
          <w:sz w:val="20"/>
        </w:rPr>
        <w:t xml:space="preserve">, la plupart des femmes belges consultent leur gynécologue. </w:t>
      </w:r>
      <w:r w:rsidRPr="00801FC2">
        <w:rPr>
          <w:sz w:val="20"/>
        </w:rPr>
        <w:t>Il apparaît que</w:t>
      </w:r>
      <w:r w:rsidR="00832F23" w:rsidRPr="00801FC2">
        <w:rPr>
          <w:sz w:val="20"/>
        </w:rPr>
        <w:t xml:space="preserve"> trois femmes sur dix (31,7%) </w:t>
      </w:r>
      <w:r w:rsidRPr="00801FC2">
        <w:rPr>
          <w:sz w:val="20"/>
        </w:rPr>
        <w:t xml:space="preserve">négligent cette </w:t>
      </w:r>
      <w:r w:rsidR="00832F23" w:rsidRPr="00801FC2">
        <w:rPr>
          <w:sz w:val="20"/>
        </w:rPr>
        <w:t xml:space="preserve">étape cruciale. En outre, </w:t>
      </w:r>
      <w:r w:rsidR="00F62FCC" w:rsidRPr="00801FC2">
        <w:rPr>
          <w:sz w:val="20"/>
        </w:rPr>
        <w:t>seulement</w:t>
      </w:r>
      <w:r w:rsidR="00832F23" w:rsidRPr="00801FC2">
        <w:rPr>
          <w:sz w:val="20"/>
        </w:rPr>
        <w:t xml:space="preserve"> une femme sur</w:t>
      </w:r>
      <w:r w:rsidR="00225F97" w:rsidRPr="00801FC2">
        <w:rPr>
          <w:sz w:val="20"/>
        </w:rPr>
        <w:t xml:space="preserve"> quat</w:t>
      </w:r>
      <w:r w:rsidR="00F62FCC" w:rsidRPr="00801FC2">
        <w:rPr>
          <w:sz w:val="20"/>
        </w:rPr>
        <w:t>re (24,7%) surfe</w:t>
      </w:r>
      <w:r w:rsidR="00225F97" w:rsidRPr="00801FC2">
        <w:rPr>
          <w:sz w:val="20"/>
        </w:rPr>
        <w:t xml:space="preserve"> sur internet à la recherche de plus d’informations </w:t>
      </w:r>
      <w:r w:rsidR="00832F23" w:rsidRPr="00801FC2">
        <w:rPr>
          <w:sz w:val="20"/>
        </w:rPr>
        <w:t xml:space="preserve">une fois </w:t>
      </w:r>
      <w:r w:rsidR="00F62FCC" w:rsidRPr="00801FC2">
        <w:rPr>
          <w:sz w:val="20"/>
        </w:rPr>
        <w:t xml:space="preserve">qu’elle </w:t>
      </w:r>
      <w:r w:rsidR="00225F97" w:rsidRPr="00801FC2">
        <w:rPr>
          <w:sz w:val="20"/>
        </w:rPr>
        <w:t>d</w:t>
      </w:r>
      <w:r w:rsidR="00F62FCC" w:rsidRPr="00801FC2">
        <w:rPr>
          <w:sz w:val="20"/>
        </w:rPr>
        <w:t>écide</w:t>
      </w:r>
      <w:r w:rsidR="00832F23" w:rsidRPr="00801FC2">
        <w:rPr>
          <w:sz w:val="20"/>
        </w:rPr>
        <w:t xml:space="preserve"> d'élargir </w:t>
      </w:r>
      <w:r w:rsidR="00F62FCC" w:rsidRPr="00801FC2">
        <w:rPr>
          <w:sz w:val="20"/>
        </w:rPr>
        <w:t>sa</w:t>
      </w:r>
      <w:r w:rsidR="00832F23" w:rsidRPr="00801FC2">
        <w:rPr>
          <w:sz w:val="20"/>
        </w:rPr>
        <w:t xml:space="preserve"> famille. Une personne sur six (16%) </w:t>
      </w:r>
      <w:r w:rsidR="00225F97" w:rsidRPr="00801FC2">
        <w:rPr>
          <w:sz w:val="20"/>
        </w:rPr>
        <w:t>parmi les</w:t>
      </w:r>
      <w:r w:rsidR="00832F23" w:rsidRPr="00801FC2">
        <w:rPr>
          <w:sz w:val="20"/>
        </w:rPr>
        <w:t xml:space="preserve"> femmes interrogées en Belgique </w:t>
      </w:r>
      <w:r w:rsidR="00225F97" w:rsidRPr="00801FC2">
        <w:rPr>
          <w:sz w:val="20"/>
        </w:rPr>
        <w:t>ne prend</w:t>
      </w:r>
      <w:r w:rsidR="00832F23" w:rsidRPr="00801FC2">
        <w:rPr>
          <w:sz w:val="20"/>
        </w:rPr>
        <w:t xml:space="preserve"> même aucune </w:t>
      </w:r>
      <w:r w:rsidR="00225F97" w:rsidRPr="00801FC2">
        <w:rPr>
          <w:sz w:val="20"/>
        </w:rPr>
        <w:t>précaution</w:t>
      </w:r>
      <w:r w:rsidR="00832F23" w:rsidRPr="00801FC2">
        <w:rPr>
          <w:sz w:val="20"/>
        </w:rPr>
        <w:t xml:space="preserve"> </w:t>
      </w:r>
      <w:r w:rsidR="00225F97" w:rsidRPr="00801FC2">
        <w:rPr>
          <w:sz w:val="20"/>
        </w:rPr>
        <w:t>durant</w:t>
      </w:r>
      <w:r w:rsidR="00832F23" w:rsidRPr="00801FC2">
        <w:rPr>
          <w:sz w:val="20"/>
        </w:rPr>
        <w:t xml:space="preserve"> la phase de </w:t>
      </w:r>
      <w:proofErr w:type="spellStart"/>
      <w:r w:rsidR="00832F23" w:rsidRPr="00801FC2">
        <w:rPr>
          <w:sz w:val="20"/>
        </w:rPr>
        <w:t>pré-conception</w:t>
      </w:r>
      <w:proofErr w:type="spellEnd"/>
      <w:r w:rsidR="00832F23" w:rsidRPr="00801FC2">
        <w:rPr>
          <w:sz w:val="20"/>
        </w:rPr>
        <w:t>.</w:t>
      </w:r>
    </w:p>
    <w:p w:rsidR="000C2E77" w:rsidRPr="00801FC2" w:rsidRDefault="000C2E77" w:rsidP="00801FC2">
      <w:pPr>
        <w:spacing w:after="0"/>
        <w:rPr>
          <w:b/>
          <w:sz w:val="20"/>
        </w:rPr>
      </w:pPr>
    </w:p>
    <w:p w:rsidR="00225F97" w:rsidRPr="00801FC2" w:rsidRDefault="00225F97" w:rsidP="00801FC2">
      <w:pPr>
        <w:spacing w:after="0"/>
        <w:rPr>
          <w:b/>
          <w:sz w:val="20"/>
        </w:rPr>
      </w:pPr>
      <w:r w:rsidRPr="00801FC2">
        <w:rPr>
          <w:b/>
          <w:sz w:val="20"/>
        </w:rPr>
        <w:t>L’Importance de l'acide folique inconnue de nombreux Belges</w:t>
      </w:r>
    </w:p>
    <w:p w:rsidR="00225F97" w:rsidRDefault="00225F97" w:rsidP="00801FC2">
      <w:pPr>
        <w:spacing w:after="0"/>
        <w:rPr>
          <w:sz w:val="20"/>
        </w:rPr>
      </w:pPr>
      <w:r w:rsidRPr="00801FC2">
        <w:rPr>
          <w:sz w:val="20"/>
        </w:rPr>
        <w:t xml:space="preserve">La </w:t>
      </w:r>
      <w:r w:rsidR="00624B4F" w:rsidRPr="00801FC2">
        <w:rPr>
          <w:sz w:val="20"/>
        </w:rPr>
        <w:t xml:space="preserve">planification de grossesse </w:t>
      </w:r>
      <w:r w:rsidRPr="00801FC2">
        <w:rPr>
          <w:sz w:val="20"/>
        </w:rPr>
        <w:t xml:space="preserve">très limitée chez les femmes se reflète également dans l'utilisation des </w:t>
      </w:r>
      <w:proofErr w:type="spellStart"/>
      <w:r w:rsidRPr="00801FC2">
        <w:rPr>
          <w:sz w:val="20"/>
        </w:rPr>
        <w:t>folates</w:t>
      </w:r>
      <w:proofErr w:type="spellEnd"/>
      <w:r w:rsidRPr="00801FC2">
        <w:rPr>
          <w:sz w:val="20"/>
        </w:rPr>
        <w:t xml:space="preserve">, </w:t>
      </w:r>
      <w:r w:rsidR="00624B4F" w:rsidRPr="00801FC2">
        <w:rPr>
          <w:sz w:val="20"/>
        </w:rPr>
        <w:t>parmi lesquels l’acide folique est</w:t>
      </w:r>
      <w:r w:rsidR="00734DA4" w:rsidRPr="00801FC2">
        <w:rPr>
          <w:sz w:val="20"/>
        </w:rPr>
        <w:t xml:space="preserve"> l’élément le</w:t>
      </w:r>
      <w:r w:rsidRPr="00801FC2">
        <w:rPr>
          <w:sz w:val="20"/>
        </w:rPr>
        <w:t xml:space="preserve"> plus connu. L'acide folique est une vitamine important</w:t>
      </w:r>
      <w:r w:rsidR="00624B4F" w:rsidRPr="00801FC2">
        <w:rPr>
          <w:sz w:val="20"/>
        </w:rPr>
        <w:t>e</w:t>
      </w:r>
      <w:r w:rsidRPr="00801FC2">
        <w:rPr>
          <w:sz w:val="20"/>
        </w:rPr>
        <w:t xml:space="preserve"> pour les femmes enceintes car elle stimule la production de cellules sanguines saines, a un effet positif sur l'absorption du fer et </w:t>
      </w:r>
      <w:r w:rsidR="00624B4F" w:rsidRPr="00801FC2">
        <w:rPr>
          <w:sz w:val="20"/>
        </w:rPr>
        <w:t xml:space="preserve">peut aider à prévenir </w:t>
      </w:r>
      <w:r w:rsidRPr="00801FC2">
        <w:rPr>
          <w:sz w:val="20"/>
        </w:rPr>
        <w:t>des anomalies congénitales comme le spina</w:t>
      </w:r>
      <w:r w:rsidR="00624B4F" w:rsidRPr="00801FC2">
        <w:rPr>
          <w:sz w:val="20"/>
        </w:rPr>
        <w:t xml:space="preserve"> bifida et le bec de lièvre</w:t>
      </w:r>
      <w:r w:rsidRPr="00801FC2">
        <w:rPr>
          <w:sz w:val="20"/>
        </w:rPr>
        <w:t xml:space="preserve">. Au cours de la phase de planification, seulement cinq </w:t>
      </w:r>
      <w:r w:rsidR="00624B4F" w:rsidRPr="00801FC2">
        <w:rPr>
          <w:sz w:val="20"/>
        </w:rPr>
        <w:t>femmes belges sur dix</w:t>
      </w:r>
      <w:r w:rsidRPr="00801FC2">
        <w:rPr>
          <w:sz w:val="20"/>
        </w:rPr>
        <w:t xml:space="preserve"> (55,8%) </w:t>
      </w:r>
      <w:r w:rsidR="00624B4F" w:rsidRPr="00801FC2">
        <w:rPr>
          <w:sz w:val="20"/>
        </w:rPr>
        <w:t xml:space="preserve">prennent de l'acide folique. Plus encore : </w:t>
      </w:r>
      <w:r w:rsidRPr="00801FC2">
        <w:rPr>
          <w:sz w:val="20"/>
        </w:rPr>
        <w:t xml:space="preserve"> </w:t>
      </w:r>
      <w:r w:rsidR="00994E69" w:rsidRPr="00801FC2">
        <w:rPr>
          <w:sz w:val="20"/>
        </w:rPr>
        <w:t>quatre</w:t>
      </w:r>
      <w:r w:rsidRPr="00801FC2">
        <w:rPr>
          <w:sz w:val="20"/>
        </w:rPr>
        <w:t xml:space="preserve"> femmes sur </w:t>
      </w:r>
      <w:r w:rsidR="00994E69" w:rsidRPr="00801FC2">
        <w:rPr>
          <w:sz w:val="20"/>
        </w:rPr>
        <w:t>dix</w:t>
      </w:r>
      <w:r w:rsidRPr="00801FC2">
        <w:rPr>
          <w:sz w:val="20"/>
        </w:rPr>
        <w:t xml:space="preserve"> (40,3%) </w:t>
      </w:r>
      <w:r w:rsidR="00994E69" w:rsidRPr="00801FC2">
        <w:rPr>
          <w:sz w:val="20"/>
        </w:rPr>
        <w:t xml:space="preserve">sont convaincues </w:t>
      </w:r>
      <w:r w:rsidRPr="00801FC2">
        <w:rPr>
          <w:sz w:val="20"/>
        </w:rPr>
        <w:t xml:space="preserve">que l'acide folique </w:t>
      </w:r>
      <w:r w:rsidR="00841BF2" w:rsidRPr="00801FC2">
        <w:rPr>
          <w:sz w:val="20"/>
        </w:rPr>
        <w:t>n’</w:t>
      </w:r>
      <w:r w:rsidRPr="00801FC2">
        <w:rPr>
          <w:sz w:val="20"/>
        </w:rPr>
        <w:t xml:space="preserve">est </w:t>
      </w:r>
      <w:r w:rsidR="00841BF2" w:rsidRPr="00801FC2">
        <w:rPr>
          <w:sz w:val="20"/>
        </w:rPr>
        <w:t xml:space="preserve">pas </w:t>
      </w:r>
      <w:r w:rsidRPr="00801FC2">
        <w:rPr>
          <w:sz w:val="20"/>
        </w:rPr>
        <w:t>important au cours de la phase de planification.</w:t>
      </w:r>
    </w:p>
    <w:p w:rsidR="00801FC2" w:rsidRPr="00801FC2" w:rsidRDefault="00801FC2" w:rsidP="00801FC2">
      <w:pPr>
        <w:spacing w:after="0"/>
        <w:rPr>
          <w:sz w:val="20"/>
        </w:rPr>
      </w:pPr>
    </w:p>
    <w:p w:rsidR="00225F97" w:rsidRDefault="00225F97" w:rsidP="00801FC2">
      <w:pPr>
        <w:spacing w:after="0"/>
        <w:rPr>
          <w:sz w:val="20"/>
        </w:rPr>
      </w:pPr>
      <w:r w:rsidRPr="00801FC2">
        <w:rPr>
          <w:sz w:val="20"/>
        </w:rPr>
        <w:lastRenderedPageBreak/>
        <w:t xml:space="preserve">Il est également frappant </w:t>
      </w:r>
      <w:r w:rsidR="00994E69" w:rsidRPr="00801FC2">
        <w:rPr>
          <w:sz w:val="20"/>
        </w:rPr>
        <w:t>qu’il y a</w:t>
      </w:r>
      <w:r w:rsidR="00626DB5" w:rsidRPr="00801FC2">
        <w:rPr>
          <w:sz w:val="20"/>
        </w:rPr>
        <w:t>it</w:t>
      </w:r>
      <w:r w:rsidR="00994E69" w:rsidRPr="00801FC2">
        <w:rPr>
          <w:sz w:val="20"/>
        </w:rPr>
        <w:t xml:space="preserve"> beaucoup de confusions </w:t>
      </w:r>
      <w:r w:rsidRPr="00801FC2">
        <w:rPr>
          <w:sz w:val="20"/>
        </w:rPr>
        <w:t xml:space="preserve">entre une alimentation saine et l'acide folique. </w:t>
      </w:r>
      <w:r w:rsidR="00994E69" w:rsidRPr="00801FC2">
        <w:rPr>
          <w:sz w:val="20"/>
        </w:rPr>
        <w:t>Chez u</w:t>
      </w:r>
      <w:r w:rsidRPr="00801FC2">
        <w:rPr>
          <w:sz w:val="20"/>
        </w:rPr>
        <w:t>n</w:t>
      </w:r>
      <w:r w:rsidR="004A2B41" w:rsidRPr="00801FC2">
        <w:rPr>
          <w:sz w:val="20"/>
        </w:rPr>
        <w:t xml:space="preserve"> quart des femmes (24,4%), il reste l’idée fausse </w:t>
      </w:r>
      <w:r w:rsidRPr="00801FC2">
        <w:rPr>
          <w:sz w:val="20"/>
        </w:rPr>
        <w:t xml:space="preserve">qu'une alimentation saine est suffisante dans la phase de planification. </w:t>
      </w:r>
      <w:r w:rsidR="004A2B41" w:rsidRPr="00801FC2">
        <w:rPr>
          <w:sz w:val="20"/>
        </w:rPr>
        <w:t xml:space="preserve">La communauté médicale est pourtant convaincue qu’il  </w:t>
      </w:r>
      <w:r w:rsidRPr="00801FC2">
        <w:rPr>
          <w:sz w:val="20"/>
        </w:rPr>
        <w:t xml:space="preserve">est impossible pour les femmes enceintes </w:t>
      </w:r>
      <w:r w:rsidR="004A2B41" w:rsidRPr="00801FC2">
        <w:rPr>
          <w:sz w:val="20"/>
        </w:rPr>
        <w:t>d’</w:t>
      </w:r>
      <w:r w:rsidRPr="00801FC2">
        <w:rPr>
          <w:sz w:val="20"/>
        </w:rPr>
        <w:t xml:space="preserve">obtenir suffisamment d'acide folique </w:t>
      </w:r>
      <w:r w:rsidR="004A2B41" w:rsidRPr="00801FC2">
        <w:rPr>
          <w:sz w:val="20"/>
        </w:rPr>
        <w:t>grâce aux</w:t>
      </w:r>
      <w:r w:rsidRPr="00801FC2">
        <w:rPr>
          <w:sz w:val="20"/>
        </w:rPr>
        <w:t xml:space="preserve"> aliments. Le Conseil Supérieur de la Santé belge conseille donc de prendre </w:t>
      </w:r>
      <w:r w:rsidR="004A2B41" w:rsidRPr="00801FC2">
        <w:rPr>
          <w:sz w:val="20"/>
        </w:rPr>
        <w:t>0,4 mg d’acide folique</w:t>
      </w:r>
      <w:r w:rsidR="00B818A3" w:rsidRPr="00801FC2">
        <w:rPr>
          <w:sz w:val="20"/>
        </w:rPr>
        <w:t xml:space="preserve"> par jour.</w:t>
      </w:r>
      <w:r w:rsidR="00B818A3" w:rsidRPr="00801FC2">
        <w:rPr>
          <w:rStyle w:val="FootnoteReference"/>
          <w:sz w:val="20"/>
        </w:rPr>
        <w:footnoteReference w:id="2"/>
      </w:r>
    </w:p>
    <w:p w:rsidR="00801FC2" w:rsidRPr="00801FC2" w:rsidRDefault="00801FC2" w:rsidP="00801FC2">
      <w:pPr>
        <w:spacing w:after="0"/>
        <w:rPr>
          <w:sz w:val="20"/>
        </w:rPr>
      </w:pPr>
    </w:p>
    <w:p w:rsidR="00225F97" w:rsidRPr="00801FC2" w:rsidRDefault="004A2B41" w:rsidP="00801FC2">
      <w:pPr>
        <w:spacing w:after="0"/>
        <w:rPr>
          <w:sz w:val="20"/>
        </w:rPr>
      </w:pPr>
      <w:r w:rsidRPr="00801FC2">
        <w:rPr>
          <w:i/>
          <w:sz w:val="20"/>
        </w:rPr>
        <w:t>« </w:t>
      </w:r>
      <w:r w:rsidR="00225F97" w:rsidRPr="00801FC2">
        <w:rPr>
          <w:i/>
          <w:sz w:val="20"/>
        </w:rPr>
        <w:t xml:space="preserve">Il y a un besoin urgent d'une plus grande sensibilisation de l'impact de l'acide folique pendant la phase de planification. Les femmes </w:t>
      </w:r>
      <w:r w:rsidRPr="00801FC2">
        <w:rPr>
          <w:i/>
          <w:sz w:val="20"/>
        </w:rPr>
        <w:t xml:space="preserve">sont trop peu conscientes à l’heure </w:t>
      </w:r>
      <w:r w:rsidR="00841BF2" w:rsidRPr="00801FC2">
        <w:rPr>
          <w:i/>
          <w:sz w:val="20"/>
        </w:rPr>
        <w:t xml:space="preserve">actuelle </w:t>
      </w:r>
      <w:r w:rsidRPr="00801FC2">
        <w:rPr>
          <w:i/>
          <w:sz w:val="20"/>
        </w:rPr>
        <w:t>d</w:t>
      </w:r>
      <w:r w:rsidR="00225F97" w:rsidRPr="00801FC2">
        <w:rPr>
          <w:i/>
          <w:sz w:val="20"/>
        </w:rPr>
        <w:t>es propriétés positives de l'acide folique su</w:t>
      </w:r>
      <w:r w:rsidRPr="00801FC2">
        <w:rPr>
          <w:i/>
          <w:sz w:val="20"/>
        </w:rPr>
        <w:t>r la santé de leur futur bébé.</w:t>
      </w:r>
      <w:r w:rsidRPr="00801FC2">
        <w:rPr>
          <w:sz w:val="20"/>
        </w:rPr>
        <w:t> », d</w:t>
      </w:r>
      <w:r w:rsidR="00225F97" w:rsidRPr="00801FC2">
        <w:rPr>
          <w:sz w:val="20"/>
        </w:rPr>
        <w:t xml:space="preserve">it </w:t>
      </w:r>
      <w:r w:rsidR="00801FC2">
        <w:rPr>
          <w:sz w:val="20"/>
        </w:rPr>
        <w:t xml:space="preserve">Dr </w:t>
      </w:r>
      <w:r w:rsidR="00801FC2" w:rsidRPr="00801FC2">
        <w:rPr>
          <w:sz w:val="20"/>
        </w:rPr>
        <w:t xml:space="preserve">Johan Van </w:t>
      </w:r>
      <w:proofErr w:type="spellStart"/>
      <w:r w:rsidR="00801FC2" w:rsidRPr="00801FC2">
        <w:rPr>
          <w:sz w:val="20"/>
        </w:rPr>
        <w:t>Wiemeersch</w:t>
      </w:r>
      <w:proofErr w:type="spellEnd"/>
      <w:r w:rsidR="00225F97" w:rsidRPr="00801FC2">
        <w:rPr>
          <w:sz w:val="20"/>
        </w:rPr>
        <w:t>.</w:t>
      </w:r>
    </w:p>
    <w:p w:rsidR="00801FC2" w:rsidRPr="00801FC2" w:rsidRDefault="00801FC2" w:rsidP="00801FC2">
      <w:pPr>
        <w:spacing w:after="0"/>
        <w:rPr>
          <w:b/>
          <w:sz w:val="20"/>
        </w:rPr>
      </w:pPr>
    </w:p>
    <w:p w:rsidR="004A2B41" w:rsidRPr="00801FC2" w:rsidRDefault="004A2B41" w:rsidP="00801FC2">
      <w:pPr>
        <w:spacing w:after="0"/>
        <w:rPr>
          <w:b/>
          <w:sz w:val="20"/>
        </w:rPr>
      </w:pPr>
      <w:r w:rsidRPr="00801FC2">
        <w:rPr>
          <w:b/>
          <w:sz w:val="20"/>
        </w:rPr>
        <w:t>Effet positif ressenti :  la planification et les suppléments alimentaires stimulent la santé du bébé</w:t>
      </w:r>
    </w:p>
    <w:p w:rsidR="004A2B41" w:rsidRPr="00801FC2" w:rsidRDefault="004A2B41" w:rsidP="00801FC2">
      <w:pPr>
        <w:spacing w:after="0"/>
        <w:rPr>
          <w:sz w:val="20"/>
        </w:rPr>
      </w:pPr>
      <w:r w:rsidRPr="00801FC2">
        <w:rPr>
          <w:sz w:val="20"/>
        </w:rPr>
        <w:t xml:space="preserve">Notre santé est </w:t>
      </w:r>
      <w:r w:rsidR="00DF1BAD" w:rsidRPr="00801FC2">
        <w:rPr>
          <w:sz w:val="20"/>
        </w:rPr>
        <w:t xml:space="preserve">seulement </w:t>
      </w:r>
      <w:r w:rsidRPr="00801FC2">
        <w:rPr>
          <w:sz w:val="20"/>
        </w:rPr>
        <w:t xml:space="preserve">déterminée </w:t>
      </w:r>
      <w:r w:rsidR="00DF1BAD" w:rsidRPr="00801FC2">
        <w:rPr>
          <w:sz w:val="20"/>
        </w:rPr>
        <w:t xml:space="preserve">pour un quart </w:t>
      </w:r>
      <w:r w:rsidRPr="00801FC2">
        <w:rPr>
          <w:sz w:val="20"/>
        </w:rPr>
        <w:t>par</w:t>
      </w:r>
      <w:r w:rsidR="00DF1BAD" w:rsidRPr="00801FC2">
        <w:rPr>
          <w:sz w:val="20"/>
        </w:rPr>
        <w:t xml:space="preserve"> des facteurs génétiques</w:t>
      </w:r>
      <w:r w:rsidR="00B818A3" w:rsidRPr="00801FC2">
        <w:rPr>
          <w:rStyle w:val="FootnoteReference"/>
          <w:sz w:val="20"/>
        </w:rPr>
        <w:footnoteReference w:id="3"/>
      </w:r>
      <w:r w:rsidRPr="00801FC2">
        <w:rPr>
          <w:sz w:val="20"/>
        </w:rPr>
        <w:t>. Cela veut dire que l'on peut</w:t>
      </w:r>
      <w:r w:rsidR="00DF1BAD" w:rsidRPr="00801FC2">
        <w:rPr>
          <w:sz w:val="20"/>
        </w:rPr>
        <w:t xml:space="preserve"> la</w:t>
      </w:r>
      <w:r w:rsidRPr="00801FC2">
        <w:rPr>
          <w:sz w:val="20"/>
        </w:rPr>
        <w:t xml:space="preserve"> contrôler à 75% par l'interaction des gènes av</w:t>
      </w:r>
      <w:r w:rsidR="00DF1BAD" w:rsidRPr="00801FC2">
        <w:rPr>
          <w:sz w:val="20"/>
        </w:rPr>
        <w:t>ec le style de vie de la mère. « </w:t>
      </w:r>
      <w:r w:rsidR="00841BF2" w:rsidRPr="00801FC2">
        <w:rPr>
          <w:i/>
          <w:sz w:val="20"/>
        </w:rPr>
        <w:t xml:space="preserve">La constatation </w:t>
      </w:r>
      <w:r w:rsidRPr="00801FC2">
        <w:rPr>
          <w:i/>
          <w:sz w:val="20"/>
        </w:rPr>
        <w:t xml:space="preserve">que le mode de vie de la mère affecte non seulement le bébé pendant la grossesse, mais </w:t>
      </w:r>
      <w:r w:rsidR="00DF1BAD" w:rsidRPr="00801FC2">
        <w:rPr>
          <w:i/>
          <w:sz w:val="20"/>
        </w:rPr>
        <w:t>est aussi déterminant</w:t>
      </w:r>
      <w:r w:rsidRPr="00801FC2">
        <w:rPr>
          <w:i/>
          <w:sz w:val="20"/>
        </w:rPr>
        <w:t xml:space="preserve"> </w:t>
      </w:r>
      <w:r w:rsidR="00DF1BAD" w:rsidRPr="00801FC2">
        <w:rPr>
          <w:i/>
          <w:sz w:val="20"/>
        </w:rPr>
        <w:t xml:space="preserve">pour </w:t>
      </w:r>
      <w:r w:rsidRPr="00801FC2">
        <w:rPr>
          <w:i/>
          <w:sz w:val="20"/>
        </w:rPr>
        <w:t>sa santé tout au long de sa vie est cruciale, parce que beaucoup de gens</w:t>
      </w:r>
      <w:r w:rsidR="00DF1BAD" w:rsidRPr="00801FC2">
        <w:rPr>
          <w:i/>
          <w:sz w:val="20"/>
        </w:rPr>
        <w:t xml:space="preserve"> sous-estiment cet aspect vital. </w:t>
      </w:r>
      <w:r w:rsidR="00DF1BAD" w:rsidRPr="00801FC2">
        <w:rPr>
          <w:sz w:val="20"/>
        </w:rPr>
        <w:t>»</w:t>
      </w:r>
      <w:r w:rsidRPr="00801FC2">
        <w:rPr>
          <w:sz w:val="20"/>
        </w:rPr>
        <w:t xml:space="preserve">, explique </w:t>
      </w:r>
      <w:r w:rsidR="00801FC2">
        <w:rPr>
          <w:sz w:val="20"/>
        </w:rPr>
        <w:t xml:space="preserve">Dr </w:t>
      </w:r>
      <w:r w:rsidR="00801FC2" w:rsidRPr="00801FC2">
        <w:rPr>
          <w:sz w:val="20"/>
        </w:rPr>
        <w:t xml:space="preserve">Johan Van </w:t>
      </w:r>
      <w:proofErr w:type="spellStart"/>
      <w:r w:rsidR="00801FC2" w:rsidRPr="00801FC2">
        <w:rPr>
          <w:sz w:val="20"/>
        </w:rPr>
        <w:t>Wiemeersch</w:t>
      </w:r>
      <w:proofErr w:type="spellEnd"/>
      <w:r w:rsidRPr="00801FC2">
        <w:rPr>
          <w:sz w:val="20"/>
        </w:rPr>
        <w:t>.</w:t>
      </w:r>
    </w:p>
    <w:p w:rsidR="00801FC2" w:rsidRPr="00801FC2" w:rsidRDefault="00801FC2" w:rsidP="00801FC2">
      <w:pPr>
        <w:spacing w:after="0"/>
        <w:rPr>
          <w:sz w:val="20"/>
        </w:rPr>
      </w:pPr>
    </w:p>
    <w:p w:rsidR="004328A5" w:rsidRPr="00801FC2" w:rsidRDefault="00DF1BAD" w:rsidP="00801FC2">
      <w:pPr>
        <w:spacing w:after="0"/>
        <w:rPr>
          <w:sz w:val="20"/>
        </w:rPr>
      </w:pPr>
      <w:r w:rsidRPr="00801FC2">
        <w:rPr>
          <w:sz w:val="20"/>
        </w:rPr>
        <w:t>L'acide folique joue donc un rôle important</w:t>
      </w:r>
      <w:r w:rsidR="004A2B41" w:rsidRPr="00801FC2">
        <w:rPr>
          <w:sz w:val="20"/>
        </w:rPr>
        <w:t xml:space="preserve">. La recherche montre que l'utilisation d'acide folique pendant la période précédant la conception </w:t>
      </w:r>
      <w:r w:rsidRPr="00801FC2">
        <w:rPr>
          <w:sz w:val="20"/>
        </w:rPr>
        <w:t>réduit considérablement le</w:t>
      </w:r>
      <w:r w:rsidR="004A2B41" w:rsidRPr="00801FC2">
        <w:rPr>
          <w:sz w:val="20"/>
        </w:rPr>
        <w:t xml:space="preserve"> risque de malformations du tube neural, qui pourrait conduire à un dos ouvert ou </w:t>
      </w:r>
      <w:r w:rsidRPr="00801FC2">
        <w:rPr>
          <w:sz w:val="20"/>
        </w:rPr>
        <w:t>à un</w:t>
      </w:r>
      <w:r w:rsidR="004A2B41" w:rsidRPr="00801FC2">
        <w:rPr>
          <w:sz w:val="20"/>
        </w:rPr>
        <w:t xml:space="preserve"> crâne ouvert</w:t>
      </w:r>
      <w:r w:rsidR="00B818A3" w:rsidRPr="00801FC2">
        <w:rPr>
          <w:rStyle w:val="FootnoteReference"/>
          <w:sz w:val="20"/>
        </w:rPr>
        <w:footnoteReference w:id="4"/>
      </w:r>
      <w:r w:rsidR="004A2B41" w:rsidRPr="00801FC2">
        <w:rPr>
          <w:sz w:val="20"/>
        </w:rPr>
        <w:t xml:space="preserve">. </w:t>
      </w:r>
      <w:r w:rsidR="00394258" w:rsidRPr="00801FC2">
        <w:rPr>
          <w:sz w:val="20"/>
        </w:rPr>
        <w:t>La prise d’</w:t>
      </w:r>
      <w:r w:rsidR="004A2B41" w:rsidRPr="00801FC2">
        <w:rPr>
          <w:sz w:val="20"/>
        </w:rPr>
        <w:t>acide folique avant la conception du bébé peut prévenir environ 70% des anomalies du tube neural</w:t>
      </w:r>
      <w:r w:rsidR="00B818A3" w:rsidRPr="00801FC2">
        <w:rPr>
          <w:rStyle w:val="FootnoteReference"/>
          <w:sz w:val="20"/>
        </w:rPr>
        <w:footnoteReference w:id="5"/>
      </w:r>
      <w:r w:rsidR="004A2B41" w:rsidRPr="00801FC2">
        <w:rPr>
          <w:sz w:val="20"/>
        </w:rPr>
        <w:t>. «</w:t>
      </w:r>
      <w:r w:rsidR="00841BF2" w:rsidRPr="00801FC2">
        <w:rPr>
          <w:sz w:val="20"/>
        </w:rPr>
        <w:t xml:space="preserve"> </w:t>
      </w:r>
      <w:r w:rsidR="004A2B41" w:rsidRPr="00801FC2">
        <w:rPr>
          <w:i/>
          <w:sz w:val="20"/>
        </w:rPr>
        <w:t>Nous avons tout intérêt à ce que les femme</w:t>
      </w:r>
      <w:r w:rsidR="00394258" w:rsidRPr="00801FC2">
        <w:rPr>
          <w:i/>
          <w:sz w:val="20"/>
        </w:rPr>
        <w:t xml:space="preserve">s soient davantage conscientes de </w:t>
      </w:r>
      <w:r w:rsidR="004A2B41" w:rsidRPr="00801FC2">
        <w:rPr>
          <w:i/>
          <w:sz w:val="20"/>
        </w:rPr>
        <w:t xml:space="preserve">la façon dont </w:t>
      </w:r>
      <w:r w:rsidR="00394258" w:rsidRPr="00801FC2">
        <w:rPr>
          <w:i/>
          <w:sz w:val="20"/>
        </w:rPr>
        <w:t>elles</w:t>
      </w:r>
      <w:r w:rsidR="004A2B41" w:rsidRPr="00801FC2">
        <w:rPr>
          <w:i/>
          <w:sz w:val="20"/>
        </w:rPr>
        <w:t xml:space="preserve"> peuvent </w:t>
      </w:r>
      <w:r w:rsidR="00394258" w:rsidRPr="00801FC2">
        <w:rPr>
          <w:i/>
          <w:sz w:val="20"/>
        </w:rPr>
        <w:t>envisager</w:t>
      </w:r>
      <w:r w:rsidR="004A2B41" w:rsidRPr="00801FC2">
        <w:rPr>
          <w:i/>
          <w:sz w:val="20"/>
        </w:rPr>
        <w:t xml:space="preserve"> la santé de leur enfant dès la phase de planification, y compris par l'utilisation de l'acide folique. Il est significatif que 60% des femmes </w:t>
      </w:r>
      <w:r w:rsidR="00394258" w:rsidRPr="00801FC2">
        <w:rPr>
          <w:i/>
          <w:sz w:val="20"/>
        </w:rPr>
        <w:t xml:space="preserve">aujourd’hui </w:t>
      </w:r>
      <w:r w:rsidR="00397F77" w:rsidRPr="00801FC2">
        <w:rPr>
          <w:i/>
          <w:sz w:val="20"/>
        </w:rPr>
        <w:t>ne sachent</w:t>
      </w:r>
      <w:r w:rsidR="004A2B41" w:rsidRPr="00801FC2">
        <w:rPr>
          <w:i/>
          <w:sz w:val="20"/>
        </w:rPr>
        <w:t xml:space="preserve"> pas que l'acide folique réduit le risque de spina bifida ou </w:t>
      </w:r>
      <w:r w:rsidR="00394258" w:rsidRPr="00801FC2">
        <w:rPr>
          <w:i/>
          <w:sz w:val="20"/>
        </w:rPr>
        <w:t xml:space="preserve">de </w:t>
      </w:r>
      <w:r w:rsidR="004A2B41" w:rsidRPr="00801FC2">
        <w:rPr>
          <w:i/>
          <w:sz w:val="20"/>
        </w:rPr>
        <w:t>l'a</w:t>
      </w:r>
      <w:r w:rsidR="00394258" w:rsidRPr="00801FC2">
        <w:rPr>
          <w:i/>
          <w:sz w:val="20"/>
        </w:rPr>
        <w:t xml:space="preserve">nencéphalie. Il faut changer cela </w:t>
      </w:r>
      <w:r w:rsidR="004A2B41" w:rsidRPr="00801FC2">
        <w:rPr>
          <w:i/>
          <w:sz w:val="20"/>
        </w:rPr>
        <w:t>de toute urgence</w:t>
      </w:r>
      <w:r w:rsidR="004A2B41" w:rsidRPr="00801FC2">
        <w:rPr>
          <w:sz w:val="20"/>
        </w:rPr>
        <w:t xml:space="preserve"> », conclut </w:t>
      </w:r>
      <w:r w:rsidR="00801FC2">
        <w:rPr>
          <w:sz w:val="20"/>
        </w:rPr>
        <w:t xml:space="preserve">Dr </w:t>
      </w:r>
      <w:r w:rsidR="00801FC2" w:rsidRPr="00801FC2">
        <w:rPr>
          <w:sz w:val="20"/>
        </w:rPr>
        <w:t xml:space="preserve">Johan Van </w:t>
      </w:r>
      <w:proofErr w:type="spellStart"/>
      <w:r w:rsidR="00801FC2" w:rsidRPr="00801FC2">
        <w:rPr>
          <w:sz w:val="20"/>
        </w:rPr>
        <w:t>Wiemeersch</w:t>
      </w:r>
      <w:proofErr w:type="spellEnd"/>
      <w:r w:rsidR="004A2B41" w:rsidRPr="00801FC2">
        <w:rPr>
          <w:sz w:val="20"/>
        </w:rPr>
        <w:t>.</w:t>
      </w:r>
    </w:p>
    <w:p w:rsidR="004328A5" w:rsidRPr="00801FC2" w:rsidRDefault="004328A5" w:rsidP="00801FC2">
      <w:pPr>
        <w:spacing w:after="0"/>
        <w:rPr>
          <w:sz w:val="20"/>
        </w:rPr>
      </w:pPr>
    </w:p>
    <w:p w:rsidR="0047271D" w:rsidRPr="00801FC2" w:rsidRDefault="004A2B41" w:rsidP="00801FC2">
      <w:pPr>
        <w:spacing w:after="0"/>
        <w:rPr>
          <w:sz w:val="20"/>
        </w:rPr>
      </w:pPr>
      <w:r w:rsidRPr="00801FC2">
        <w:rPr>
          <w:sz w:val="20"/>
        </w:rPr>
        <w:t xml:space="preserve">Avec </w:t>
      </w:r>
      <w:hyperlink r:id="rId9" w:history="1">
        <w:proofErr w:type="spellStart"/>
        <w:r w:rsidRPr="00801FC2">
          <w:rPr>
            <w:rStyle w:val="Hyperlink"/>
            <w:sz w:val="20"/>
          </w:rPr>
          <w:t>Omnibionta</w:t>
        </w:r>
        <w:proofErr w:type="spellEnd"/>
        <w:r w:rsidRPr="00801FC2">
          <w:rPr>
            <w:rStyle w:val="Hyperlink"/>
            <w:sz w:val="20"/>
          </w:rPr>
          <w:t xml:space="preserve"> </w:t>
        </w:r>
        <w:proofErr w:type="spellStart"/>
        <w:r w:rsidRPr="00801FC2">
          <w:rPr>
            <w:rStyle w:val="Hyperlink"/>
            <w:sz w:val="20"/>
          </w:rPr>
          <w:t>P</w:t>
        </w:r>
        <w:bookmarkStart w:id="0" w:name="_GoBack"/>
        <w:bookmarkEnd w:id="0"/>
        <w:r w:rsidRPr="00801FC2">
          <w:rPr>
            <w:rStyle w:val="Hyperlink"/>
            <w:sz w:val="20"/>
          </w:rPr>
          <w:t>r</w:t>
        </w:r>
        <w:r w:rsidRPr="00801FC2">
          <w:rPr>
            <w:rStyle w:val="Hyperlink"/>
            <w:sz w:val="20"/>
          </w:rPr>
          <w:t>onatal</w:t>
        </w:r>
        <w:proofErr w:type="spellEnd"/>
      </w:hyperlink>
      <w:r w:rsidR="00394258" w:rsidRPr="00801FC2">
        <w:rPr>
          <w:sz w:val="20"/>
        </w:rPr>
        <w:t>,</w:t>
      </w:r>
      <w:r w:rsidRPr="00801FC2">
        <w:rPr>
          <w:sz w:val="20"/>
        </w:rPr>
        <w:t xml:space="preserve"> </w:t>
      </w:r>
      <w:proofErr w:type="spellStart"/>
      <w:r w:rsidRPr="00801FC2">
        <w:rPr>
          <w:sz w:val="20"/>
        </w:rPr>
        <w:t>Merck</w:t>
      </w:r>
      <w:proofErr w:type="spellEnd"/>
      <w:r w:rsidRPr="00801FC2">
        <w:rPr>
          <w:sz w:val="20"/>
        </w:rPr>
        <w:t xml:space="preserve"> </w:t>
      </w:r>
      <w:r w:rsidR="00394258" w:rsidRPr="00801FC2">
        <w:rPr>
          <w:sz w:val="20"/>
        </w:rPr>
        <w:t>offre</w:t>
      </w:r>
      <w:r w:rsidRPr="00801FC2">
        <w:rPr>
          <w:sz w:val="20"/>
        </w:rPr>
        <w:t xml:space="preserve"> l'ingrédient actif de l'acide folique, à savoir </w:t>
      </w:r>
      <w:proofErr w:type="spellStart"/>
      <w:r w:rsidRPr="00801FC2">
        <w:rPr>
          <w:sz w:val="20"/>
        </w:rPr>
        <w:t>Metafolin</w:t>
      </w:r>
      <w:proofErr w:type="spellEnd"/>
      <w:r w:rsidRPr="00801FC2">
        <w:rPr>
          <w:sz w:val="20"/>
        </w:rPr>
        <w:t xml:space="preserve">®. Chaque comprimé </w:t>
      </w:r>
      <w:r w:rsidR="00394258" w:rsidRPr="00801FC2">
        <w:rPr>
          <w:sz w:val="20"/>
        </w:rPr>
        <w:t>d’</w:t>
      </w:r>
      <w:proofErr w:type="spellStart"/>
      <w:r w:rsidR="00394258" w:rsidRPr="00801FC2">
        <w:rPr>
          <w:sz w:val="20"/>
        </w:rPr>
        <w:t>Omnibionta</w:t>
      </w:r>
      <w:proofErr w:type="spellEnd"/>
      <w:r w:rsidR="00394258" w:rsidRPr="00801FC2">
        <w:rPr>
          <w:sz w:val="20"/>
        </w:rPr>
        <w:t xml:space="preserve"> </w:t>
      </w:r>
      <w:proofErr w:type="spellStart"/>
      <w:r w:rsidR="00394258" w:rsidRPr="00801FC2">
        <w:rPr>
          <w:sz w:val="20"/>
        </w:rPr>
        <w:t>Pronatal</w:t>
      </w:r>
      <w:proofErr w:type="spellEnd"/>
      <w:r w:rsidR="00394258" w:rsidRPr="00801FC2">
        <w:rPr>
          <w:sz w:val="20"/>
        </w:rPr>
        <w:t xml:space="preserve"> </w:t>
      </w:r>
      <w:r w:rsidRPr="00801FC2">
        <w:rPr>
          <w:sz w:val="20"/>
        </w:rPr>
        <w:t xml:space="preserve">contient diverses vitamines et minéraux, y compris </w:t>
      </w:r>
      <w:r w:rsidR="00394258" w:rsidRPr="00801FC2">
        <w:rPr>
          <w:sz w:val="20"/>
        </w:rPr>
        <w:t>200µg d'acide folique et 400µg de</w:t>
      </w:r>
      <w:r w:rsidRPr="00801FC2">
        <w:rPr>
          <w:sz w:val="20"/>
        </w:rPr>
        <w:t xml:space="preserve"> </w:t>
      </w:r>
      <w:proofErr w:type="spellStart"/>
      <w:r w:rsidRPr="00801FC2">
        <w:rPr>
          <w:sz w:val="20"/>
        </w:rPr>
        <w:t>Metafolin</w:t>
      </w:r>
      <w:proofErr w:type="spellEnd"/>
      <w:r w:rsidRPr="00801FC2">
        <w:rPr>
          <w:sz w:val="20"/>
        </w:rPr>
        <w:t xml:space="preserve">®. </w:t>
      </w:r>
      <w:r w:rsidR="0044736E" w:rsidRPr="00801FC2">
        <w:rPr>
          <w:sz w:val="20"/>
        </w:rPr>
        <w:t xml:space="preserve"> </w:t>
      </w:r>
      <w:r w:rsidRPr="00801FC2">
        <w:rPr>
          <w:sz w:val="20"/>
        </w:rPr>
        <w:t>L'ingestion d'un comprimé par jour</w:t>
      </w:r>
      <w:r w:rsidR="00394258" w:rsidRPr="00801FC2">
        <w:rPr>
          <w:sz w:val="20"/>
        </w:rPr>
        <w:t xml:space="preserve"> pendant au moins quatre semaines </w:t>
      </w:r>
      <w:r w:rsidR="0044736E" w:rsidRPr="00801FC2">
        <w:rPr>
          <w:sz w:val="20"/>
        </w:rPr>
        <w:t xml:space="preserve">fournit un niveau optimal de </w:t>
      </w:r>
      <w:proofErr w:type="spellStart"/>
      <w:r w:rsidR="0044736E" w:rsidRPr="00801FC2">
        <w:rPr>
          <w:sz w:val="20"/>
        </w:rPr>
        <w:t>folate</w:t>
      </w:r>
      <w:proofErr w:type="spellEnd"/>
      <w:r w:rsidR="0044736E" w:rsidRPr="00801FC2">
        <w:rPr>
          <w:sz w:val="20"/>
        </w:rPr>
        <w:t xml:space="preserve"> à la future maman.</w:t>
      </w:r>
      <w:r w:rsidR="00B818A3" w:rsidRPr="00801FC2">
        <w:rPr>
          <w:rStyle w:val="FootnoteReference"/>
          <w:sz w:val="20"/>
        </w:rPr>
        <w:footnoteReference w:id="6"/>
      </w:r>
    </w:p>
    <w:p w:rsidR="00801FC2" w:rsidRDefault="00801FC2" w:rsidP="00801FC2">
      <w:pPr>
        <w:spacing w:after="0"/>
      </w:pPr>
    </w:p>
    <w:p w:rsidR="004A2B41" w:rsidRDefault="00B818A3" w:rsidP="00801FC2">
      <w:pPr>
        <w:spacing w:after="0"/>
        <w:rPr>
          <w:i/>
          <w:sz w:val="18"/>
          <w:szCs w:val="18"/>
        </w:rPr>
      </w:pPr>
      <w:r>
        <w:t>*</w:t>
      </w:r>
      <w:r w:rsidR="004A2B41" w:rsidRPr="005C63CE">
        <w:rPr>
          <w:i/>
          <w:sz w:val="18"/>
          <w:szCs w:val="18"/>
        </w:rPr>
        <w:t>Cette rec</w:t>
      </w:r>
      <w:r w:rsidR="009B50C5">
        <w:rPr>
          <w:i/>
          <w:sz w:val="18"/>
          <w:szCs w:val="18"/>
        </w:rPr>
        <w:t xml:space="preserve">herche a été menée par </w:t>
      </w:r>
      <w:proofErr w:type="spellStart"/>
      <w:r w:rsidR="009B50C5">
        <w:rPr>
          <w:i/>
          <w:sz w:val="18"/>
          <w:szCs w:val="18"/>
        </w:rPr>
        <w:t>iVox</w:t>
      </w:r>
      <w:proofErr w:type="spellEnd"/>
      <w:r w:rsidR="009B50C5">
        <w:rPr>
          <w:i/>
          <w:sz w:val="18"/>
          <w:szCs w:val="18"/>
        </w:rPr>
        <w:t xml:space="preserve"> en j</w:t>
      </w:r>
      <w:r w:rsidR="004A2B41" w:rsidRPr="005C63CE">
        <w:rPr>
          <w:i/>
          <w:sz w:val="18"/>
          <w:szCs w:val="18"/>
        </w:rPr>
        <w:t>uin 2016 pour 1.000 femmes belges âgé</w:t>
      </w:r>
      <w:r w:rsidR="0044736E" w:rsidRPr="005C63CE">
        <w:rPr>
          <w:i/>
          <w:sz w:val="18"/>
          <w:szCs w:val="18"/>
        </w:rPr>
        <w:t xml:space="preserve">es entre 18 et </w:t>
      </w:r>
      <w:r w:rsidR="004A2B41" w:rsidRPr="005C63CE">
        <w:rPr>
          <w:i/>
          <w:sz w:val="18"/>
          <w:szCs w:val="18"/>
        </w:rPr>
        <w:t>40 ans. Les répondants sont des femmes 1) dont le plus jeune enfant</w:t>
      </w:r>
      <w:r w:rsidR="0044736E" w:rsidRPr="005C63CE">
        <w:rPr>
          <w:i/>
          <w:sz w:val="18"/>
          <w:szCs w:val="18"/>
        </w:rPr>
        <w:t xml:space="preserve"> a plus de deux ans, 2)</w:t>
      </w:r>
      <w:r w:rsidR="004A2B41" w:rsidRPr="005C63CE">
        <w:rPr>
          <w:i/>
          <w:sz w:val="18"/>
          <w:szCs w:val="18"/>
        </w:rPr>
        <w:t xml:space="preserve"> dont le plus jeune enfant</w:t>
      </w:r>
      <w:r w:rsidR="0044736E" w:rsidRPr="005C63CE">
        <w:rPr>
          <w:i/>
          <w:sz w:val="18"/>
          <w:szCs w:val="18"/>
        </w:rPr>
        <w:t xml:space="preserve"> est âgé de moins de 2 ans, 3)</w:t>
      </w:r>
      <w:r w:rsidR="004A2B41" w:rsidRPr="005C63CE">
        <w:rPr>
          <w:i/>
          <w:sz w:val="18"/>
          <w:szCs w:val="18"/>
        </w:rPr>
        <w:t xml:space="preserve"> qui est en tra</w:t>
      </w:r>
      <w:r w:rsidR="0044736E" w:rsidRPr="005C63CE">
        <w:rPr>
          <w:i/>
          <w:sz w:val="18"/>
          <w:szCs w:val="18"/>
        </w:rPr>
        <w:t>in d'essayer de concevoir, 4) qui veulent tomber enceinte dans les 5 ans</w:t>
      </w:r>
      <w:r w:rsidR="004A2B41" w:rsidRPr="005C63CE">
        <w:rPr>
          <w:i/>
          <w:sz w:val="18"/>
          <w:szCs w:val="18"/>
        </w:rPr>
        <w:t xml:space="preserve">, et 5) </w:t>
      </w:r>
      <w:r w:rsidR="0044736E" w:rsidRPr="005C63CE">
        <w:rPr>
          <w:i/>
          <w:sz w:val="18"/>
          <w:szCs w:val="18"/>
        </w:rPr>
        <w:t>qui, au cours des cinq années précédentes, n’ont planifié aucune grossesse. Pour</w:t>
      </w:r>
      <w:r w:rsidR="004A2B41" w:rsidRPr="005C63CE">
        <w:rPr>
          <w:i/>
          <w:sz w:val="18"/>
          <w:szCs w:val="18"/>
        </w:rPr>
        <w:t xml:space="preserve"> tous les répondants des groupes 1, 2 et 3, </w:t>
      </w:r>
      <w:r w:rsidR="0044736E" w:rsidRPr="005C63CE">
        <w:rPr>
          <w:i/>
          <w:sz w:val="18"/>
          <w:szCs w:val="18"/>
        </w:rPr>
        <w:t>la grossesse est un choix conscient</w:t>
      </w:r>
      <w:r w:rsidR="004A2B41" w:rsidRPr="005C63CE">
        <w:rPr>
          <w:i/>
          <w:sz w:val="18"/>
          <w:szCs w:val="18"/>
        </w:rPr>
        <w:t xml:space="preserve">, </w:t>
      </w:r>
      <w:r w:rsidR="0044736E" w:rsidRPr="005C63CE">
        <w:rPr>
          <w:i/>
          <w:sz w:val="18"/>
          <w:szCs w:val="18"/>
        </w:rPr>
        <w:t xml:space="preserve">ce qui signifie qu’il faut prendre en considération l’effet des grossesses non planifiées </w:t>
      </w:r>
      <w:r w:rsidR="00F62FCC" w:rsidRPr="005C63CE">
        <w:rPr>
          <w:i/>
          <w:sz w:val="18"/>
          <w:szCs w:val="18"/>
        </w:rPr>
        <w:t xml:space="preserve">pour </w:t>
      </w:r>
      <w:r w:rsidR="0044736E" w:rsidRPr="005C63CE">
        <w:rPr>
          <w:i/>
          <w:sz w:val="18"/>
          <w:szCs w:val="18"/>
        </w:rPr>
        <w:t xml:space="preserve">les pourcentages se trouvant </w:t>
      </w:r>
      <w:r w:rsidR="004A2B41" w:rsidRPr="005C63CE">
        <w:rPr>
          <w:i/>
          <w:sz w:val="18"/>
          <w:szCs w:val="18"/>
        </w:rPr>
        <w:t xml:space="preserve">dans le présent </w:t>
      </w:r>
      <w:r w:rsidR="003927C8" w:rsidRPr="005C63CE">
        <w:rPr>
          <w:i/>
          <w:sz w:val="18"/>
          <w:szCs w:val="18"/>
        </w:rPr>
        <w:t>communiqué</w:t>
      </w:r>
      <w:r w:rsidR="00F62FCC" w:rsidRPr="005C63CE">
        <w:rPr>
          <w:i/>
          <w:sz w:val="18"/>
          <w:szCs w:val="18"/>
        </w:rPr>
        <w:t>.</w:t>
      </w:r>
    </w:p>
    <w:p w:rsidR="00801FC2" w:rsidRDefault="00801FC2" w:rsidP="00801FC2">
      <w:pPr>
        <w:spacing w:after="0"/>
        <w:rPr>
          <w:i/>
          <w:sz w:val="18"/>
          <w:szCs w:val="18"/>
        </w:rPr>
      </w:pPr>
    </w:p>
    <w:p w:rsidR="00B818A3" w:rsidRPr="00546E99" w:rsidRDefault="00546E99" w:rsidP="00801FC2">
      <w:pPr>
        <w:spacing w:after="0"/>
        <w:jc w:val="center"/>
      </w:pPr>
      <w:r>
        <w:t>***</w:t>
      </w:r>
    </w:p>
    <w:p w:rsidR="00B818A3" w:rsidRPr="000C2E77" w:rsidRDefault="00B818A3" w:rsidP="00801FC2">
      <w:pPr>
        <w:tabs>
          <w:tab w:val="left" w:pos="708"/>
        </w:tabs>
        <w:spacing w:after="0" w:line="240" w:lineRule="auto"/>
        <w:jc w:val="both"/>
        <w:rPr>
          <w:b/>
          <w:color w:val="000000"/>
          <w:kern w:val="24"/>
          <w:sz w:val="16"/>
          <w:szCs w:val="16"/>
        </w:rPr>
      </w:pPr>
      <w:r w:rsidRPr="000C2E77">
        <w:rPr>
          <w:b/>
          <w:color w:val="000000"/>
          <w:kern w:val="24"/>
          <w:sz w:val="16"/>
          <w:szCs w:val="16"/>
        </w:rPr>
        <w:t>Pour plus d’informations, contactez:</w:t>
      </w:r>
    </w:p>
    <w:p w:rsidR="00801FC2" w:rsidRPr="00801FC2" w:rsidRDefault="00801FC2" w:rsidP="00801FC2">
      <w:pPr>
        <w:tabs>
          <w:tab w:val="left" w:pos="708"/>
        </w:tabs>
        <w:spacing w:after="0" w:line="240" w:lineRule="auto"/>
        <w:jc w:val="both"/>
        <w:rPr>
          <w:color w:val="000000"/>
          <w:kern w:val="24"/>
          <w:sz w:val="16"/>
          <w:szCs w:val="16"/>
          <w:lang w:val="de-DE"/>
        </w:rPr>
      </w:pPr>
      <w:r w:rsidRPr="00801FC2">
        <w:rPr>
          <w:color w:val="000000"/>
          <w:kern w:val="24"/>
          <w:sz w:val="16"/>
          <w:szCs w:val="16"/>
          <w:lang w:val="de-DE"/>
        </w:rPr>
        <w:t>Evelien Meskens</w:t>
      </w:r>
    </w:p>
    <w:p w:rsidR="00801FC2" w:rsidRPr="005478E2" w:rsidRDefault="00801FC2" w:rsidP="00801FC2">
      <w:pPr>
        <w:tabs>
          <w:tab w:val="left" w:pos="708"/>
        </w:tabs>
        <w:spacing w:after="0" w:line="240" w:lineRule="auto"/>
        <w:jc w:val="both"/>
        <w:rPr>
          <w:color w:val="000000"/>
          <w:kern w:val="24"/>
          <w:sz w:val="16"/>
          <w:szCs w:val="16"/>
          <w:lang w:val="de-DE"/>
        </w:rPr>
      </w:pPr>
      <w:r w:rsidRPr="005478E2">
        <w:rPr>
          <w:color w:val="000000"/>
          <w:kern w:val="24"/>
          <w:sz w:val="16"/>
          <w:szCs w:val="16"/>
          <w:lang w:val="de-DE"/>
        </w:rPr>
        <w:t xml:space="preserve">Weber </w:t>
      </w:r>
      <w:proofErr w:type="spellStart"/>
      <w:r w:rsidRPr="005478E2">
        <w:rPr>
          <w:color w:val="000000"/>
          <w:kern w:val="24"/>
          <w:sz w:val="16"/>
          <w:szCs w:val="16"/>
          <w:lang w:val="de-DE"/>
        </w:rPr>
        <w:t>Shandwick</w:t>
      </w:r>
      <w:proofErr w:type="spellEnd"/>
      <w:r w:rsidRPr="005478E2">
        <w:rPr>
          <w:color w:val="000000"/>
          <w:kern w:val="24"/>
          <w:sz w:val="16"/>
          <w:szCs w:val="16"/>
          <w:lang w:val="de-DE"/>
        </w:rPr>
        <w:t xml:space="preserve">  </w:t>
      </w:r>
    </w:p>
    <w:p w:rsidR="00801FC2" w:rsidRPr="00801FC2" w:rsidRDefault="00801FC2" w:rsidP="00801FC2">
      <w:pPr>
        <w:tabs>
          <w:tab w:val="left" w:pos="708"/>
        </w:tabs>
        <w:spacing w:after="0" w:line="240" w:lineRule="auto"/>
        <w:jc w:val="both"/>
        <w:rPr>
          <w:color w:val="000000"/>
          <w:kern w:val="24"/>
          <w:sz w:val="16"/>
          <w:szCs w:val="16"/>
          <w:lang w:val="de-DE"/>
        </w:rPr>
      </w:pPr>
      <w:hyperlink r:id="rId10" w:history="1">
        <w:r w:rsidRPr="00801FC2">
          <w:rPr>
            <w:rStyle w:val="Hyperlink"/>
            <w:kern w:val="24"/>
            <w:sz w:val="16"/>
            <w:szCs w:val="16"/>
            <w:lang w:val="de-DE"/>
          </w:rPr>
          <w:t>emeskens@webershandwick.com</w:t>
        </w:r>
      </w:hyperlink>
    </w:p>
    <w:p w:rsidR="00801FC2" w:rsidRPr="00043B30" w:rsidRDefault="00801FC2" w:rsidP="00801FC2">
      <w:pPr>
        <w:tabs>
          <w:tab w:val="left" w:pos="708"/>
        </w:tabs>
        <w:spacing w:after="0" w:line="240" w:lineRule="auto"/>
        <w:jc w:val="both"/>
        <w:rPr>
          <w:color w:val="000000"/>
          <w:kern w:val="24"/>
          <w:sz w:val="16"/>
          <w:szCs w:val="16"/>
          <w:lang w:val="sv-SE"/>
        </w:rPr>
      </w:pPr>
      <w:r w:rsidRPr="00043B30">
        <w:rPr>
          <w:color w:val="000000"/>
          <w:kern w:val="24"/>
          <w:sz w:val="16"/>
          <w:szCs w:val="16"/>
          <w:lang w:val="sv-SE"/>
        </w:rPr>
        <w:t>Tel: 02 894 90 41</w:t>
      </w:r>
    </w:p>
    <w:p w:rsidR="00801FC2" w:rsidRPr="00043B30" w:rsidRDefault="00801FC2" w:rsidP="00801FC2">
      <w:pPr>
        <w:tabs>
          <w:tab w:val="left" w:pos="708"/>
        </w:tabs>
        <w:spacing w:after="0" w:line="240" w:lineRule="auto"/>
        <w:jc w:val="both"/>
        <w:rPr>
          <w:color w:val="000000"/>
          <w:kern w:val="24"/>
          <w:sz w:val="16"/>
          <w:szCs w:val="16"/>
          <w:lang w:val="sv-SE"/>
        </w:rPr>
      </w:pPr>
      <w:r w:rsidRPr="00043B30">
        <w:rPr>
          <w:color w:val="000000"/>
          <w:kern w:val="24"/>
          <w:sz w:val="16"/>
          <w:szCs w:val="16"/>
          <w:lang w:val="sv-SE"/>
        </w:rPr>
        <w:t xml:space="preserve">GSM: </w:t>
      </w:r>
      <w:r>
        <w:rPr>
          <w:color w:val="000000"/>
          <w:kern w:val="24"/>
          <w:sz w:val="16"/>
          <w:szCs w:val="16"/>
          <w:lang w:val="sv-SE"/>
        </w:rPr>
        <w:t>0</w:t>
      </w:r>
      <w:r w:rsidRPr="00043B30">
        <w:rPr>
          <w:color w:val="000000"/>
          <w:kern w:val="24"/>
          <w:sz w:val="16"/>
          <w:szCs w:val="16"/>
          <w:lang w:val="sv-SE"/>
        </w:rPr>
        <w:t>474 44 05 48</w:t>
      </w:r>
    </w:p>
    <w:p w:rsidR="00B818A3" w:rsidRDefault="00B818A3" w:rsidP="00801FC2">
      <w:pPr>
        <w:tabs>
          <w:tab w:val="left" w:pos="708"/>
        </w:tabs>
        <w:spacing w:after="0" w:line="240" w:lineRule="auto"/>
        <w:jc w:val="both"/>
        <w:rPr>
          <w:color w:val="000000"/>
          <w:kern w:val="24"/>
          <w:sz w:val="16"/>
          <w:szCs w:val="16"/>
          <w:lang w:val="de-DE"/>
        </w:rPr>
      </w:pPr>
    </w:p>
    <w:p w:rsidR="00B818A3" w:rsidRDefault="00B818A3" w:rsidP="00801FC2">
      <w:pPr>
        <w:spacing w:after="0"/>
        <w:jc w:val="both"/>
        <w:rPr>
          <w:sz w:val="18"/>
          <w:szCs w:val="18"/>
          <w:lang w:val="fr-CH" w:eastAsia="fr-CH"/>
        </w:rPr>
      </w:pPr>
      <w:r>
        <w:rPr>
          <w:b/>
          <w:bCs/>
          <w:sz w:val="18"/>
          <w:szCs w:val="18"/>
          <w:lang w:val="fr-CH" w:eastAsia="fr-CH"/>
        </w:rPr>
        <w:t xml:space="preserve">À propos de l’activité Consumer </w:t>
      </w:r>
      <w:proofErr w:type="spellStart"/>
      <w:r>
        <w:rPr>
          <w:b/>
          <w:bCs/>
          <w:sz w:val="18"/>
          <w:szCs w:val="18"/>
          <w:lang w:val="fr-CH" w:eastAsia="fr-CH"/>
        </w:rPr>
        <w:t>Health</w:t>
      </w:r>
      <w:proofErr w:type="spellEnd"/>
      <w:r>
        <w:rPr>
          <w:b/>
          <w:bCs/>
          <w:sz w:val="18"/>
          <w:szCs w:val="18"/>
          <w:lang w:val="fr-CH" w:eastAsia="fr-CH"/>
        </w:rPr>
        <w:t xml:space="preserve"> de </w:t>
      </w:r>
      <w:proofErr w:type="spellStart"/>
      <w:r>
        <w:rPr>
          <w:b/>
          <w:bCs/>
          <w:sz w:val="18"/>
          <w:szCs w:val="18"/>
          <w:lang w:val="fr-CH" w:eastAsia="fr-CH"/>
        </w:rPr>
        <w:t>Merck</w:t>
      </w:r>
      <w:proofErr w:type="spellEnd"/>
      <w:r>
        <w:rPr>
          <w:sz w:val="18"/>
          <w:szCs w:val="18"/>
          <w:lang w:val="fr-CH" w:eastAsia="fr-CH"/>
        </w:rPr>
        <w:t xml:space="preserve"> </w:t>
      </w:r>
    </w:p>
    <w:p w:rsidR="00B818A3" w:rsidRDefault="00B818A3" w:rsidP="00801FC2">
      <w:pPr>
        <w:tabs>
          <w:tab w:val="left" w:pos="708"/>
        </w:tabs>
        <w:spacing w:after="0" w:line="240" w:lineRule="auto"/>
        <w:jc w:val="both"/>
        <w:rPr>
          <w:color w:val="000000"/>
          <w:kern w:val="24"/>
          <w:sz w:val="16"/>
          <w:szCs w:val="16"/>
          <w:lang w:val="nl-NL"/>
        </w:rPr>
      </w:pPr>
      <w:proofErr w:type="spellStart"/>
      <w:r w:rsidRPr="00801FC2">
        <w:rPr>
          <w:color w:val="000000"/>
          <w:kern w:val="24"/>
          <w:sz w:val="16"/>
          <w:szCs w:val="16"/>
          <w:lang w:val="nl-NL"/>
        </w:rPr>
        <w:t>Merck</w:t>
      </w:r>
      <w:proofErr w:type="spellEnd"/>
      <w:r w:rsidRPr="00801FC2">
        <w:rPr>
          <w:color w:val="000000"/>
          <w:kern w:val="24"/>
          <w:sz w:val="16"/>
          <w:szCs w:val="16"/>
          <w:lang w:val="nl-NL"/>
        </w:rPr>
        <w:t xml:space="preserve"> est un chef de file qui fabrique des produits novateurs de haute technologie et de qualité supérieure, dans le domaine des soins de santé, des sciences de la vie et des matériaux hautes performances. La société possède six activités - </w:t>
      </w:r>
      <w:proofErr w:type="spellStart"/>
      <w:r w:rsidRPr="00801FC2">
        <w:rPr>
          <w:color w:val="000000"/>
          <w:kern w:val="24"/>
          <w:sz w:val="16"/>
          <w:szCs w:val="16"/>
          <w:lang w:val="nl-NL"/>
        </w:rPr>
        <w:t>Merck</w:t>
      </w:r>
      <w:proofErr w:type="spellEnd"/>
      <w:r w:rsidRPr="00801FC2">
        <w:rPr>
          <w:color w:val="000000"/>
          <w:kern w:val="24"/>
          <w:sz w:val="16"/>
          <w:szCs w:val="16"/>
          <w:lang w:val="nl-NL"/>
        </w:rPr>
        <w:t xml:space="preserve"> </w:t>
      </w:r>
      <w:proofErr w:type="spellStart"/>
      <w:r w:rsidRPr="00801FC2">
        <w:rPr>
          <w:color w:val="000000"/>
          <w:kern w:val="24"/>
          <w:sz w:val="16"/>
          <w:szCs w:val="16"/>
          <w:lang w:val="nl-NL"/>
        </w:rPr>
        <w:t>Serono</w:t>
      </w:r>
      <w:proofErr w:type="spellEnd"/>
      <w:r w:rsidRPr="00801FC2">
        <w:rPr>
          <w:color w:val="000000"/>
          <w:kern w:val="24"/>
          <w:sz w:val="16"/>
          <w:szCs w:val="16"/>
          <w:lang w:val="nl-NL"/>
        </w:rPr>
        <w:t xml:space="preserve">, Consumer </w:t>
      </w:r>
      <w:proofErr w:type="spellStart"/>
      <w:r w:rsidRPr="00801FC2">
        <w:rPr>
          <w:color w:val="000000"/>
          <w:kern w:val="24"/>
          <w:sz w:val="16"/>
          <w:szCs w:val="16"/>
          <w:lang w:val="nl-NL"/>
        </w:rPr>
        <w:t>Health</w:t>
      </w:r>
      <w:proofErr w:type="spellEnd"/>
      <w:r w:rsidRPr="00801FC2">
        <w:rPr>
          <w:color w:val="000000"/>
          <w:kern w:val="24"/>
          <w:sz w:val="16"/>
          <w:szCs w:val="16"/>
          <w:lang w:val="nl-NL"/>
        </w:rPr>
        <w:t xml:space="preserve">, </w:t>
      </w:r>
      <w:proofErr w:type="spellStart"/>
      <w:r w:rsidRPr="00801FC2">
        <w:rPr>
          <w:color w:val="000000"/>
          <w:kern w:val="24"/>
          <w:sz w:val="16"/>
          <w:szCs w:val="16"/>
          <w:lang w:val="nl-NL"/>
        </w:rPr>
        <w:t>Allergopharma</w:t>
      </w:r>
      <w:proofErr w:type="spellEnd"/>
      <w:r w:rsidRPr="00801FC2">
        <w:rPr>
          <w:color w:val="000000"/>
          <w:kern w:val="24"/>
          <w:sz w:val="16"/>
          <w:szCs w:val="16"/>
          <w:lang w:val="nl-NL"/>
        </w:rPr>
        <w:t xml:space="preserve">, </w:t>
      </w:r>
      <w:proofErr w:type="spellStart"/>
      <w:r w:rsidRPr="00801FC2">
        <w:rPr>
          <w:color w:val="000000"/>
          <w:kern w:val="24"/>
          <w:sz w:val="16"/>
          <w:szCs w:val="16"/>
          <w:lang w:val="nl-NL"/>
        </w:rPr>
        <w:t>Biosimilars</w:t>
      </w:r>
      <w:proofErr w:type="spellEnd"/>
      <w:r w:rsidRPr="00801FC2">
        <w:rPr>
          <w:color w:val="000000"/>
          <w:kern w:val="24"/>
          <w:sz w:val="16"/>
          <w:szCs w:val="16"/>
          <w:lang w:val="nl-NL"/>
        </w:rPr>
        <w:t xml:space="preserve">, </w:t>
      </w:r>
      <w:proofErr w:type="spellStart"/>
      <w:r w:rsidRPr="00801FC2">
        <w:rPr>
          <w:color w:val="000000"/>
          <w:kern w:val="24"/>
          <w:sz w:val="16"/>
          <w:szCs w:val="16"/>
          <w:lang w:val="nl-NL"/>
        </w:rPr>
        <w:t>Merck</w:t>
      </w:r>
      <w:proofErr w:type="spellEnd"/>
      <w:r w:rsidRPr="00801FC2">
        <w:rPr>
          <w:color w:val="000000"/>
          <w:kern w:val="24"/>
          <w:sz w:val="16"/>
          <w:szCs w:val="16"/>
          <w:lang w:val="nl-NL"/>
        </w:rPr>
        <w:t xml:space="preserve"> Millipore et Performance </w:t>
      </w:r>
      <w:proofErr w:type="spellStart"/>
      <w:r w:rsidRPr="00801FC2">
        <w:rPr>
          <w:color w:val="000000"/>
          <w:kern w:val="24"/>
          <w:sz w:val="16"/>
          <w:szCs w:val="16"/>
          <w:lang w:val="nl-NL"/>
        </w:rPr>
        <w:t>Materials</w:t>
      </w:r>
      <w:proofErr w:type="spellEnd"/>
      <w:r w:rsidRPr="00801FC2">
        <w:rPr>
          <w:color w:val="000000"/>
          <w:kern w:val="24"/>
          <w:sz w:val="16"/>
          <w:szCs w:val="16"/>
          <w:lang w:val="nl-NL"/>
        </w:rPr>
        <w:t xml:space="preserve"> – et a généré des ventes d’environ 11,3 milliards d’euros en 2014. Environ 39.000 employés travaillent pour </w:t>
      </w:r>
      <w:proofErr w:type="spellStart"/>
      <w:r w:rsidRPr="00801FC2">
        <w:rPr>
          <w:color w:val="000000"/>
          <w:kern w:val="24"/>
          <w:sz w:val="16"/>
          <w:szCs w:val="16"/>
          <w:lang w:val="nl-NL"/>
        </w:rPr>
        <w:t>Merck</w:t>
      </w:r>
      <w:proofErr w:type="spellEnd"/>
      <w:r w:rsidRPr="00801FC2">
        <w:rPr>
          <w:color w:val="000000"/>
          <w:kern w:val="24"/>
          <w:sz w:val="16"/>
          <w:szCs w:val="16"/>
          <w:lang w:val="nl-NL"/>
        </w:rPr>
        <w:t xml:space="preserve"> dans 66 pays pour améliorer la qualité de vie des patients, renforcer la réussite des clients et contribuer à relever les défis mondiaux. </w:t>
      </w:r>
      <w:proofErr w:type="spellStart"/>
      <w:r w:rsidRPr="00801FC2">
        <w:rPr>
          <w:color w:val="000000"/>
          <w:kern w:val="24"/>
          <w:sz w:val="16"/>
          <w:szCs w:val="16"/>
          <w:lang w:val="nl-NL"/>
        </w:rPr>
        <w:t>Merck</w:t>
      </w:r>
      <w:proofErr w:type="spellEnd"/>
      <w:r w:rsidRPr="00801FC2">
        <w:rPr>
          <w:color w:val="000000"/>
          <w:kern w:val="24"/>
          <w:sz w:val="16"/>
          <w:szCs w:val="16"/>
          <w:lang w:val="nl-NL"/>
        </w:rPr>
        <w:t xml:space="preserve"> est la plus ancienne société pharmaceutique et chimique au monde - depuis 1668, la société représente l’innovation, la réussite commerciale et l’entrepreneuriat responsable. La famille fondatrice, détentrice à hauteur d’environ 70 %, demeure à ce jour le propriétaire majoritaire de la société. </w:t>
      </w:r>
      <w:proofErr w:type="spellStart"/>
      <w:r w:rsidRPr="00801FC2">
        <w:rPr>
          <w:color w:val="000000"/>
          <w:kern w:val="24"/>
          <w:sz w:val="16"/>
          <w:szCs w:val="16"/>
          <w:lang w:val="nl-NL"/>
        </w:rPr>
        <w:t>Merck</w:t>
      </w:r>
      <w:proofErr w:type="spellEnd"/>
      <w:r w:rsidRPr="00801FC2">
        <w:rPr>
          <w:color w:val="000000"/>
          <w:kern w:val="24"/>
          <w:sz w:val="16"/>
          <w:szCs w:val="16"/>
          <w:lang w:val="nl-NL"/>
        </w:rPr>
        <w:t xml:space="preserve">, de Darmstadt, en Allemagne, détient les droits mondiaux pour le nom et la marque </w:t>
      </w:r>
      <w:proofErr w:type="spellStart"/>
      <w:r w:rsidRPr="00801FC2">
        <w:rPr>
          <w:color w:val="000000"/>
          <w:kern w:val="24"/>
          <w:sz w:val="16"/>
          <w:szCs w:val="16"/>
          <w:lang w:val="nl-NL"/>
        </w:rPr>
        <w:t>Merck</w:t>
      </w:r>
      <w:proofErr w:type="spellEnd"/>
      <w:r w:rsidRPr="00801FC2">
        <w:rPr>
          <w:color w:val="000000"/>
          <w:kern w:val="24"/>
          <w:sz w:val="16"/>
          <w:szCs w:val="16"/>
          <w:lang w:val="nl-NL"/>
        </w:rPr>
        <w:t xml:space="preserve">. Les uniques exceptions sont le Canada et les États-Unis, pays dans lesquels la société opère sous les appellations EMD </w:t>
      </w:r>
      <w:proofErr w:type="spellStart"/>
      <w:r w:rsidRPr="00801FC2">
        <w:rPr>
          <w:color w:val="000000"/>
          <w:kern w:val="24"/>
          <w:sz w:val="16"/>
          <w:szCs w:val="16"/>
          <w:lang w:val="nl-NL"/>
        </w:rPr>
        <w:t>Serono</w:t>
      </w:r>
      <w:proofErr w:type="spellEnd"/>
      <w:r w:rsidRPr="00801FC2">
        <w:rPr>
          <w:color w:val="000000"/>
          <w:kern w:val="24"/>
          <w:sz w:val="16"/>
          <w:szCs w:val="16"/>
          <w:lang w:val="nl-NL"/>
        </w:rPr>
        <w:t xml:space="preserve">, EMD Millipore et EMD Performance </w:t>
      </w:r>
      <w:proofErr w:type="spellStart"/>
      <w:r w:rsidRPr="00801FC2">
        <w:rPr>
          <w:color w:val="000000"/>
          <w:kern w:val="24"/>
          <w:sz w:val="16"/>
          <w:szCs w:val="16"/>
          <w:lang w:val="nl-NL"/>
        </w:rPr>
        <w:t>Materials</w:t>
      </w:r>
      <w:proofErr w:type="spellEnd"/>
      <w:r w:rsidRPr="00801FC2">
        <w:rPr>
          <w:color w:val="000000"/>
          <w:kern w:val="24"/>
          <w:sz w:val="16"/>
          <w:szCs w:val="16"/>
          <w:lang w:val="nl-NL"/>
        </w:rPr>
        <w:t xml:space="preserve">. </w:t>
      </w:r>
    </w:p>
    <w:p w:rsidR="00801FC2" w:rsidRPr="00801FC2" w:rsidRDefault="00801FC2" w:rsidP="00801FC2">
      <w:pPr>
        <w:tabs>
          <w:tab w:val="left" w:pos="708"/>
        </w:tabs>
        <w:spacing w:after="0" w:line="240" w:lineRule="auto"/>
        <w:jc w:val="both"/>
        <w:rPr>
          <w:color w:val="000000"/>
          <w:kern w:val="24"/>
          <w:sz w:val="16"/>
          <w:szCs w:val="16"/>
          <w:lang w:val="nl-NL"/>
        </w:rPr>
      </w:pPr>
    </w:p>
    <w:p w:rsidR="00546E99" w:rsidRPr="00801FC2" w:rsidRDefault="00546E99" w:rsidP="00801FC2">
      <w:pPr>
        <w:tabs>
          <w:tab w:val="left" w:pos="708"/>
        </w:tabs>
        <w:spacing w:after="0" w:line="240" w:lineRule="auto"/>
        <w:jc w:val="both"/>
        <w:rPr>
          <w:color w:val="000000"/>
          <w:kern w:val="24"/>
          <w:sz w:val="16"/>
          <w:szCs w:val="16"/>
          <w:lang w:val="nl-NL"/>
        </w:rPr>
      </w:pPr>
      <w:r w:rsidRPr="00801FC2">
        <w:rPr>
          <w:color w:val="000000"/>
          <w:kern w:val="24"/>
          <w:sz w:val="16"/>
          <w:szCs w:val="16"/>
        </w:rPr>
        <w:t xml:space="preserve">Les marques de l’activité Consumer </w:t>
      </w:r>
      <w:proofErr w:type="spellStart"/>
      <w:r w:rsidRPr="00801FC2">
        <w:rPr>
          <w:color w:val="000000"/>
          <w:kern w:val="24"/>
          <w:sz w:val="16"/>
          <w:szCs w:val="16"/>
        </w:rPr>
        <w:t>Health</w:t>
      </w:r>
      <w:proofErr w:type="spellEnd"/>
      <w:r w:rsidRPr="00801FC2">
        <w:rPr>
          <w:color w:val="000000"/>
          <w:kern w:val="24"/>
          <w:sz w:val="16"/>
          <w:szCs w:val="16"/>
        </w:rPr>
        <w:t xml:space="preserve"> de </w:t>
      </w:r>
      <w:proofErr w:type="spellStart"/>
      <w:r w:rsidRPr="00801FC2">
        <w:rPr>
          <w:color w:val="000000"/>
          <w:kern w:val="24"/>
          <w:sz w:val="16"/>
          <w:szCs w:val="16"/>
        </w:rPr>
        <w:t>Merck</w:t>
      </w:r>
      <w:proofErr w:type="spellEnd"/>
      <w:r w:rsidRPr="00801FC2">
        <w:rPr>
          <w:color w:val="000000"/>
          <w:kern w:val="24"/>
          <w:sz w:val="16"/>
          <w:szCs w:val="16"/>
        </w:rPr>
        <w:t xml:space="preserve">, telles </w:t>
      </w:r>
      <w:proofErr w:type="spellStart"/>
      <w:r w:rsidRPr="00801FC2">
        <w:rPr>
          <w:color w:val="000000"/>
          <w:kern w:val="24"/>
          <w:sz w:val="16"/>
          <w:szCs w:val="16"/>
        </w:rPr>
        <w:t>Neurobion</w:t>
      </w:r>
      <w:proofErr w:type="spellEnd"/>
      <w:r w:rsidRPr="00801FC2">
        <w:rPr>
          <w:color w:val="000000"/>
          <w:kern w:val="24"/>
          <w:sz w:val="16"/>
          <w:szCs w:val="16"/>
        </w:rPr>
        <w:t xml:space="preserve">®, Omnibionta®3, </w:t>
      </w:r>
      <w:proofErr w:type="spellStart"/>
      <w:r w:rsidRPr="00801FC2">
        <w:rPr>
          <w:color w:val="000000"/>
          <w:kern w:val="24"/>
          <w:sz w:val="16"/>
          <w:szCs w:val="16"/>
        </w:rPr>
        <w:t>Omnibionta</w:t>
      </w:r>
      <w:proofErr w:type="spellEnd"/>
      <w:r w:rsidRPr="00801FC2">
        <w:rPr>
          <w:color w:val="000000"/>
          <w:kern w:val="24"/>
          <w:sz w:val="16"/>
          <w:szCs w:val="16"/>
        </w:rPr>
        <w:t xml:space="preserve">® </w:t>
      </w:r>
      <w:proofErr w:type="spellStart"/>
      <w:r w:rsidRPr="00801FC2">
        <w:rPr>
          <w:color w:val="000000"/>
          <w:kern w:val="24"/>
          <w:sz w:val="16"/>
          <w:szCs w:val="16"/>
        </w:rPr>
        <w:t>Pronatal</w:t>
      </w:r>
      <w:proofErr w:type="spellEnd"/>
      <w:r w:rsidRPr="00801FC2">
        <w:rPr>
          <w:color w:val="000000"/>
          <w:kern w:val="24"/>
          <w:sz w:val="16"/>
          <w:szCs w:val="16"/>
        </w:rPr>
        <w:t xml:space="preserve">, </w:t>
      </w:r>
      <w:proofErr w:type="spellStart"/>
      <w:r w:rsidRPr="00801FC2">
        <w:rPr>
          <w:color w:val="000000"/>
          <w:kern w:val="24"/>
          <w:sz w:val="16"/>
          <w:szCs w:val="16"/>
        </w:rPr>
        <w:t>Nesivine</w:t>
      </w:r>
      <w:proofErr w:type="spellEnd"/>
      <w:r w:rsidRPr="00801FC2">
        <w:rPr>
          <w:color w:val="000000"/>
          <w:kern w:val="24"/>
          <w:sz w:val="16"/>
          <w:szCs w:val="16"/>
        </w:rPr>
        <w:t xml:space="preserve">® et Uri-Cran®, sont des chefs de file novateurs dans des marchés clés, soutenus par la recherche scientifique et auxquels les consommateurs du monde entier font confiance. </w:t>
      </w:r>
      <w:proofErr w:type="spellStart"/>
      <w:r w:rsidRPr="00801FC2">
        <w:rPr>
          <w:color w:val="000000"/>
          <w:kern w:val="24"/>
          <w:sz w:val="16"/>
          <w:szCs w:val="16"/>
          <w:lang w:val="nl-NL"/>
        </w:rPr>
        <w:t>L’activité</w:t>
      </w:r>
      <w:proofErr w:type="spellEnd"/>
      <w:r w:rsidRPr="00801FC2">
        <w:rPr>
          <w:color w:val="000000"/>
          <w:kern w:val="24"/>
          <w:sz w:val="16"/>
          <w:szCs w:val="16"/>
          <w:lang w:val="nl-NL"/>
        </w:rPr>
        <w:t xml:space="preserve"> Consumer Health </w:t>
      </w:r>
      <w:proofErr w:type="spellStart"/>
      <w:r w:rsidRPr="00801FC2">
        <w:rPr>
          <w:color w:val="000000"/>
          <w:kern w:val="24"/>
          <w:sz w:val="16"/>
          <w:szCs w:val="16"/>
          <w:lang w:val="nl-NL"/>
        </w:rPr>
        <w:t>emploie</w:t>
      </w:r>
      <w:proofErr w:type="spellEnd"/>
      <w:r w:rsidRPr="00801FC2">
        <w:rPr>
          <w:color w:val="000000"/>
          <w:kern w:val="24"/>
          <w:sz w:val="16"/>
          <w:szCs w:val="16"/>
          <w:lang w:val="nl-NL"/>
        </w:rPr>
        <w:t xml:space="preserve"> plus de 2.600 collaborateurs à travers le monde, dans plus de 40 marchés. Depuis 2014, le portefeuille de la société inclut des marques dont les ventes annuelles totales atteignent environ 1 milliard de dollars. La division Consumer </w:t>
      </w:r>
      <w:proofErr w:type="spellStart"/>
      <w:r w:rsidRPr="00801FC2">
        <w:rPr>
          <w:color w:val="000000"/>
          <w:kern w:val="24"/>
          <w:sz w:val="16"/>
          <w:szCs w:val="16"/>
          <w:lang w:val="nl-NL"/>
        </w:rPr>
        <w:t>Health</w:t>
      </w:r>
      <w:proofErr w:type="spellEnd"/>
      <w:r w:rsidRPr="00801FC2">
        <w:rPr>
          <w:color w:val="000000"/>
          <w:kern w:val="24"/>
          <w:sz w:val="16"/>
          <w:szCs w:val="16"/>
          <w:lang w:val="nl-NL"/>
        </w:rPr>
        <w:t xml:space="preserve"> est une activité appartenant au secteur commercial des Soins de santé, au sein du Groupe </w:t>
      </w:r>
      <w:proofErr w:type="spellStart"/>
      <w:r w:rsidRPr="00801FC2">
        <w:rPr>
          <w:color w:val="000000"/>
          <w:kern w:val="24"/>
          <w:sz w:val="16"/>
          <w:szCs w:val="16"/>
          <w:lang w:val="nl-NL"/>
        </w:rPr>
        <w:t>Merck</w:t>
      </w:r>
      <w:proofErr w:type="spellEnd"/>
      <w:r w:rsidRPr="00801FC2">
        <w:rPr>
          <w:color w:val="000000"/>
          <w:kern w:val="24"/>
          <w:sz w:val="16"/>
          <w:szCs w:val="16"/>
          <w:lang w:val="nl-NL"/>
        </w:rPr>
        <w:t xml:space="preserve">, dont le siège social se trouve à Darmstadt, en Allemagne. Pour plus d’informations, rendez-vous sur </w:t>
      </w:r>
      <w:hyperlink r:id="rId11" w:tgtFrame="_blank" w:history="1">
        <w:r w:rsidRPr="00801FC2">
          <w:rPr>
            <w:color w:val="000000"/>
            <w:kern w:val="24"/>
            <w:sz w:val="16"/>
            <w:szCs w:val="16"/>
            <w:lang w:val="nl-NL"/>
          </w:rPr>
          <w:t>www.meck-consumer-health.com</w:t>
        </w:r>
      </w:hyperlink>
      <w:r w:rsidRPr="00801FC2">
        <w:rPr>
          <w:color w:val="000000"/>
          <w:kern w:val="24"/>
          <w:sz w:val="16"/>
          <w:szCs w:val="16"/>
          <w:lang w:val="nl-NL"/>
        </w:rPr>
        <w:t xml:space="preserve"> </w:t>
      </w:r>
    </w:p>
    <w:p w:rsidR="00546E99" w:rsidRDefault="00546E99" w:rsidP="00801FC2">
      <w:pPr>
        <w:spacing w:after="0"/>
        <w:jc w:val="both"/>
        <w:rPr>
          <w:sz w:val="18"/>
          <w:szCs w:val="18"/>
          <w:lang w:val="fr-CH" w:eastAsia="fr-CH"/>
        </w:rPr>
      </w:pPr>
    </w:p>
    <w:p w:rsidR="00B818A3" w:rsidRPr="00B818A3" w:rsidRDefault="00B818A3" w:rsidP="00801FC2">
      <w:pPr>
        <w:spacing w:after="0"/>
        <w:rPr>
          <w:sz w:val="18"/>
          <w:szCs w:val="18"/>
          <w:lang w:val="fr-CH"/>
        </w:rPr>
      </w:pPr>
    </w:p>
    <w:p w:rsidR="00225F97" w:rsidRDefault="00225F97" w:rsidP="00801FC2">
      <w:pPr>
        <w:spacing w:after="0"/>
      </w:pPr>
    </w:p>
    <w:sectPr w:rsidR="00225F9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FC2" w:rsidRDefault="00801FC2" w:rsidP="005C63CE">
      <w:pPr>
        <w:spacing w:after="0" w:line="240" w:lineRule="auto"/>
      </w:pPr>
      <w:r>
        <w:separator/>
      </w:r>
    </w:p>
  </w:endnote>
  <w:endnote w:type="continuationSeparator" w:id="0">
    <w:p w:rsidR="00801FC2" w:rsidRDefault="00801FC2" w:rsidP="005C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FC2" w:rsidRDefault="00801FC2" w:rsidP="005C63CE">
      <w:pPr>
        <w:spacing w:after="0" w:line="240" w:lineRule="auto"/>
      </w:pPr>
      <w:r>
        <w:separator/>
      </w:r>
    </w:p>
  </w:footnote>
  <w:footnote w:type="continuationSeparator" w:id="0">
    <w:p w:rsidR="00801FC2" w:rsidRDefault="00801FC2" w:rsidP="005C63CE">
      <w:pPr>
        <w:spacing w:after="0" w:line="240" w:lineRule="auto"/>
      </w:pPr>
      <w:r>
        <w:continuationSeparator/>
      </w:r>
    </w:p>
  </w:footnote>
  <w:footnote w:id="1">
    <w:p w:rsidR="00801FC2" w:rsidRPr="000C2E77" w:rsidRDefault="00801FC2">
      <w:pPr>
        <w:pStyle w:val="FootnoteText"/>
        <w:rPr>
          <w:sz w:val="18"/>
          <w:lang w:val="en-US"/>
        </w:rPr>
      </w:pPr>
      <w:r w:rsidRPr="000C2E77">
        <w:rPr>
          <w:rStyle w:val="FootnoteReference"/>
          <w:sz w:val="18"/>
        </w:rPr>
        <w:footnoteRef/>
      </w:r>
      <w:r w:rsidRPr="000C2E77">
        <w:rPr>
          <w:sz w:val="18"/>
        </w:rPr>
        <w:t xml:space="preserve"> ONE. (2006). </w:t>
      </w:r>
      <w:r w:rsidRPr="000C2E77">
        <w:rPr>
          <w:i/>
          <w:sz w:val="18"/>
        </w:rPr>
        <w:t>Faire des réserves avant la conception !</w:t>
      </w:r>
      <w:r w:rsidRPr="000C2E77">
        <w:rPr>
          <w:sz w:val="18"/>
        </w:rPr>
        <w:t xml:space="preserve"> </w:t>
      </w:r>
      <w:r>
        <w:rPr>
          <w:sz w:val="18"/>
          <w:lang w:val="en-US"/>
        </w:rPr>
        <w:t>Retrieved July 18, 2016, from</w:t>
      </w:r>
      <w:r w:rsidRPr="000C2E77">
        <w:rPr>
          <w:sz w:val="18"/>
          <w:lang w:val="en-US"/>
        </w:rPr>
        <w:t xml:space="preserve"> </w:t>
      </w:r>
      <w:hyperlink r:id="rId1" w:history="1">
        <w:r w:rsidRPr="000C2E77">
          <w:rPr>
            <w:rStyle w:val="Hyperlink"/>
            <w:sz w:val="18"/>
            <w:lang w:val="en-US"/>
          </w:rPr>
          <w:t>https://www.uclouvain.be/cps/ucl/doc/bpsp/documents/Bibliographie_APA_F_13doi.pdf</w:t>
        </w:r>
      </w:hyperlink>
    </w:p>
  </w:footnote>
  <w:footnote w:id="2">
    <w:p w:rsidR="00801FC2" w:rsidRPr="00801FC2" w:rsidRDefault="00801FC2">
      <w:pPr>
        <w:pStyle w:val="FootnoteText"/>
        <w:rPr>
          <w:sz w:val="18"/>
          <w:lang w:val="en-US"/>
        </w:rPr>
      </w:pPr>
      <w:r w:rsidRPr="00801FC2">
        <w:rPr>
          <w:rStyle w:val="FootnoteReference"/>
          <w:sz w:val="18"/>
        </w:rPr>
        <w:footnoteRef/>
      </w:r>
      <w:r w:rsidRPr="00801FC2">
        <w:rPr>
          <w:sz w:val="18"/>
          <w:lang w:val="nl-NL"/>
        </w:rPr>
        <w:t xml:space="preserve"> </w:t>
      </w:r>
      <w:r w:rsidRPr="00801FC2">
        <w:rPr>
          <w:sz w:val="14"/>
          <w:lang w:val="nl-BE"/>
        </w:rPr>
        <w:t xml:space="preserve">Hoge Gezondheidsraad: </w:t>
      </w:r>
      <w:r w:rsidRPr="00801FC2">
        <w:rPr>
          <w:i/>
          <w:sz w:val="14"/>
          <w:lang w:val="nl-BE"/>
        </w:rPr>
        <w:t xml:space="preserve">Advies van de Hoge Gezondheidsraad nr. 9213: Voedingssupplementen op basis van de combinatie van vitamine B12 en Foliumzuur. </w:t>
      </w:r>
      <w:r w:rsidRPr="00801FC2">
        <w:rPr>
          <w:sz w:val="14"/>
          <w:lang w:val="en-US"/>
        </w:rPr>
        <w:t xml:space="preserve">(2014). Retrieved July 18, 2016, from </w:t>
      </w:r>
      <w:hyperlink r:id="rId2" w:history="1">
        <w:r w:rsidRPr="00801FC2">
          <w:rPr>
            <w:rStyle w:val="Hyperlink"/>
            <w:sz w:val="14"/>
            <w:lang w:val="en-US"/>
          </w:rPr>
          <w:t>http://health.belgium.be/internet2Prd/groups/public/@public/@shc/documents/ie2divers/19074139.pdf</w:t>
        </w:r>
      </w:hyperlink>
      <w:r w:rsidRPr="00801FC2">
        <w:rPr>
          <w:rStyle w:val="Hyperlink"/>
          <w:sz w:val="14"/>
          <w:lang w:val="en-US"/>
        </w:rPr>
        <w:t>.</w:t>
      </w:r>
    </w:p>
  </w:footnote>
  <w:footnote w:id="3">
    <w:p w:rsidR="00801FC2" w:rsidRPr="00801FC2" w:rsidRDefault="00801FC2">
      <w:pPr>
        <w:pStyle w:val="FootnoteText"/>
        <w:rPr>
          <w:sz w:val="18"/>
          <w:lang w:val="en-US"/>
        </w:rPr>
      </w:pPr>
      <w:r w:rsidRPr="00801FC2">
        <w:rPr>
          <w:rStyle w:val="FootnoteReference"/>
          <w:sz w:val="18"/>
        </w:rPr>
        <w:footnoteRef/>
      </w:r>
      <w:r w:rsidRPr="00801FC2">
        <w:rPr>
          <w:sz w:val="18"/>
          <w:lang w:val="nl-NL"/>
        </w:rPr>
        <w:t xml:space="preserve"> </w:t>
      </w:r>
      <w:proofErr w:type="spellStart"/>
      <w:r w:rsidRPr="00801FC2">
        <w:rPr>
          <w:sz w:val="14"/>
          <w:lang w:val="nl-BE"/>
        </w:rPr>
        <w:t>Teh</w:t>
      </w:r>
      <w:proofErr w:type="spellEnd"/>
      <w:r w:rsidRPr="00801FC2">
        <w:rPr>
          <w:sz w:val="14"/>
          <w:lang w:val="nl-BE"/>
        </w:rPr>
        <w:t xml:space="preserve"> AL et al. </w:t>
      </w:r>
      <w:proofErr w:type="spellStart"/>
      <w:r w:rsidRPr="00801FC2">
        <w:rPr>
          <w:sz w:val="14"/>
          <w:lang w:val="nl-BE"/>
        </w:rPr>
        <w:t>Genome</w:t>
      </w:r>
      <w:proofErr w:type="spellEnd"/>
      <w:r w:rsidRPr="00801FC2">
        <w:rPr>
          <w:sz w:val="14"/>
          <w:lang w:val="nl-BE"/>
        </w:rPr>
        <w:t xml:space="preserve"> </w:t>
      </w:r>
      <w:proofErr w:type="spellStart"/>
      <w:r w:rsidRPr="00801FC2">
        <w:rPr>
          <w:sz w:val="14"/>
          <w:lang w:val="nl-BE"/>
        </w:rPr>
        <w:t>Res</w:t>
      </w:r>
      <w:proofErr w:type="spellEnd"/>
      <w:r w:rsidRPr="00801FC2">
        <w:rPr>
          <w:sz w:val="14"/>
          <w:lang w:val="nl-BE"/>
        </w:rPr>
        <w:t xml:space="preserve">. 2014. </w:t>
      </w:r>
      <w:r w:rsidRPr="00801FC2">
        <w:rPr>
          <w:sz w:val="14"/>
          <w:lang w:val="en-US"/>
        </w:rPr>
        <w:t>24: 1064-1074.</w:t>
      </w:r>
    </w:p>
  </w:footnote>
  <w:footnote w:id="4">
    <w:p w:rsidR="00801FC2" w:rsidRPr="00801FC2" w:rsidRDefault="00801FC2">
      <w:pPr>
        <w:pStyle w:val="FootnoteText"/>
        <w:rPr>
          <w:sz w:val="18"/>
          <w:lang w:val="en-US"/>
        </w:rPr>
      </w:pPr>
      <w:r w:rsidRPr="00801FC2">
        <w:rPr>
          <w:rStyle w:val="FootnoteReference"/>
          <w:sz w:val="18"/>
        </w:rPr>
        <w:footnoteRef/>
      </w:r>
      <w:r w:rsidRPr="00801FC2">
        <w:rPr>
          <w:sz w:val="18"/>
          <w:lang w:val="en-US"/>
        </w:rPr>
        <w:t xml:space="preserve"> </w:t>
      </w:r>
      <w:proofErr w:type="spellStart"/>
      <w:r w:rsidRPr="00801FC2">
        <w:rPr>
          <w:sz w:val="14"/>
          <w:lang w:val="en-US"/>
        </w:rPr>
        <w:t>Cavalli</w:t>
      </w:r>
      <w:proofErr w:type="spellEnd"/>
      <w:r w:rsidRPr="00801FC2">
        <w:rPr>
          <w:sz w:val="14"/>
          <w:lang w:val="en-US"/>
        </w:rPr>
        <w:t xml:space="preserve">, P. (2008). Prevention of Neural Tube Defects and proper </w:t>
      </w:r>
      <w:proofErr w:type="spellStart"/>
      <w:r w:rsidRPr="00801FC2">
        <w:rPr>
          <w:sz w:val="14"/>
          <w:lang w:val="en-US"/>
        </w:rPr>
        <w:t>folate</w:t>
      </w:r>
      <w:proofErr w:type="spellEnd"/>
      <w:r w:rsidRPr="00801FC2">
        <w:rPr>
          <w:sz w:val="14"/>
          <w:lang w:val="en-US"/>
        </w:rPr>
        <w:t xml:space="preserve"> </w:t>
      </w:r>
      <w:proofErr w:type="spellStart"/>
      <w:r w:rsidRPr="00801FC2">
        <w:rPr>
          <w:sz w:val="14"/>
          <w:lang w:val="en-US"/>
        </w:rPr>
        <w:t>periconceptional</w:t>
      </w:r>
      <w:proofErr w:type="spellEnd"/>
      <w:r w:rsidRPr="00801FC2">
        <w:rPr>
          <w:sz w:val="14"/>
          <w:lang w:val="en-US"/>
        </w:rPr>
        <w:t xml:space="preserve"> supplementation. </w:t>
      </w:r>
      <w:r w:rsidRPr="00801FC2">
        <w:rPr>
          <w:i/>
          <w:sz w:val="14"/>
          <w:lang w:val="en-US"/>
        </w:rPr>
        <w:t xml:space="preserve">Journal of Prenatal </w:t>
      </w:r>
      <w:proofErr w:type="spellStart"/>
      <w:r w:rsidRPr="00801FC2">
        <w:rPr>
          <w:i/>
          <w:sz w:val="14"/>
          <w:lang w:val="en-US"/>
        </w:rPr>
        <w:t>Medecin</w:t>
      </w:r>
      <w:proofErr w:type="spellEnd"/>
      <w:r w:rsidRPr="00801FC2">
        <w:rPr>
          <w:sz w:val="14"/>
          <w:lang w:val="en-US"/>
        </w:rPr>
        <w:t xml:space="preserve">, </w:t>
      </w:r>
      <w:r w:rsidRPr="00801FC2">
        <w:rPr>
          <w:rFonts w:cs="Arial"/>
          <w:color w:val="000000"/>
          <w:sz w:val="14"/>
          <w:szCs w:val="16"/>
          <w:shd w:val="clear" w:color="auto" w:fill="FFFFFF"/>
          <w:lang w:val="en-US"/>
        </w:rPr>
        <w:t>2(4), 40–41.</w:t>
      </w:r>
    </w:p>
  </w:footnote>
  <w:footnote w:id="5">
    <w:p w:rsidR="00801FC2" w:rsidRPr="00801FC2" w:rsidRDefault="00801FC2">
      <w:pPr>
        <w:pStyle w:val="FootnoteText"/>
        <w:rPr>
          <w:sz w:val="18"/>
          <w:lang w:val="nl-BE"/>
        </w:rPr>
      </w:pPr>
      <w:r w:rsidRPr="00801FC2">
        <w:rPr>
          <w:rStyle w:val="FootnoteReference"/>
          <w:sz w:val="18"/>
        </w:rPr>
        <w:footnoteRef/>
      </w:r>
      <w:r w:rsidRPr="00801FC2">
        <w:rPr>
          <w:sz w:val="18"/>
          <w:lang w:val="en-US"/>
        </w:rPr>
        <w:t xml:space="preserve"> </w:t>
      </w:r>
      <w:proofErr w:type="spellStart"/>
      <w:r w:rsidRPr="00801FC2">
        <w:rPr>
          <w:sz w:val="14"/>
          <w:lang w:val="en-US"/>
        </w:rPr>
        <w:t>Cavalli</w:t>
      </w:r>
      <w:proofErr w:type="spellEnd"/>
      <w:r w:rsidRPr="00801FC2">
        <w:rPr>
          <w:sz w:val="14"/>
          <w:lang w:val="en-US"/>
        </w:rPr>
        <w:t xml:space="preserve">, P. (2008). Prevention of Neural Tube Defects and proper </w:t>
      </w:r>
      <w:proofErr w:type="spellStart"/>
      <w:r w:rsidRPr="00801FC2">
        <w:rPr>
          <w:sz w:val="14"/>
          <w:lang w:val="en-US"/>
        </w:rPr>
        <w:t>folate</w:t>
      </w:r>
      <w:proofErr w:type="spellEnd"/>
      <w:r w:rsidRPr="00801FC2">
        <w:rPr>
          <w:sz w:val="14"/>
          <w:lang w:val="en-US"/>
        </w:rPr>
        <w:t xml:space="preserve"> </w:t>
      </w:r>
      <w:proofErr w:type="spellStart"/>
      <w:r w:rsidRPr="00801FC2">
        <w:rPr>
          <w:sz w:val="14"/>
          <w:lang w:val="en-US"/>
        </w:rPr>
        <w:t>periconceptional</w:t>
      </w:r>
      <w:proofErr w:type="spellEnd"/>
      <w:r w:rsidRPr="00801FC2">
        <w:rPr>
          <w:sz w:val="14"/>
          <w:lang w:val="en-US"/>
        </w:rPr>
        <w:t xml:space="preserve"> supplementation. </w:t>
      </w:r>
      <w:r w:rsidRPr="00801FC2">
        <w:rPr>
          <w:i/>
          <w:sz w:val="14"/>
          <w:lang w:val="nl-NL"/>
        </w:rPr>
        <w:t xml:space="preserve">Journal of </w:t>
      </w:r>
      <w:proofErr w:type="spellStart"/>
      <w:r w:rsidRPr="00801FC2">
        <w:rPr>
          <w:i/>
          <w:sz w:val="14"/>
          <w:lang w:val="nl-NL"/>
        </w:rPr>
        <w:t>Prenatal</w:t>
      </w:r>
      <w:proofErr w:type="spellEnd"/>
      <w:r w:rsidRPr="00801FC2">
        <w:rPr>
          <w:i/>
          <w:sz w:val="14"/>
          <w:lang w:val="nl-NL"/>
        </w:rPr>
        <w:t xml:space="preserve"> </w:t>
      </w:r>
      <w:proofErr w:type="spellStart"/>
      <w:r w:rsidRPr="00801FC2">
        <w:rPr>
          <w:i/>
          <w:sz w:val="14"/>
          <w:lang w:val="nl-NL"/>
        </w:rPr>
        <w:t>Medecin</w:t>
      </w:r>
      <w:proofErr w:type="spellEnd"/>
      <w:r w:rsidRPr="00801FC2">
        <w:rPr>
          <w:sz w:val="14"/>
          <w:lang w:val="nl-NL"/>
        </w:rPr>
        <w:t xml:space="preserve">, </w:t>
      </w:r>
      <w:r w:rsidRPr="00801FC2">
        <w:rPr>
          <w:rFonts w:cs="Arial"/>
          <w:color w:val="000000"/>
          <w:sz w:val="14"/>
          <w:szCs w:val="16"/>
          <w:shd w:val="clear" w:color="auto" w:fill="FFFFFF"/>
          <w:lang w:val="nl-NL"/>
        </w:rPr>
        <w:t>2(4), 40–41.</w:t>
      </w:r>
    </w:p>
  </w:footnote>
  <w:footnote w:id="6">
    <w:p w:rsidR="00801FC2" w:rsidRPr="00B818A3" w:rsidRDefault="00801FC2">
      <w:pPr>
        <w:pStyle w:val="FootnoteText"/>
        <w:rPr>
          <w:lang w:val="en-US"/>
        </w:rPr>
      </w:pPr>
      <w:r w:rsidRPr="00801FC2">
        <w:rPr>
          <w:rStyle w:val="FootnoteReference"/>
          <w:sz w:val="18"/>
        </w:rPr>
        <w:footnoteRef/>
      </w:r>
      <w:r w:rsidRPr="00801FC2">
        <w:rPr>
          <w:sz w:val="18"/>
          <w:lang w:val="nl-NL"/>
        </w:rPr>
        <w:t xml:space="preserve"> </w:t>
      </w:r>
      <w:r w:rsidRPr="00801FC2">
        <w:rPr>
          <w:sz w:val="14"/>
          <w:lang w:val="nl-NL"/>
        </w:rPr>
        <w:t xml:space="preserve">Hoge Gezondheidsraad : </w:t>
      </w:r>
      <w:r w:rsidRPr="00801FC2">
        <w:rPr>
          <w:i/>
          <w:sz w:val="14"/>
          <w:lang w:val="nl-NL"/>
        </w:rPr>
        <w:t xml:space="preserve">Advies van de Hoge Gezondheidsraad nr. 8623: Foliumzuur Risk-Benefit Analyse. </w:t>
      </w:r>
      <w:r w:rsidRPr="00801FC2">
        <w:rPr>
          <w:sz w:val="14"/>
          <w:lang w:val="en-US"/>
        </w:rPr>
        <w:t xml:space="preserve">(2011). Retrieved July 18, 2016, from </w:t>
      </w:r>
      <w:hyperlink r:id="rId3" w:history="1">
        <w:r w:rsidRPr="00801FC2">
          <w:rPr>
            <w:rStyle w:val="Hyperlink"/>
            <w:sz w:val="14"/>
            <w:lang w:val="en-US"/>
          </w:rPr>
          <w:t>http://www.health.belgium.be/sites/default/files/uploads/fields/fpshealth_theme_file/19074139/Foliumzuur%20-%20Risk-benefit%20analyse%20%28december%202011%29%20%28HGR%208623%29.pdf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C2" w:rsidRDefault="00801FC2" w:rsidP="00801FC2">
    <w:pPr>
      <w:pStyle w:val="Header"/>
      <w:jc w:val="right"/>
    </w:pPr>
    <w:r>
      <w:rPr>
        <w:b/>
        <w:noProof/>
        <w:lang w:val="en-US"/>
      </w:rPr>
      <w:drawing>
        <wp:inline distT="0" distB="0" distL="0" distR="0" wp14:anchorId="47DB8619" wp14:editId="4BB44041">
          <wp:extent cx="951230" cy="316865"/>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168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22526"/>
    <w:multiLevelType w:val="hybridMultilevel"/>
    <w:tmpl w:val="D4763D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23"/>
    <w:rsid w:val="000C2E77"/>
    <w:rsid w:val="001D316D"/>
    <w:rsid w:val="00225F97"/>
    <w:rsid w:val="002C3DFE"/>
    <w:rsid w:val="00357A54"/>
    <w:rsid w:val="003927C8"/>
    <w:rsid w:val="00394258"/>
    <w:rsid w:val="00397F77"/>
    <w:rsid w:val="004328A5"/>
    <w:rsid w:val="0044736E"/>
    <w:rsid w:val="0047271D"/>
    <w:rsid w:val="004A2B41"/>
    <w:rsid w:val="00546E99"/>
    <w:rsid w:val="00546EDA"/>
    <w:rsid w:val="005C63CE"/>
    <w:rsid w:val="00624B4F"/>
    <w:rsid w:val="00626DB5"/>
    <w:rsid w:val="006D45CD"/>
    <w:rsid w:val="00734DA4"/>
    <w:rsid w:val="00752DAA"/>
    <w:rsid w:val="00801FC2"/>
    <w:rsid w:val="00832F23"/>
    <w:rsid w:val="00841BF2"/>
    <w:rsid w:val="0098070A"/>
    <w:rsid w:val="00994C7B"/>
    <w:rsid w:val="00994E69"/>
    <w:rsid w:val="009A0428"/>
    <w:rsid w:val="009B50C5"/>
    <w:rsid w:val="00B818A3"/>
    <w:rsid w:val="00C10239"/>
    <w:rsid w:val="00DF1BAD"/>
    <w:rsid w:val="00F62F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FCC"/>
    <w:rPr>
      <w:rFonts w:ascii="Tahoma" w:hAnsi="Tahoma" w:cs="Tahoma"/>
      <w:sz w:val="16"/>
      <w:szCs w:val="16"/>
    </w:rPr>
  </w:style>
  <w:style w:type="paragraph" w:styleId="ListParagraph">
    <w:name w:val="List Paragraph"/>
    <w:basedOn w:val="Normal"/>
    <w:uiPriority w:val="34"/>
    <w:qFormat/>
    <w:rsid w:val="00F62FCC"/>
    <w:pPr>
      <w:ind w:left="720"/>
      <w:contextualSpacing/>
    </w:pPr>
  </w:style>
  <w:style w:type="paragraph" w:styleId="Header">
    <w:name w:val="header"/>
    <w:basedOn w:val="Normal"/>
    <w:link w:val="HeaderChar"/>
    <w:uiPriority w:val="99"/>
    <w:unhideWhenUsed/>
    <w:rsid w:val="005C63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63CE"/>
  </w:style>
  <w:style w:type="paragraph" w:styleId="Footer">
    <w:name w:val="footer"/>
    <w:basedOn w:val="Normal"/>
    <w:link w:val="FooterChar"/>
    <w:uiPriority w:val="99"/>
    <w:unhideWhenUsed/>
    <w:rsid w:val="005C63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63CE"/>
  </w:style>
  <w:style w:type="paragraph" w:styleId="EndnoteText">
    <w:name w:val="endnote text"/>
    <w:basedOn w:val="Normal"/>
    <w:link w:val="EndnoteTextChar"/>
    <w:uiPriority w:val="99"/>
    <w:semiHidden/>
    <w:unhideWhenUsed/>
    <w:rsid w:val="005C63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63CE"/>
    <w:rPr>
      <w:sz w:val="20"/>
      <w:szCs w:val="20"/>
    </w:rPr>
  </w:style>
  <w:style w:type="character" w:styleId="EndnoteReference">
    <w:name w:val="endnote reference"/>
    <w:basedOn w:val="DefaultParagraphFont"/>
    <w:uiPriority w:val="99"/>
    <w:semiHidden/>
    <w:unhideWhenUsed/>
    <w:rsid w:val="005C63CE"/>
    <w:rPr>
      <w:vertAlign w:val="superscript"/>
    </w:rPr>
  </w:style>
  <w:style w:type="character" w:styleId="Hyperlink">
    <w:name w:val="Hyperlink"/>
    <w:basedOn w:val="DefaultParagraphFont"/>
    <w:uiPriority w:val="99"/>
    <w:unhideWhenUsed/>
    <w:rsid w:val="005C63CE"/>
    <w:rPr>
      <w:color w:val="0000FF" w:themeColor="hyperlink"/>
      <w:u w:val="single"/>
    </w:rPr>
  </w:style>
  <w:style w:type="paragraph" w:styleId="FootnoteText">
    <w:name w:val="footnote text"/>
    <w:basedOn w:val="Normal"/>
    <w:link w:val="FootnoteTextChar"/>
    <w:uiPriority w:val="99"/>
    <w:semiHidden/>
    <w:unhideWhenUsed/>
    <w:rsid w:val="003927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27C8"/>
    <w:rPr>
      <w:sz w:val="20"/>
      <w:szCs w:val="20"/>
    </w:rPr>
  </w:style>
  <w:style w:type="character" w:styleId="FootnoteReference">
    <w:name w:val="footnote reference"/>
    <w:basedOn w:val="DefaultParagraphFont"/>
    <w:uiPriority w:val="99"/>
    <w:semiHidden/>
    <w:unhideWhenUsed/>
    <w:rsid w:val="003927C8"/>
    <w:rPr>
      <w:vertAlign w:val="superscript"/>
    </w:rPr>
  </w:style>
  <w:style w:type="character" w:styleId="FollowedHyperlink">
    <w:name w:val="FollowedHyperlink"/>
    <w:basedOn w:val="DefaultParagraphFont"/>
    <w:uiPriority w:val="99"/>
    <w:semiHidden/>
    <w:unhideWhenUsed/>
    <w:rsid w:val="00801F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FCC"/>
    <w:rPr>
      <w:rFonts w:ascii="Tahoma" w:hAnsi="Tahoma" w:cs="Tahoma"/>
      <w:sz w:val="16"/>
      <w:szCs w:val="16"/>
    </w:rPr>
  </w:style>
  <w:style w:type="paragraph" w:styleId="ListParagraph">
    <w:name w:val="List Paragraph"/>
    <w:basedOn w:val="Normal"/>
    <w:uiPriority w:val="34"/>
    <w:qFormat/>
    <w:rsid w:val="00F62FCC"/>
    <w:pPr>
      <w:ind w:left="720"/>
      <w:contextualSpacing/>
    </w:pPr>
  </w:style>
  <w:style w:type="paragraph" w:styleId="Header">
    <w:name w:val="header"/>
    <w:basedOn w:val="Normal"/>
    <w:link w:val="HeaderChar"/>
    <w:uiPriority w:val="99"/>
    <w:unhideWhenUsed/>
    <w:rsid w:val="005C63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63CE"/>
  </w:style>
  <w:style w:type="paragraph" w:styleId="Footer">
    <w:name w:val="footer"/>
    <w:basedOn w:val="Normal"/>
    <w:link w:val="FooterChar"/>
    <w:uiPriority w:val="99"/>
    <w:unhideWhenUsed/>
    <w:rsid w:val="005C63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63CE"/>
  </w:style>
  <w:style w:type="paragraph" w:styleId="EndnoteText">
    <w:name w:val="endnote text"/>
    <w:basedOn w:val="Normal"/>
    <w:link w:val="EndnoteTextChar"/>
    <w:uiPriority w:val="99"/>
    <w:semiHidden/>
    <w:unhideWhenUsed/>
    <w:rsid w:val="005C63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63CE"/>
    <w:rPr>
      <w:sz w:val="20"/>
      <w:szCs w:val="20"/>
    </w:rPr>
  </w:style>
  <w:style w:type="character" w:styleId="EndnoteReference">
    <w:name w:val="endnote reference"/>
    <w:basedOn w:val="DefaultParagraphFont"/>
    <w:uiPriority w:val="99"/>
    <w:semiHidden/>
    <w:unhideWhenUsed/>
    <w:rsid w:val="005C63CE"/>
    <w:rPr>
      <w:vertAlign w:val="superscript"/>
    </w:rPr>
  </w:style>
  <w:style w:type="character" w:styleId="Hyperlink">
    <w:name w:val="Hyperlink"/>
    <w:basedOn w:val="DefaultParagraphFont"/>
    <w:uiPriority w:val="99"/>
    <w:unhideWhenUsed/>
    <w:rsid w:val="005C63CE"/>
    <w:rPr>
      <w:color w:val="0000FF" w:themeColor="hyperlink"/>
      <w:u w:val="single"/>
    </w:rPr>
  </w:style>
  <w:style w:type="paragraph" w:styleId="FootnoteText">
    <w:name w:val="footnote text"/>
    <w:basedOn w:val="Normal"/>
    <w:link w:val="FootnoteTextChar"/>
    <w:uiPriority w:val="99"/>
    <w:semiHidden/>
    <w:unhideWhenUsed/>
    <w:rsid w:val="003927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27C8"/>
    <w:rPr>
      <w:sz w:val="20"/>
      <w:szCs w:val="20"/>
    </w:rPr>
  </w:style>
  <w:style w:type="character" w:styleId="FootnoteReference">
    <w:name w:val="footnote reference"/>
    <w:basedOn w:val="DefaultParagraphFont"/>
    <w:uiPriority w:val="99"/>
    <w:semiHidden/>
    <w:unhideWhenUsed/>
    <w:rsid w:val="003927C8"/>
    <w:rPr>
      <w:vertAlign w:val="superscript"/>
    </w:rPr>
  </w:style>
  <w:style w:type="character" w:styleId="FollowedHyperlink">
    <w:name w:val="FollowedHyperlink"/>
    <w:basedOn w:val="DefaultParagraphFont"/>
    <w:uiPriority w:val="99"/>
    <w:semiHidden/>
    <w:unhideWhenUsed/>
    <w:rsid w:val="00801F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07427">
      <w:bodyDiv w:val="1"/>
      <w:marLeft w:val="0"/>
      <w:marRight w:val="0"/>
      <w:marTop w:val="0"/>
      <w:marBottom w:val="0"/>
      <w:divBdr>
        <w:top w:val="none" w:sz="0" w:space="0" w:color="auto"/>
        <w:left w:val="none" w:sz="0" w:space="0" w:color="auto"/>
        <w:bottom w:val="none" w:sz="0" w:space="0" w:color="auto"/>
        <w:right w:val="none" w:sz="0" w:space="0" w:color="auto"/>
      </w:divBdr>
    </w:div>
    <w:div w:id="16367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ts.businesswire.com/ct/CT?id=smartlink&amp;url=http%3A%2F%2Fwww.meck-consumer-health.com&amp;esheet=51057497&amp;newsitemid=0&amp;lan=fr-FR&amp;anchor=www.meck-consumer-health.com&amp;index=2&amp;md5=922f6b4d2961e1c08f3aec25e49b2347" TargetMode="External"/><Relationship Id="rId5" Type="http://schemas.openxmlformats.org/officeDocument/2006/relationships/settings" Target="settings.xml"/><Relationship Id="rId10" Type="http://schemas.openxmlformats.org/officeDocument/2006/relationships/hyperlink" Target="mailto:emeskens@webershandwick.com" TargetMode="External"/><Relationship Id="rId4" Type="http://schemas.microsoft.com/office/2007/relationships/stylesWithEffects" Target="stylesWithEffects.xml"/><Relationship Id="rId9" Type="http://schemas.openxmlformats.org/officeDocument/2006/relationships/hyperlink" Target="http://www.omnibiontapronatal.b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health.belgium.be/sites/default/files/uploads/fields/fpshealth_theme_file/19074139/Foliumzuur%20-%20Risk-benefit%20analyse%20%28december%202011%29%20%28HGR%208623%29.pdf" TargetMode="External"/><Relationship Id="rId2" Type="http://schemas.openxmlformats.org/officeDocument/2006/relationships/hyperlink" Target="http://health.belgium.be/internet2Prd/groups/public/@public/@shc/documents/ie2divers/19074139.pdf" TargetMode="External"/><Relationship Id="rId1" Type="http://schemas.openxmlformats.org/officeDocument/2006/relationships/hyperlink" Target="https://www.uclouvain.be/cps/ucl/doc/bpsp/documents/Bibliographie_APA_F_13do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75065-8437-4AC0-BF2E-86E94149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Stockhem, Apolline (BRU-WSW)</dc:creator>
  <cp:lastModifiedBy>Verstappen, Karen (BRU-WSW)</cp:lastModifiedBy>
  <cp:revision>2</cp:revision>
  <dcterms:created xsi:type="dcterms:W3CDTF">2016-08-18T10:05:00Z</dcterms:created>
  <dcterms:modified xsi:type="dcterms:W3CDTF">2016-08-18T10:05:00Z</dcterms:modified>
</cp:coreProperties>
</file>