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233D0" w14:textId="77777777" w:rsidR="00BD5565" w:rsidRPr="00367E27" w:rsidRDefault="00BD5565" w:rsidP="00BD5565">
      <w:pPr>
        <w:rPr>
          <w:b/>
          <w:sz w:val="28"/>
          <w:szCs w:val="28"/>
          <w:u w:val="single"/>
        </w:rPr>
      </w:pPr>
      <w:r w:rsidRPr="00367E27">
        <w:rPr>
          <w:b/>
          <w:sz w:val="28"/>
          <w:szCs w:val="28"/>
          <w:u w:val="single"/>
        </w:rPr>
        <w:t xml:space="preserve">TV-SPOT </w:t>
      </w:r>
    </w:p>
    <w:p w14:paraId="186AB64A" w14:textId="77777777" w:rsidR="00BD5565" w:rsidRPr="00367E27" w:rsidRDefault="00BD5565" w:rsidP="00BD5565">
      <w:pPr>
        <w:rPr>
          <w:sz w:val="28"/>
          <w:szCs w:val="28"/>
        </w:rPr>
      </w:pPr>
    </w:p>
    <w:p w14:paraId="50DFF4F2" w14:textId="77777777" w:rsidR="00BD5565" w:rsidRPr="00367E27" w:rsidRDefault="00BD5565" w:rsidP="00BD5565">
      <w:pPr>
        <w:rPr>
          <w:sz w:val="28"/>
          <w:szCs w:val="28"/>
          <w:u w:val="single"/>
        </w:rPr>
      </w:pPr>
      <w:r w:rsidRPr="00367E27">
        <w:rPr>
          <w:sz w:val="28"/>
          <w:szCs w:val="28"/>
          <w:u w:val="single"/>
        </w:rPr>
        <w:t xml:space="preserve">TBWA EN TELENET HERLANCEREN PLAY MORE MET </w:t>
      </w:r>
    </w:p>
    <w:p w14:paraId="3AC4CD5E" w14:textId="77777777" w:rsidR="00BD5565" w:rsidRPr="00367E27" w:rsidRDefault="00BD5565" w:rsidP="00BD5565">
      <w:pPr>
        <w:rPr>
          <w:sz w:val="28"/>
          <w:szCs w:val="28"/>
          <w:u w:val="single"/>
        </w:rPr>
      </w:pPr>
      <w:r>
        <w:rPr>
          <w:sz w:val="28"/>
          <w:szCs w:val="28"/>
          <w:u w:val="single"/>
        </w:rPr>
        <w:t>‘SOME WATCH TV.</w:t>
      </w:r>
      <w:r w:rsidRPr="00367E27">
        <w:rPr>
          <w:sz w:val="28"/>
          <w:szCs w:val="28"/>
          <w:u w:val="single"/>
        </w:rPr>
        <w:t xml:space="preserve"> I PLAY MORE</w:t>
      </w:r>
      <w:r>
        <w:rPr>
          <w:sz w:val="28"/>
          <w:szCs w:val="28"/>
          <w:u w:val="single"/>
        </w:rPr>
        <w:t>.</w:t>
      </w:r>
      <w:r w:rsidRPr="00367E27">
        <w:rPr>
          <w:sz w:val="28"/>
          <w:szCs w:val="28"/>
          <w:u w:val="single"/>
        </w:rPr>
        <w:t xml:space="preserve">’  </w:t>
      </w:r>
    </w:p>
    <w:p w14:paraId="2B0766BE" w14:textId="77777777" w:rsidR="00BD5565" w:rsidRPr="00367E27" w:rsidRDefault="00BD5565" w:rsidP="00BD5565">
      <w:pPr>
        <w:rPr>
          <w:sz w:val="28"/>
          <w:szCs w:val="28"/>
        </w:rPr>
      </w:pPr>
    </w:p>
    <w:p w14:paraId="55FD4776" w14:textId="77777777" w:rsidR="00BD5565" w:rsidRPr="00367E27" w:rsidRDefault="00BD5565" w:rsidP="00BD5565">
      <w:pPr>
        <w:rPr>
          <w:b/>
          <w:sz w:val="28"/>
          <w:szCs w:val="28"/>
        </w:rPr>
      </w:pPr>
      <w:r w:rsidRPr="00367E27">
        <w:rPr>
          <w:b/>
          <w:sz w:val="28"/>
          <w:szCs w:val="28"/>
        </w:rPr>
        <w:t xml:space="preserve">Vanaf 16 december brengt Play More nog meer dan voorheen entertainment van wereldklasse. Hoog tijd dus voor een nieuw design en een tv-spot die beklijft en bijblijft. </w:t>
      </w:r>
    </w:p>
    <w:p w14:paraId="70AB5BCC" w14:textId="77777777" w:rsidR="00BD5565" w:rsidRPr="00367E27" w:rsidRDefault="00BD5565" w:rsidP="00BD5565">
      <w:pPr>
        <w:rPr>
          <w:sz w:val="28"/>
          <w:szCs w:val="28"/>
        </w:rPr>
      </w:pPr>
    </w:p>
    <w:p w14:paraId="78ED8A75" w14:textId="77777777" w:rsidR="00BD5565" w:rsidRPr="00367E27" w:rsidRDefault="00BD5565" w:rsidP="00BD5565">
      <w:pPr>
        <w:rPr>
          <w:sz w:val="28"/>
          <w:szCs w:val="28"/>
        </w:rPr>
      </w:pPr>
      <w:bookmarkStart w:id="0" w:name="_GoBack"/>
      <w:r w:rsidRPr="00367E27">
        <w:rPr>
          <w:sz w:val="28"/>
          <w:szCs w:val="28"/>
        </w:rPr>
        <w:t>Play More brengt z’n worldclass entertainment vanaf nu op 2 exclusieve kanalen. Zo vind je op Play More Series de meest recente en strafste series én kijk je live met de VS naar de allernieuwste HBO-afleveringen. Op Play More Cinema wordt dan weer elke dag een tv-première gezet en op zaterdag een heuse blockbuster.</w:t>
      </w:r>
    </w:p>
    <w:p w14:paraId="4BE59354" w14:textId="77777777" w:rsidR="00BD5565" w:rsidRPr="00367E27" w:rsidRDefault="00BD5565" w:rsidP="00BD5565">
      <w:pPr>
        <w:rPr>
          <w:sz w:val="28"/>
          <w:szCs w:val="28"/>
        </w:rPr>
      </w:pPr>
    </w:p>
    <w:p w14:paraId="4151DBDA" w14:textId="77777777" w:rsidR="00BD5565" w:rsidRPr="00367E27" w:rsidRDefault="00BD5565" w:rsidP="00BD5565">
      <w:pPr>
        <w:rPr>
          <w:sz w:val="28"/>
          <w:szCs w:val="28"/>
        </w:rPr>
      </w:pPr>
      <w:r w:rsidRPr="00367E27">
        <w:rPr>
          <w:sz w:val="28"/>
          <w:szCs w:val="28"/>
        </w:rPr>
        <w:t xml:space="preserve">Maar je kan je ook laten gidsen door vier nieuwe themakanalen of door tips van Erik Van Looy en Lieven Trio. En met de functie ‘Mijn TV’ pik je aan waar je gestopt bent, op welk scherm ook. </w:t>
      </w:r>
    </w:p>
    <w:p w14:paraId="7C6C07F8" w14:textId="77777777" w:rsidR="00BD5565" w:rsidRPr="00367E27" w:rsidRDefault="00BD5565" w:rsidP="00BD5565">
      <w:pPr>
        <w:rPr>
          <w:sz w:val="28"/>
          <w:szCs w:val="28"/>
        </w:rPr>
      </w:pPr>
    </w:p>
    <w:p w14:paraId="577AA3C3" w14:textId="77777777" w:rsidR="00BD5565" w:rsidRPr="00367E27" w:rsidRDefault="00BD5565" w:rsidP="00BD5565">
      <w:pPr>
        <w:rPr>
          <w:sz w:val="28"/>
          <w:szCs w:val="28"/>
        </w:rPr>
      </w:pPr>
      <w:r w:rsidRPr="00367E27">
        <w:rPr>
          <w:sz w:val="28"/>
          <w:szCs w:val="28"/>
        </w:rPr>
        <w:t>Yep, met Play More doe je meer dan alleen maar tv-kijken. Je kan er je elke dag verliezen in de strafste verhalen. Verhalen die beklijven en bijblijven. Met p</w:t>
      </w:r>
      <w:r w:rsidRPr="00367E27">
        <w:rPr>
          <w:rFonts w:cs="Times New Roman"/>
          <w:color w:val="000000"/>
          <w:sz w:val="28"/>
          <w:szCs w:val="28"/>
        </w:rPr>
        <w:t xml:space="preserve">ersonages, decors, intriges, dialogen en plotwendingen die zich in je hoofd nestelen en er blijven wonen. </w:t>
      </w:r>
      <w:r w:rsidRPr="00367E27">
        <w:rPr>
          <w:sz w:val="28"/>
          <w:szCs w:val="28"/>
        </w:rPr>
        <w:t>Dat werd meteen ook het uitgangspunt voor de nieuwe tv-spot van Play More. In ‘The Runner’ zien we een man lopen, doorheen de donkere straten van de stad. In alledaagse dingen ziet hij scènes uit films en series… De spot wordt afgesloten met ‘</w:t>
      </w:r>
      <w:r w:rsidR="00E14FA4">
        <w:rPr>
          <w:sz w:val="28"/>
          <w:szCs w:val="28"/>
        </w:rPr>
        <w:t>SOME WATCH TV.</w:t>
      </w:r>
      <w:r w:rsidRPr="00367E27">
        <w:rPr>
          <w:sz w:val="28"/>
          <w:szCs w:val="28"/>
        </w:rPr>
        <w:t xml:space="preserve"> I </w:t>
      </w:r>
      <w:r w:rsidR="00E14FA4">
        <w:rPr>
          <w:sz w:val="28"/>
          <w:szCs w:val="28"/>
        </w:rPr>
        <w:t>PLAY MORE.</w:t>
      </w:r>
      <w:r w:rsidRPr="00367E27">
        <w:rPr>
          <w:sz w:val="28"/>
          <w:szCs w:val="28"/>
        </w:rPr>
        <w:t xml:space="preserve">’. </w:t>
      </w:r>
    </w:p>
    <w:p w14:paraId="16E9549F" w14:textId="77777777" w:rsidR="00BD5565" w:rsidRPr="00367E27" w:rsidRDefault="00BD5565" w:rsidP="00BD5565">
      <w:pPr>
        <w:rPr>
          <w:sz w:val="28"/>
          <w:szCs w:val="28"/>
        </w:rPr>
      </w:pPr>
    </w:p>
    <w:p w14:paraId="10601701" w14:textId="77777777" w:rsidR="00BD5565" w:rsidRPr="00367E27" w:rsidRDefault="00BD5565" w:rsidP="00BD5565">
      <w:pPr>
        <w:rPr>
          <w:sz w:val="28"/>
          <w:szCs w:val="28"/>
        </w:rPr>
      </w:pPr>
      <w:r w:rsidRPr="00367E27">
        <w:rPr>
          <w:sz w:val="28"/>
          <w:szCs w:val="28"/>
        </w:rPr>
        <w:t xml:space="preserve">De regie was in handen van Joe Van Houtteghem, die er een cinematografische parel van maakte. De spot is vanaf 16/12 te zien op tv. </w:t>
      </w:r>
    </w:p>
    <w:bookmarkEnd w:id="0"/>
    <w:p w14:paraId="515F4087" w14:textId="77777777" w:rsidR="0061795A" w:rsidRDefault="0061795A" w:rsidP="0061795A">
      <w:pPr>
        <w:pStyle w:val="TBWA"/>
        <w:rPr>
          <w:rFonts w:asciiTheme="minorHAnsi" w:hAnsiTheme="minorHAnsi"/>
          <w:sz w:val="20"/>
          <w:szCs w:val="20"/>
        </w:rPr>
      </w:pPr>
    </w:p>
    <w:p w14:paraId="4E3B599A" w14:textId="77777777" w:rsidR="00E14FA4" w:rsidRDefault="00E14FA4" w:rsidP="0061795A">
      <w:pPr>
        <w:pStyle w:val="TBWA"/>
        <w:rPr>
          <w:rFonts w:asciiTheme="minorHAnsi" w:hAnsiTheme="minorHAnsi"/>
          <w:sz w:val="20"/>
          <w:szCs w:val="20"/>
        </w:rPr>
      </w:pPr>
    </w:p>
    <w:p w14:paraId="55E94BA0" w14:textId="77777777" w:rsidR="00E14FA4" w:rsidRDefault="00E14FA4" w:rsidP="0061795A">
      <w:pPr>
        <w:pStyle w:val="TBWA"/>
        <w:rPr>
          <w:rFonts w:asciiTheme="minorHAnsi" w:hAnsiTheme="minorHAnsi"/>
          <w:sz w:val="20"/>
          <w:szCs w:val="20"/>
        </w:rPr>
      </w:pPr>
    </w:p>
    <w:p w14:paraId="72071B6E" w14:textId="77777777" w:rsidR="00E14FA4" w:rsidRDefault="00E14FA4" w:rsidP="0061795A">
      <w:pPr>
        <w:pStyle w:val="TBWA"/>
        <w:rPr>
          <w:rFonts w:asciiTheme="minorHAnsi" w:hAnsiTheme="minorHAnsi"/>
          <w:sz w:val="20"/>
          <w:szCs w:val="20"/>
        </w:rPr>
      </w:pPr>
    </w:p>
    <w:p w14:paraId="15B430CB" w14:textId="77777777" w:rsidR="00E14FA4" w:rsidRDefault="00E14FA4" w:rsidP="0061795A">
      <w:pPr>
        <w:pStyle w:val="TBWA"/>
        <w:rPr>
          <w:rFonts w:asciiTheme="minorHAnsi" w:hAnsiTheme="minorHAnsi"/>
          <w:sz w:val="20"/>
          <w:szCs w:val="20"/>
        </w:rPr>
      </w:pPr>
    </w:p>
    <w:p w14:paraId="3CC08987" w14:textId="77777777" w:rsidR="00E14FA4" w:rsidRDefault="00E14FA4" w:rsidP="0061795A">
      <w:pPr>
        <w:pStyle w:val="TBWA"/>
        <w:rPr>
          <w:rFonts w:asciiTheme="minorHAnsi" w:hAnsiTheme="minorHAnsi"/>
          <w:sz w:val="20"/>
          <w:szCs w:val="20"/>
        </w:rPr>
      </w:pPr>
    </w:p>
    <w:p w14:paraId="4168D935" w14:textId="77777777" w:rsidR="00E14FA4" w:rsidRDefault="00E14FA4" w:rsidP="00E14FA4">
      <w:pPr>
        <w:shd w:val="clear" w:color="auto" w:fill="FFFFFF"/>
        <w:rPr>
          <w:rFonts w:cs="Times New Roman"/>
          <w:color w:val="000000"/>
          <w:sz w:val="28"/>
          <w:szCs w:val="28"/>
        </w:rPr>
      </w:pPr>
    </w:p>
    <w:p w14:paraId="6E61A5EF" w14:textId="77777777" w:rsidR="00E14FA4" w:rsidRDefault="00E14FA4" w:rsidP="00E14FA4">
      <w:pPr>
        <w:shd w:val="clear" w:color="auto" w:fill="FFFFFF"/>
        <w:rPr>
          <w:rFonts w:cs="Times New Roman"/>
          <w:color w:val="000000"/>
          <w:sz w:val="28"/>
          <w:szCs w:val="28"/>
        </w:rPr>
      </w:pPr>
    </w:p>
    <w:p w14:paraId="3327C04E" w14:textId="77777777" w:rsidR="00E14FA4" w:rsidRDefault="00E14FA4" w:rsidP="00E14FA4">
      <w:pPr>
        <w:shd w:val="clear" w:color="auto" w:fill="FFFFFF"/>
        <w:rPr>
          <w:rFonts w:cs="Times New Roman"/>
          <w:color w:val="000000"/>
          <w:sz w:val="28"/>
          <w:szCs w:val="28"/>
        </w:rPr>
      </w:pPr>
    </w:p>
    <w:p w14:paraId="17093B31" w14:textId="77777777" w:rsidR="00E14FA4" w:rsidRDefault="00E14FA4" w:rsidP="00E14FA4">
      <w:pPr>
        <w:shd w:val="clear" w:color="auto" w:fill="FFFFFF"/>
        <w:rPr>
          <w:rFonts w:cs="Times New Roman"/>
          <w:color w:val="000000"/>
          <w:sz w:val="28"/>
          <w:szCs w:val="28"/>
        </w:rPr>
      </w:pPr>
    </w:p>
    <w:p w14:paraId="58308BE2" w14:textId="77777777" w:rsidR="00E14FA4" w:rsidRDefault="00E14FA4" w:rsidP="00E14FA4">
      <w:pPr>
        <w:shd w:val="clear" w:color="auto" w:fill="FFFFFF"/>
        <w:rPr>
          <w:rFonts w:cs="Times New Roman"/>
          <w:color w:val="000000"/>
          <w:sz w:val="28"/>
          <w:szCs w:val="28"/>
        </w:rPr>
      </w:pPr>
    </w:p>
    <w:p w14:paraId="59734912"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Credits</w:t>
      </w:r>
    </w:p>
    <w:p w14:paraId="36C72DED"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Client: Telenet</w:t>
      </w:r>
    </w:p>
    <w:p w14:paraId="1239B6A4"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Contact: Sylvie Verbruggen, Ils Neuts, Inge Van Der Haegen, Jorgen Vranken</w:t>
      </w:r>
    </w:p>
    <w:p w14:paraId="4B206760"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Agency: TBWA Brussel</w:t>
      </w:r>
    </w:p>
    <w:p w14:paraId="352AB7C0"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CD: Jan Macken</w:t>
      </w:r>
    </w:p>
    <w:p w14:paraId="42D80D7A"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AD &amp; Copy: Tony Naudts-Ducene, Paul Van Oevelen, Peter Souter, Chiara De Decker, Greg van Buggenhout.</w:t>
      </w:r>
    </w:p>
    <w:p w14:paraId="7589DB28"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Account Team: Jochen De Greef, Virginie Hayet</w:t>
      </w:r>
    </w:p>
    <w:p w14:paraId="44A98591"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Strategy: Bert Denis, Gunther Van Lany</w:t>
      </w:r>
    </w:p>
    <w:p w14:paraId="3675E537"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Design: Hendrik Everaerts, Estelle Vanduynslaeger, Vincent De Boeck</w:t>
      </w:r>
    </w:p>
    <w:p w14:paraId="63E74B24"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Tv Producers Saké: Mieke Vandewalle, Cindy De Mooter</w:t>
      </w:r>
    </w:p>
    <w:p w14:paraId="3B3A8DF4"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Director: Joe Vanhoutteghem</w:t>
      </w:r>
    </w:p>
    <w:p w14:paraId="5064965E"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Executive Producer: Eurydice Gysel</w:t>
      </w:r>
    </w:p>
    <w:p w14:paraId="3DE96DFD"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Producer: Lander Engels</w:t>
      </w:r>
    </w:p>
    <w:p w14:paraId="3F2D5495"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DOP: Menno Mans</w:t>
      </w:r>
    </w:p>
    <w:p w14:paraId="4912B185"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Post Production Company: Czar &amp; Sake</w:t>
      </w:r>
    </w:p>
    <w:p w14:paraId="6D31098A"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Editor: Dieter Diependaele</w:t>
      </w:r>
    </w:p>
    <w:p w14:paraId="0D47E541"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VFX projection operators: Stijn Van Assche, Robin De Praetere</w:t>
      </w:r>
    </w:p>
    <w:p w14:paraId="1A32944E"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VFX projection dragon: Jan Snoekx - Xiola</w:t>
      </w:r>
    </w:p>
    <w:p w14:paraId="217035D3"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Online editor: Enzo Piccinato</w:t>
      </w:r>
    </w:p>
    <w:p w14:paraId="68CDB00C"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Grading: Joost Van Kerckhove</w:t>
      </w:r>
    </w:p>
    <w:p w14:paraId="35E7B8BE"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Music: Tim Vanhamel</w:t>
      </w:r>
    </w:p>
    <w:p w14:paraId="15A71895"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Sound: Jan Pollet</w:t>
      </w:r>
    </w:p>
    <w:p w14:paraId="4666D183" w14:textId="77777777" w:rsidR="00E14FA4" w:rsidRPr="00E14FA4" w:rsidRDefault="00E14FA4" w:rsidP="00E14FA4">
      <w:pPr>
        <w:shd w:val="clear" w:color="auto" w:fill="FFFFFF"/>
        <w:rPr>
          <w:rFonts w:cs="Times New Roman"/>
          <w:color w:val="000000"/>
          <w:sz w:val="28"/>
          <w:szCs w:val="28"/>
        </w:rPr>
      </w:pPr>
      <w:r w:rsidRPr="00E14FA4">
        <w:rPr>
          <w:rFonts w:cs="Times New Roman"/>
          <w:color w:val="000000"/>
          <w:sz w:val="28"/>
          <w:szCs w:val="28"/>
        </w:rPr>
        <w:t>Mediabuying PhD: David Driesmans</w:t>
      </w:r>
    </w:p>
    <w:p w14:paraId="71807012" w14:textId="77777777" w:rsidR="00E14FA4" w:rsidRPr="00E14FA4" w:rsidRDefault="00E14FA4" w:rsidP="0061795A">
      <w:pPr>
        <w:pStyle w:val="TBWA"/>
        <w:rPr>
          <w:rFonts w:asciiTheme="minorHAnsi" w:hAnsiTheme="minorHAnsi"/>
          <w:sz w:val="20"/>
          <w:szCs w:val="20"/>
        </w:rPr>
      </w:pPr>
    </w:p>
    <w:sectPr w:rsidR="00E14FA4" w:rsidRPr="00E14FA4" w:rsidSect="008309A2">
      <w:headerReference w:type="even" r:id="rId8"/>
      <w:headerReference w:type="default" r:id="rId9"/>
      <w:footerReference w:type="even" r:id="rId10"/>
      <w:footerReference w:type="default" r:id="rId11"/>
      <w:headerReference w:type="first" r:id="rId12"/>
      <w:footerReference w:type="first" r:id="rId13"/>
      <w:pgSz w:w="11901" w:h="16840"/>
      <w:pgMar w:top="1701" w:right="1701" w:bottom="1134" w:left="1701" w:header="56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1E786" w14:textId="77777777" w:rsidR="00150C2C" w:rsidRDefault="00150C2C" w:rsidP="0061795A">
      <w:r>
        <w:separator/>
      </w:r>
    </w:p>
  </w:endnote>
  <w:endnote w:type="continuationSeparator" w:id="0">
    <w:p w14:paraId="3A0A081D" w14:textId="77777777" w:rsidR="00150C2C" w:rsidRDefault="00150C2C"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uturaLightTBW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3B1C8" w14:textId="77777777" w:rsidR="00E454B8" w:rsidRDefault="00E454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0BF85" w14:textId="77777777" w:rsidR="008309A2" w:rsidRPr="00E454B8" w:rsidRDefault="008309A2" w:rsidP="008309A2">
    <w:pPr>
      <w:pStyle w:val="-TBWAHeaderFooter"/>
      <w:ind w:left="-1134"/>
      <w:rPr>
        <w:rFonts w:asciiTheme="minorHAnsi" w:hAnsiTheme="minorHAnsi"/>
        <w:szCs w:val="15"/>
        <w:u w:color="2152A8"/>
      </w:rPr>
    </w:pPr>
    <w:r w:rsidRPr="00E454B8">
      <w:rPr>
        <w:rFonts w:asciiTheme="minorHAnsi" w:hAnsiTheme="minorHAnsi"/>
        <w:szCs w:val="15"/>
      </w:rPr>
      <w:t xml:space="preserve">TBWA </w:t>
    </w:r>
    <w:r w:rsidRPr="00E454B8">
      <w:rPr>
        <w:rFonts w:asciiTheme="minorHAnsi" w:hAnsiTheme="minorHAnsi"/>
        <w:color w:val="FFCC00" w:themeColor="accent2"/>
        <w:szCs w:val="15"/>
      </w:rPr>
      <w:t>\</w:t>
    </w:r>
    <w:r w:rsidRPr="00E454B8">
      <w:rPr>
        <w:rFonts w:asciiTheme="minorHAnsi" w:hAnsiTheme="minorHAnsi"/>
        <w:szCs w:val="15"/>
      </w:rPr>
      <w:t xml:space="preserve"> Kroonlaan 165 Avenue de la Couronne </w:t>
    </w:r>
    <w:r w:rsidRPr="00E454B8">
      <w:rPr>
        <w:rFonts w:asciiTheme="minorHAnsi" w:hAnsiTheme="minorHAnsi"/>
        <w:color w:val="FFCC00" w:themeColor="accent2"/>
        <w:szCs w:val="15"/>
      </w:rPr>
      <w:t>\</w:t>
    </w:r>
    <w:r w:rsidRPr="00E454B8">
      <w:rPr>
        <w:rFonts w:asciiTheme="minorHAnsi" w:hAnsiTheme="minorHAnsi"/>
        <w:szCs w:val="15"/>
      </w:rPr>
      <w:t xml:space="preserve"> B-1050 Brussels </w:t>
    </w:r>
    <w:r w:rsidRPr="00E454B8">
      <w:rPr>
        <w:rFonts w:asciiTheme="minorHAnsi" w:hAnsiTheme="minorHAnsi"/>
        <w:color w:val="FFCC00" w:themeColor="accent2"/>
        <w:szCs w:val="15"/>
      </w:rPr>
      <w:t>\</w:t>
    </w:r>
    <w:r w:rsidRPr="00E454B8">
      <w:rPr>
        <w:rFonts w:asciiTheme="minorHAnsi" w:hAnsiTheme="minorHAnsi"/>
        <w:szCs w:val="15"/>
      </w:rPr>
      <w:t xml:space="preserve"> Belgium </w:t>
    </w:r>
    <w:r w:rsidRPr="00E454B8">
      <w:rPr>
        <w:rFonts w:asciiTheme="minorHAnsi" w:hAnsiTheme="minorHAnsi"/>
        <w:color w:val="FFCC00" w:themeColor="accent2"/>
        <w:szCs w:val="15"/>
      </w:rPr>
      <w:t>\</w:t>
    </w:r>
    <w:r w:rsidRPr="00E454B8">
      <w:rPr>
        <w:rFonts w:asciiTheme="minorHAnsi" w:hAnsiTheme="minorHAnsi"/>
        <w:szCs w:val="15"/>
      </w:rPr>
      <w:t xml:space="preserve"> +32 2 679 75 00 </w:t>
    </w:r>
    <w:r w:rsidRPr="00E454B8">
      <w:rPr>
        <w:rFonts w:asciiTheme="minorHAnsi" w:hAnsiTheme="minorHAnsi"/>
        <w:color w:val="FFCC00" w:themeColor="accent2"/>
        <w:szCs w:val="15"/>
      </w:rPr>
      <w:t>\</w:t>
    </w:r>
    <w:r w:rsidRPr="00E454B8">
      <w:rPr>
        <w:rFonts w:asciiTheme="minorHAnsi" w:hAnsiTheme="minorHAnsi"/>
        <w:szCs w:val="15"/>
      </w:rPr>
      <w:t xml:space="preserve"> </w:t>
    </w:r>
    <w:r w:rsidRPr="00E454B8">
      <w:rPr>
        <w:rFonts w:asciiTheme="minorHAnsi" w:hAnsiTheme="minorHAnsi"/>
        <w:szCs w:val="15"/>
        <w:u w:color="2152A8"/>
      </w:rPr>
      <w:t>www.tbwagroup.be</w:t>
    </w:r>
    <w:r w:rsidRPr="00E454B8">
      <w:rPr>
        <w:rFonts w:asciiTheme="minorHAnsi" w:hAnsiTheme="minorHAnsi"/>
        <w:szCs w:val="15"/>
        <w:u w:color="2152A8"/>
      </w:rPr>
      <w:tab/>
      <w:t xml:space="preserve">page </w:t>
    </w:r>
    <w:r w:rsidRPr="00E454B8">
      <w:rPr>
        <w:rFonts w:asciiTheme="minorHAnsi" w:hAnsiTheme="minorHAnsi"/>
        <w:szCs w:val="15"/>
        <w:u w:color="2152A8"/>
      </w:rPr>
      <w:fldChar w:fldCharType="begin"/>
    </w:r>
    <w:r w:rsidRPr="00E454B8">
      <w:rPr>
        <w:rFonts w:asciiTheme="minorHAnsi" w:hAnsiTheme="minorHAnsi"/>
        <w:szCs w:val="15"/>
        <w:u w:color="2152A8"/>
      </w:rPr>
      <w:instrText xml:space="preserve"> PAGE  \* MERGEFORMAT </w:instrText>
    </w:r>
    <w:r w:rsidRPr="00E454B8">
      <w:rPr>
        <w:rFonts w:asciiTheme="minorHAnsi" w:hAnsiTheme="minorHAnsi"/>
        <w:szCs w:val="15"/>
        <w:u w:color="2152A8"/>
      </w:rPr>
      <w:fldChar w:fldCharType="separate"/>
    </w:r>
    <w:r w:rsidR="00E015FC">
      <w:rPr>
        <w:rFonts w:asciiTheme="minorHAnsi" w:hAnsiTheme="minorHAnsi"/>
        <w:szCs w:val="15"/>
        <w:u w:color="2152A8"/>
      </w:rPr>
      <w:t>1</w:t>
    </w:r>
    <w:r w:rsidRPr="00E454B8">
      <w:rPr>
        <w:rFonts w:asciiTheme="minorHAnsi" w:hAnsiTheme="minorHAnsi"/>
        <w:szCs w:val="15"/>
        <w:u w:color="2152A8"/>
      </w:rPr>
      <w:fldChar w:fldCharType="end"/>
    </w:r>
    <w:r w:rsidRPr="00E454B8">
      <w:rPr>
        <w:rFonts w:asciiTheme="minorHAnsi" w:hAnsiTheme="minorHAnsi"/>
        <w:szCs w:val="15"/>
        <w:u w:color="2152A8"/>
      </w:rPr>
      <w:t>/</w:t>
    </w:r>
    <w:r w:rsidRPr="00E454B8">
      <w:rPr>
        <w:rFonts w:asciiTheme="minorHAnsi" w:hAnsiTheme="minorHAnsi"/>
        <w:szCs w:val="15"/>
        <w:u w:color="2152A8"/>
      </w:rPr>
      <w:fldChar w:fldCharType="begin"/>
    </w:r>
    <w:r w:rsidRPr="00E454B8">
      <w:rPr>
        <w:rFonts w:asciiTheme="minorHAnsi" w:hAnsiTheme="minorHAnsi"/>
        <w:szCs w:val="15"/>
        <w:u w:color="2152A8"/>
      </w:rPr>
      <w:instrText xml:space="preserve"> NUMPAGES  \* MERGEFORMAT </w:instrText>
    </w:r>
    <w:r w:rsidRPr="00E454B8">
      <w:rPr>
        <w:rFonts w:asciiTheme="minorHAnsi" w:hAnsiTheme="minorHAnsi"/>
        <w:szCs w:val="15"/>
        <w:u w:color="2152A8"/>
      </w:rPr>
      <w:fldChar w:fldCharType="separate"/>
    </w:r>
    <w:r w:rsidR="00E015FC">
      <w:rPr>
        <w:rFonts w:asciiTheme="minorHAnsi" w:hAnsiTheme="minorHAnsi"/>
        <w:szCs w:val="15"/>
        <w:u w:color="2152A8"/>
      </w:rPr>
      <w:t>1</w:t>
    </w:r>
    <w:r w:rsidRPr="00E454B8">
      <w:rPr>
        <w:rFonts w:asciiTheme="minorHAnsi" w:hAnsiTheme="minorHAnsi"/>
        <w:szCs w:val="15"/>
        <w:u w:color="2152A8"/>
      </w:rPr>
      <w:fldChar w:fldCharType="end"/>
    </w:r>
  </w:p>
  <w:p w14:paraId="09C05AE3" w14:textId="77777777" w:rsidR="001C6E34" w:rsidRPr="00E454B8" w:rsidRDefault="008309A2" w:rsidP="008309A2">
    <w:pPr>
      <w:pStyle w:val="-TBWAHeaderFooter"/>
      <w:tabs>
        <w:tab w:val="clear" w:pos="9639"/>
        <w:tab w:val="left" w:pos="2633"/>
        <w:tab w:val="left" w:pos="4568"/>
      </w:tabs>
      <w:ind w:left="-1134"/>
      <w:rPr>
        <w:rFonts w:asciiTheme="minorHAnsi" w:hAnsiTheme="minorHAnsi"/>
        <w:szCs w:val="15"/>
      </w:rPr>
    </w:pPr>
    <w:r w:rsidRPr="00E454B8">
      <w:rPr>
        <w:rFonts w:asciiTheme="minorHAnsi" w:hAnsiTheme="minorHAnsi"/>
        <w:szCs w:val="15"/>
        <w:u w:color="2152A8"/>
      </w:rPr>
      <w:drawing>
        <wp:inline distT="0" distB="0" distL="0" distR="0" wp14:anchorId="07F06F29" wp14:editId="2DE51F3C">
          <wp:extent cx="993648" cy="89916"/>
          <wp:effectExtent l="0" t="0" r="0"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sh - TDC Horizontal Full Colour.jpg"/>
                  <pic:cNvPicPr/>
                </pic:nvPicPr>
                <pic:blipFill>
                  <a:blip r:embed="rId1">
                    <a:extLst>
                      <a:ext uri="{28A0092B-C50C-407E-A947-70E740481C1C}">
                        <a14:useLocalDpi xmlns:a14="http://schemas.microsoft.com/office/drawing/2010/main" val="0"/>
                      </a:ext>
                    </a:extLst>
                  </a:blip>
                  <a:stretch>
                    <a:fillRect/>
                  </a:stretch>
                </pic:blipFill>
                <pic:spPr>
                  <a:xfrm>
                    <a:off x="0" y="0"/>
                    <a:ext cx="993648" cy="89916"/>
                  </a:xfrm>
                  <a:prstGeom prst="rect">
                    <a:avLst/>
                  </a:prstGeom>
                  <a:extLst>
                    <a:ext uri="{FAA26D3D-D897-4be2-8F04-BA451C77F1D7}">
                      <ma14:placeholderFlag xmlns:ma14="http://schemas.microsoft.com/office/mac/drawingml/2011/main"/>
                    </a:ext>
                  </a:extLst>
                </pic:spPr>
              </pic:pic>
            </a:graphicData>
          </a:graphic>
        </wp:inline>
      </w:drawing>
    </w:r>
    <w:r w:rsidRPr="00E454B8">
      <w:rPr>
        <w:rFonts w:asciiTheme="minorHAnsi" w:hAnsiTheme="minorHAnsi"/>
        <w:szCs w:val="15"/>
      </w:rPr>
      <w:tab/>
    </w:r>
    <w:r w:rsidRPr="00E454B8">
      <w:rPr>
        <w:rFonts w:asciiTheme="minorHAnsi" w:hAnsiTheme="minorHAnsi"/>
        <w:szCs w:val="15"/>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C8868" w14:textId="77777777" w:rsidR="004C5BFD"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2799C471" w14:textId="77777777" w:rsidR="005D12D3"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470E7" w14:textId="77777777" w:rsidR="00150C2C" w:rsidRDefault="00150C2C" w:rsidP="0061795A">
      <w:r>
        <w:separator/>
      </w:r>
    </w:p>
  </w:footnote>
  <w:footnote w:type="continuationSeparator" w:id="0">
    <w:p w14:paraId="1CC44651" w14:textId="77777777" w:rsidR="00150C2C" w:rsidRDefault="00150C2C"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DC650" w14:textId="77777777" w:rsidR="001C6E34" w:rsidRDefault="001C6E34"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DAC07" w14:textId="77777777" w:rsidR="001C6E34" w:rsidRDefault="001C6E34"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A5D8B" w14:textId="77777777" w:rsidR="001C6E34" w:rsidRPr="00E454B8" w:rsidRDefault="008309A2" w:rsidP="008309A2">
    <w:pPr>
      <w:pStyle w:val="Header"/>
      <w:rPr>
        <w:rFonts w:asciiTheme="minorHAnsi" w:hAnsiTheme="minorHAnsi"/>
      </w:rPr>
    </w:pPr>
    <w:r w:rsidRPr="00E454B8">
      <w:rPr>
        <w:rFonts w:asciiTheme="minorHAnsi" w:hAnsiTheme="minorHAnsi"/>
        <w:noProof/>
        <w:color w:val="717171"/>
        <w:sz w:val="20"/>
        <w:szCs w:val="20"/>
        <w:lang w:val="en-US" w:eastAsia="en-US"/>
      </w:rPr>
      <w:drawing>
        <wp:anchor distT="0" distB="0" distL="114300" distR="114300" simplePos="0" relativeHeight="251663360" behindDoc="1" locked="0" layoutInCell="1" allowOverlap="1" wp14:anchorId="2C5F75CD" wp14:editId="6536F20B">
          <wp:simplePos x="0" y="0"/>
          <wp:positionH relativeFrom="page">
            <wp:posOffset>360045</wp:posOffset>
          </wp:positionH>
          <wp:positionV relativeFrom="page">
            <wp:posOffset>360045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73A2" w14:textId="77777777" w:rsidR="005D12D3" w:rsidRPr="004C5BFD" w:rsidRDefault="004C5BFD"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49EC0222" wp14:editId="7E1ABB2C">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65"/>
    <w:rsid w:val="00061A67"/>
    <w:rsid w:val="00121240"/>
    <w:rsid w:val="00150C2C"/>
    <w:rsid w:val="001C6E34"/>
    <w:rsid w:val="00204365"/>
    <w:rsid w:val="00295847"/>
    <w:rsid w:val="002A77AA"/>
    <w:rsid w:val="00332519"/>
    <w:rsid w:val="003F54D5"/>
    <w:rsid w:val="0045114F"/>
    <w:rsid w:val="004774D4"/>
    <w:rsid w:val="0048020D"/>
    <w:rsid w:val="00496AA6"/>
    <w:rsid w:val="004C5BFD"/>
    <w:rsid w:val="0057625F"/>
    <w:rsid w:val="005D12D3"/>
    <w:rsid w:val="00615045"/>
    <w:rsid w:val="0061795A"/>
    <w:rsid w:val="00666192"/>
    <w:rsid w:val="006E2266"/>
    <w:rsid w:val="007333D3"/>
    <w:rsid w:val="00740375"/>
    <w:rsid w:val="007C632C"/>
    <w:rsid w:val="008309A2"/>
    <w:rsid w:val="00890B9D"/>
    <w:rsid w:val="009F000D"/>
    <w:rsid w:val="00A73A16"/>
    <w:rsid w:val="00A858C9"/>
    <w:rsid w:val="00BB7BB0"/>
    <w:rsid w:val="00BD5565"/>
    <w:rsid w:val="00C66B16"/>
    <w:rsid w:val="00E015FC"/>
    <w:rsid w:val="00E14FA4"/>
    <w:rsid w:val="00E454B8"/>
    <w:rsid w:val="00F1379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E77A6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5565"/>
    <w:rPr>
      <w:rFonts w:asciiTheme="minorHAnsi" w:eastAsiaTheme="minorEastAsia" w:hAnsiTheme="minorHAnsi" w:cstheme="minorBidi"/>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cs="Times New Roman"/>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cs="Times New Roman"/>
      <w:color w:val="323232"/>
      <w:lang w:val="en-US"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cs="Times New Roman"/>
      <w:noProof/>
      <w:sz w:val="15"/>
      <w:lang w:val="en-US"/>
    </w:rPr>
  </w:style>
  <w:style w:type="character" w:styleId="PageNumber">
    <w:name w:val="page number"/>
    <w:uiPriority w:val="99"/>
    <w:semiHidden/>
    <w:unhideWhenUsed/>
    <w:rsid w:val="002A77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5565"/>
    <w:rPr>
      <w:rFonts w:asciiTheme="minorHAnsi" w:eastAsiaTheme="minorEastAsia" w:hAnsiTheme="minorHAnsi" w:cstheme="minorBidi"/>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cs="Times New Roman"/>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cs="Times New Roman"/>
      <w:color w:val="323232"/>
      <w:lang w:val="en-US"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cs="Times New Roman"/>
      <w:noProof/>
      <w:sz w:val="15"/>
      <w:lang w:val="en-US"/>
    </w:rPr>
  </w:style>
  <w:style w:type="character" w:styleId="PageNumber">
    <w:name w:val="page number"/>
    <w:uiPriority w:val="99"/>
    <w:semiHidden/>
    <w:unhideWhenUsed/>
    <w:rsid w:val="002A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BW">
  <a:themeElements>
    <a:clrScheme name="TBWA">
      <a:dk1>
        <a:srgbClr val="000000"/>
      </a:dk1>
      <a:lt1>
        <a:srgbClr val="FFFFFF"/>
      </a:lt1>
      <a:dk2>
        <a:srgbClr val="717171"/>
      </a:dk2>
      <a:lt2>
        <a:srgbClr val="DDDDDD"/>
      </a:lt2>
      <a:accent1>
        <a:srgbClr val="DA1934"/>
      </a:accent1>
      <a:accent2>
        <a:srgbClr val="FFCC00"/>
      </a:accent2>
      <a:accent3>
        <a:srgbClr val="393939"/>
      </a:accent3>
      <a:accent4>
        <a:srgbClr val="717171"/>
      </a:accent4>
      <a:accent5>
        <a:srgbClr val="AAAAAA"/>
      </a:accent5>
      <a:accent6>
        <a:srgbClr val="E6E6E6"/>
      </a:accent6>
      <a:hlink>
        <a:srgbClr val="009999"/>
      </a:hlink>
      <a:folHlink>
        <a:srgbClr val="99CC00"/>
      </a:folHlink>
    </a:clrScheme>
    <a:fontScheme name="-TBWA Group">
      <a:majorFont>
        <a:latin typeface="Helvetica"/>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Helvetic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5949-7BC7-7B4C-BD6E-B0D4B18E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De Decker</dc:creator>
  <cp:keywords/>
  <dc:description/>
  <cp:lastModifiedBy>Guest User</cp:lastModifiedBy>
  <cp:revision>2</cp:revision>
  <cp:lastPrinted>2011-08-10T13:45:00Z</cp:lastPrinted>
  <dcterms:created xsi:type="dcterms:W3CDTF">2016-12-15T16:29:00Z</dcterms:created>
  <dcterms:modified xsi:type="dcterms:W3CDTF">2016-12-15T16:29:00Z</dcterms:modified>
</cp:coreProperties>
</file>