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9469"/>
        <w:gridCol w:w="1979"/>
        <w:gridCol w:w="1902"/>
      </w:tblGrid>
      <w:tr w:rsidR="008F5D06" w14:paraId="2A9973C8" w14:textId="77777777" w:rsidTr="00082FF5">
        <w:trPr>
          <w:trHeight w:val="433"/>
        </w:trPr>
        <w:tc>
          <w:tcPr>
            <w:tcW w:w="11448" w:type="dxa"/>
            <w:gridSpan w:val="2"/>
          </w:tcPr>
          <w:p w14:paraId="540DB4AE" w14:textId="77EA6F92" w:rsidR="008F5D06" w:rsidRPr="00B612A0" w:rsidRDefault="00082FF5" w:rsidP="00082FF5">
            <w:pPr>
              <w:jc w:val="both"/>
              <w:rPr>
                <w:b/>
                <w:bCs/>
                <w:color w:val="00A0CB"/>
                <w:spacing w:val="38"/>
                <w:sz w:val="36"/>
                <w:szCs w:val="36"/>
                <w:lang w:val="nl-BE"/>
              </w:rPr>
            </w:pPr>
            <w:r>
              <w:rPr>
                <w:rFonts w:ascii="Calibri" w:hAnsi="Calibri"/>
                <w:noProof/>
                <w:sz w:val="24"/>
              </w:rPr>
              <w:drawing>
                <wp:anchor distT="0" distB="0" distL="114300" distR="114300" simplePos="0" relativeHeight="251660288" behindDoc="1" locked="0" layoutInCell="1" allowOverlap="1" wp14:anchorId="4274EFC4" wp14:editId="16A0DDDA">
                  <wp:simplePos x="0" y="0"/>
                  <wp:positionH relativeFrom="column">
                    <wp:posOffset>4369435</wp:posOffset>
                  </wp:positionH>
                  <wp:positionV relativeFrom="paragraph">
                    <wp:posOffset>67310</wp:posOffset>
                  </wp:positionV>
                  <wp:extent cx="1534795" cy="188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5 at 10.42.03.png"/>
                          <pic:cNvPicPr/>
                        </pic:nvPicPr>
                        <pic:blipFill>
                          <a:blip r:embed="rId8">
                            <a:extLst>
                              <a:ext uri="{28A0092B-C50C-407E-A947-70E740481C1C}">
                                <a14:useLocalDpi xmlns:a14="http://schemas.microsoft.com/office/drawing/2010/main" val="0"/>
                              </a:ext>
                            </a:extLst>
                          </a:blip>
                          <a:stretch>
                            <a:fillRect/>
                          </a:stretch>
                        </pic:blipFill>
                        <pic:spPr>
                          <a:xfrm>
                            <a:off x="0" y="0"/>
                            <a:ext cx="1534795" cy="1880870"/>
                          </a:xfrm>
                          <a:prstGeom prst="rect">
                            <a:avLst/>
                          </a:prstGeom>
                        </pic:spPr>
                      </pic:pic>
                    </a:graphicData>
                  </a:graphic>
                  <wp14:sizeRelH relativeFrom="page">
                    <wp14:pctWidth>0</wp14:pctWidth>
                  </wp14:sizeRelH>
                  <wp14:sizeRelV relativeFrom="page">
                    <wp14:pctHeight>0</wp14:pctHeight>
                  </wp14:sizeRelV>
                </wp:anchor>
              </w:drawing>
            </w:r>
            <w:r w:rsidR="008F5D06">
              <w:rPr>
                <w:b/>
                <w:bCs/>
                <w:color w:val="00A0CB"/>
                <w:spacing w:val="38"/>
                <w:sz w:val="36"/>
                <w:szCs w:val="36"/>
                <w:lang w:val="nl-BE"/>
              </w:rPr>
              <w:t xml:space="preserve">Question à un </w:t>
            </w:r>
            <w:r w:rsidR="008F5D06" w:rsidRPr="00B612A0">
              <w:rPr>
                <w:b/>
                <w:bCs/>
                <w:color w:val="00A0CB"/>
                <w:spacing w:val="38"/>
                <w:sz w:val="36"/>
                <w:szCs w:val="36"/>
                <w:lang w:val="nl-BE"/>
              </w:rPr>
              <w:t>expert</w:t>
            </w:r>
          </w:p>
        </w:tc>
        <w:tc>
          <w:tcPr>
            <w:tcW w:w="1902" w:type="dxa"/>
            <w:vMerge w:val="restart"/>
          </w:tcPr>
          <w:p w14:paraId="39C378E9" w14:textId="77777777" w:rsidR="00082FF5" w:rsidRDefault="00082FF5" w:rsidP="00082FF5">
            <w:pPr>
              <w:jc w:val="both"/>
              <w:rPr>
                <w:rFonts w:ascii="Calibri" w:hAnsi="Calibri"/>
                <w:sz w:val="24"/>
                <w:lang w:val="nl-BE"/>
              </w:rPr>
            </w:pPr>
          </w:p>
          <w:p w14:paraId="1B0251C5" w14:textId="77777777" w:rsidR="00082FF5" w:rsidRDefault="00082FF5" w:rsidP="00082FF5">
            <w:pPr>
              <w:jc w:val="both"/>
              <w:rPr>
                <w:rFonts w:ascii="Calibri" w:hAnsi="Calibri"/>
                <w:sz w:val="24"/>
                <w:lang w:val="nl-BE"/>
              </w:rPr>
            </w:pPr>
          </w:p>
          <w:p w14:paraId="2CD96236" w14:textId="56077A44" w:rsidR="008F5D06" w:rsidRDefault="008F5D06" w:rsidP="00082FF5">
            <w:pPr>
              <w:jc w:val="both"/>
              <w:rPr>
                <w:rFonts w:ascii="Calibri" w:hAnsi="Calibri"/>
                <w:sz w:val="24"/>
                <w:lang w:val="nl-BE"/>
              </w:rPr>
            </w:pPr>
          </w:p>
        </w:tc>
      </w:tr>
      <w:tr w:rsidR="008F5D06" w:rsidRPr="005539DF" w14:paraId="0BFC55F3" w14:textId="77777777" w:rsidTr="00082FF5">
        <w:trPr>
          <w:trHeight w:val="1680"/>
        </w:trPr>
        <w:tc>
          <w:tcPr>
            <w:tcW w:w="9469" w:type="dxa"/>
          </w:tcPr>
          <w:p w14:paraId="48AB3486" w14:textId="77777777" w:rsidR="0085165B" w:rsidRPr="00E72D54" w:rsidRDefault="0085165B" w:rsidP="00082FF5">
            <w:pPr>
              <w:jc w:val="both"/>
              <w:rPr>
                <w:b/>
                <w:sz w:val="28"/>
                <w:szCs w:val="28"/>
                <w:lang w:val="fr-FR"/>
              </w:rPr>
            </w:pPr>
            <w:r w:rsidRPr="00FE4D5F">
              <w:rPr>
                <w:b/>
                <w:sz w:val="28"/>
                <w:szCs w:val="28"/>
                <w:lang w:val="fr-FR"/>
              </w:rPr>
              <w:t>Le t</w:t>
            </w:r>
            <w:r w:rsidRPr="00E72D54">
              <w:rPr>
                <w:b/>
                <w:sz w:val="28"/>
                <w:szCs w:val="28"/>
                <w:lang w:val="fr-FR"/>
              </w:rPr>
              <w:t>élétravail : une notion toujours d’actualité ?</w:t>
            </w:r>
          </w:p>
          <w:p w14:paraId="5AB8B749" w14:textId="77777777" w:rsidR="008F5D06" w:rsidRPr="000D3292" w:rsidRDefault="008F5D06" w:rsidP="00082FF5">
            <w:pPr>
              <w:spacing w:line="280" w:lineRule="exact"/>
              <w:jc w:val="both"/>
              <w:rPr>
                <w:rFonts w:cs="Arial"/>
                <w:sz w:val="28"/>
                <w:szCs w:val="28"/>
                <w:lang w:val="fr-BE"/>
              </w:rPr>
            </w:pPr>
          </w:p>
          <w:p w14:paraId="7B5C5CCF" w14:textId="77777777" w:rsidR="008F5D06" w:rsidRDefault="008F5D06" w:rsidP="00082FF5">
            <w:pPr>
              <w:spacing w:line="280" w:lineRule="exact"/>
              <w:jc w:val="both"/>
              <w:rPr>
                <w:rFonts w:cs="Arial"/>
                <w:sz w:val="28"/>
                <w:szCs w:val="28"/>
                <w:lang w:val="fr-BE"/>
              </w:rPr>
            </w:pPr>
          </w:p>
          <w:p w14:paraId="346BB3F6" w14:textId="77777777" w:rsidR="00082FF5" w:rsidRDefault="00082FF5" w:rsidP="00082FF5">
            <w:pPr>
              <w:spacing w:line="280" w:lineRule="exact"/>
              <w:jc w:val="both"/>
              <w:rPr>
                <w:rFonts w:cs="Arial"/>
                <w:sz w:val="28"/>
                <w:szCs w:val="28"/>
                <w:lang w:val="fr-BE"/>
              </w:rPr>
            </w:pPr>
          </w:p>
          <w:p w14:paraId="22E3ADF3" w14:textId="77777777" w:rsidR="00082FF5" w:rsidRDefault="00082FF5" w:rsidP="00082FF5">
            <w:pPr>
              <w:spacing w:line="280" w:lineRule="exact"/>
              <w:jc w:val="both"/>
              <w:rPr>
                <w:rFonts w:cs="Arial"/>
                <w:sz w:val="28"/>
                <w:szCs w:val="28"/>
                <w:lang w:val="fr-BE"/>
              </w:rPr>
            </w:pPr>
          </w:p>
          <w:p w14:paraId="139504FE" w14:textId="77777777" w:rsidR="00082FF5" w:rsidRDefault="00082FF5" w:rsidP="00082FF5">
            <w:pPr>
              <w:spacing w:line="280" w:lineRule="exact"/>
              <w:jc w:val="both"/>
              <w:rPr>
                <w:rFonts w:cs="Arial"/>
                <w:sz w:val="28"/>
                <w:szCs w:val="28"/>
                <w:lang w:val="fr-BE"/>
              </w:rPr>
            </w:pPr>
          </w:p>
          <w:p w14:paraId="56ED4336" w14:textId="77777777" w:rsidR="00082FF5" w:rsidRDefault="00082FF5" w:rsidP="00082FF5">
            <w:pPr>
              <w:spacing w:line="280" w:lineRule="exact"/>
              <w:jc w:val="both"/>
              <w:rPr>
                <w:rFonts w:cs="Arial"/>
                <w:sz w:val="28"/>
                <w:szCs w:val="28"/>
                <w:lang w:val="fr-BE"/>
              </w:rPr>
            </w:pPr>
          </w:p>
          <w:p w14:paraId="67385EA2" w14:textId="77777777" w:rsidR="00082FF5" w:rsidRPr="000D3292" w:rsidRDefault="00082FF5" w:rsidP="00082FF5">
            <w:pPr>
              <w:spacing w:line="280" w:lineRule="exact"/>
              <w:jc w:val="both"/>
              <w:rPr>
                <w:rFonts w:cs="Arial"/>
                <w:sz w:val="28"/>
                <w:szCs w:val="28"/>
                <w:lang w:val="fr-BE"/>
              </w:rPr>
            </w:pPr>
          </w:p>
          <w:p w14:paraId="2161639E" w14:textId="77777777" w:rsidR="008F5D06" w:rsidRPr="000D3292" w:rsidRDefault="008F5D06" w:rsidP="00082FF5">
            <w:pPr>
              <w:spacing w:line="280" w:lineRule="exact"/>
              <w:jc w:val="both"/>
              <w:rPr>
                <w:rFonts w:cs="Arial"/>
                <w:sz w:val="28"/>
                <w:szCs w:val="28"/>
                <w:lang w:val="fr-BE"/>
              </w:rPr>
            </w:pPr>
          </w:p>
          <w:p w14:paraId="07D9C69B" w14:textId="77777777" w:rsidR="00082FF5" w:rsidRPr="00082FF5" w:rsidRDefault="00082FF5" w:rsidP="00082FF5">
            <w:pPr>
              <w:spacing w:line="280" w:lineRule="exact"/>
              <w:jc w:val="right"/>
              <w:rPr>
                <w:rFonts w:cs="Arial"/>
                <w:szCs w:val="28"/>
                <w:lang w:val="fr-BE"/>
              </w:rPr>
            </w:pPr>
            <w:r w:rsidRPr="00082FF5">
              <w:rPr>
                <w:rFonts w:cs="Arial"/>
                <w:szCs w:val="28"/>
                <w:lang w:val="fr-BE"/>
              </w:rPr>
              <w:t>Yves Stox</w:t>
            </w:r>
          </w:p>
          <w:p w14:paraId="48A4D7E3" w14:textId="77777777" w:rsidR="00082FF5" w:rsidRPr="00082FF5" w:rsidRDefault="00082FF5" w:rsidP="00082FF5">
            <w:pPr>
              <w:spacing w:line="280" w:lineRule="exact"/>
              <w:jc w:val="right"/>
              <w:rPr>
                <w:rFonts w:cs="Arial"/>
                <w:szCs w:val="28"/>
                <w:lang w:val="fr-BE"/>
              </w:rPr>
            </w:pPr>
            <w:r w:rsidRPr="00082FF5">
              <w:rPr>
                <w:rFonts w:cs="Arial"/>
                <w:szCs w:val="28"/>
                <w:lang w:val="fr-BE"/>
              </w:rPr>
              <w:t xml:space="preserve">Senior Legal Counsel </w:t>
            </w:r>
          </w:p>
          <w:p w14:paraId="303765F6" w14:textId="78935BE4" w:rsidR="008F5D06" w:rsidRPr="00082FF5" w:rsidRDefault="00082FF5" w:rsidP="00082FF5">
            <w:pPr>
              <w:spacing w:line="280" w:lineRule="exact"/>
              <w:jc w:val="right"/>
              <w:rPr>
                <w:rFonts w:cs="Arial"/>
                <w:szCs w:val="28"/>
                <w:lang w:val="fr-BE"/>
              </w:rPr>
            </w:pPr>
            <w:r w:rsidRPr="00082FF5">
              <w:rPr>
                <w:rFonts w:cs="Arial"/>
                <w:szCs w:val="28"/>
                <w:lang w:val="fr-BE"/>
              </w:rPr>
              <w:t>Partena Professional</w:t>
            </w:r>
          </w:p>
        </w:tc>
        <w:tc>
          <w:tcPr>
            <w:tcW w:w="1979" w:type="dxa"/>
            <w:vAlign w:val="bottom"/>
          </w:tcPr>
          <w:p w14:paraId="78FEAF31" w14:textId="7445440E" w:rsidR="008F5D06" w:rsidRPr="005539DF" w:rsidRDefault="008F5D06" w:rsidP="00082FF5">
            <w:pPr>
              <w:jc w:val="both"/>
              <w:rPr>
                <w:rFonts w:cs="Arial"/>
                <w:sz w:val="28"/>
                <w:szCs w:val="28"/>
              </w:rPr>
            </w:pPr>
          </w:p>
        </w:tc>
        <w:tc>
          <w:tcPr>
            <w:tcW w:w="1902" w:type="dxa"/>
            <w:vMerge/>
          </w:tcPr>
          <w:p w14:paraId="5D93D918" w14:textId="77777777" w:rsidR="008F5D06" w:rsidRPr="005539DF" w:rsidRDefault="008F5D06" w:rsidP="00082FF5">
            <w:pPr>
              <w:jc w:val="both"/>
              <w:rPr>
                <w:rFonts w:ascii="Calibri" w:hAnsi="Calibri"/>
                <w:sz w:val="24"/>
              </w:rPr>
            </w:pPr>
          </w:p>
        </w:tc>
      </w:tr>
    </w:tbl>
    <w:p w14:paraId="6A79F1CA" w14:textId="77777777" w:rsidR="008F5D06" w:rsidRPr="005539DF" w:rsidRDefault="008F5D06" w:rsidP="00082FF5">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9264" behindDoc="0" locked="0" layoutInCell="1" allowOverlap="1" wp14:anchorId="667AD993" wp14:editId="11F9D989">
                <wp:simplePos x="0" y="0"/>
                <wp:positionH relativeFrom="column">
                  <wp:posOffset>-213360</wp:posOffset>
                </wp:positionH>
                <wp:positionV relativeFrom="paragraph">
                  <wp:posOffset>73025</wp:posOffset>
                </wp:positionV>
                <wp:extent cx="6426835"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FB35A5"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" strokecolor="#f6a500" strokeweight="1pt"/>
            </w:pict>
          </mc:Fallback>
        </mc:AlternateContent>
      </w:r>
    </w:p>
    <w:p w14:paraId="636CC378" w14:textId="07C614AF" w:rsidR="0085165B" w:rsidRDefault="0085165B" w:rsidP="00082FF5">
      <w:pPr>
        <w:autoSpaceDE w:val="0"/>
        <w:autoSpaceDN w:val="0"/>
        <w:adjustRightInd w:val="0"/>
        <w:jc w:val="both"/>
        <w:rPr>
          <w:b/>
          <w:sz w:val="24"/>
          <w:lang w:val="fr-FR"/>
        </w:rPr>
      </w:pPr>
      <w:r w:rsidRPr="0085165B">
        <w:rPr>
          <w:b/>
          <w:sz w:val="24"/>
          <w:lang w:val="fr-FR"/>
        </w:rPr>
        <w:t>Le travail à domicile a le vent en poupe. Selon le SPF Economie, le nombre de travailleurs à domicile a</w:t>
      </w:r>
      <w:r>
        <w:rPr>
          <w:b/>
          <w:sz w:val="24"/>
          <w:lang w:val="fr-FR"/>
        </w:rPr>
        <w:t xml:space="preserve"> progressé de 20 % en cinq ans. </w:t>
      </w:r>
      <w:r w:rsidRPr="0085165B">
        <w:rPr>
          <w:b/>
          <w:sz w:val="24"/>
          <w:lang w:val="fr-FR"/>
        </w:rPr>
        <w:t>Les Technologies de l’Information et de la Communication (TIC) ont fondamentalement changé le travail à domicile. Le télétravailleur d’aujourd’hui n’a plus rien à voir avec un travailleur à domicile du 19ème siècle. Aujourd’hui, de nombreuses combinaisons et formes de télétravail sont possibles : travailler en partie depuis chez soi et à partir du bureau satellite de l’employeur, dans le petit café tranquille du coin ou encore dans le bus, sur le chemin du travail. Cela peut être à temps plein ou à temps partiel, selon un modèle</w:t>
      </w:r>
      <w:r>
        <w:rPr>
          <w:b/>
          <w:sz w:val="24"/>
          <w:lang w:val="fr-FR"/>
        </w:rPr>
        <w:t xml:space="preserve"> fixe ou bien de temps à autre. </w:t>
      </w:r>
      <w:r w:rsidRPr="0085165B">
        <w:rPr>
          <w:b/>
          <w:sz w:val="24"/>
          <w:lang w:val="fr-FR"/>
        </w:rPr>
        <w:t xml:space="preserve">Toutes ces formes de travail à domicile et de télétravail trouvent leur place dans le cadre juridique existant. </w:t>
      </w:r>
    </w:p>
    <w:p w14:paraId="0416CA4C" w14:textId="77777777" w:rsidR="008D0215" w:rsidRPr="008F5D06" w:rsidRDefault="008D0215" w:rsidP="00082FF5">
      <w:pPr>
        <w:spacing w:line="280" w:lineRule="exact"/>
        <w:jc w:val="both"/>
        <w:rPr>
          <w:rFonts w:cs="Arial"/>
          <w:sz w:val="24"/>
          <w:lang w:val="fr-FR"/>
        </w:rPr>
      </w:pPr>
    </w:p>
    <w:p w14:paraId="000B5A04" w14:textId="0BF6F7FB" w:rsidR="0085165B" w:rsidRPr="008F5D06" w:rsidRDefault="0085165B" w:rsidP="00082FF5">
      <w:pPr>
        <w:spacing w:line="280" w:lineRule="exact"/>
        <w:jc w:val="both"/>
        <w:rPr>
          <w:rFonts w:cs="Arial"/>
          <w:b/>
          <w:color w:val="00A0CB"/>
          <w:sz w:val="24"/>
          <w:lang w:val="fr-BE"/>
        </w:rPr>
      </w:pPr>
      <w:r w:rsidRPr="0085165B">
        <w:rPr>
          <w:rFonts w:cs="Arial"/>
          <w:b/>
          <w:color w:val="00A0CB"/>
          <w:sz w:val="24"/>
          <w:lang w:val="fr-BE"/>
        </w:rPr>
        <w:t xml:space="preserve">Quelle est la différence entre un travailleur à domicile et un télétravailleur ? </w:t>
      </w:r>
    </w:p>
    <w:p w14:paraId="61C9C9BF" w14:textId="352104C4" w:rsidR="005F027C" w:rsidRDefault="0085165B" w:rsidP="00082FF5">
      <w:pPr>
        <w:jc w:val="both"/>
        <w:rPr>
          <w:rFonts w:cs="Arial"/>
          <w:szCs w:val="20"/>
          <w:lang w:val="fr-BE"/>
        </w:rPr>
      </w:pPr>
      <w:r w:rsidRPr="0085165B">
        <w:rPr>
          <w:rFonts w:cs="Arial"/>
          <w:sz w:val="22"/>
          <w:szCs w:val="20"/>
          <w:lang w:val="fr-FR"/>
        </w:rPr>
        <w:t xml:space="preserve">Le travailleur qui choisit lui-même l’endroit où il travaille, sans surveillance ni contrôle direct de son employeur, est un travailleur à domicile (Titre VI de la loi de 1978 </w:t>
      </w:r>
      <w:proofErr w:type="gramStart"/>
      <w:r w:rsidRPr="0085165B">
        <w:rPr>
          <w:rFonts w:cs="Arial"/>
          <w:sz w:val="22"/>
          <w:szCs w:val="20"/>
          <w:lang w:val="fr-FR"/>
        </w:rPr>
        <w:t>relative</w:t>
      </w:r>
      <w:proofErr w:type="gramEnd"/>
      <w:r w:rsidRPr="0085165B">
        <w:rPr>
          <w:rFonts w:cs="Arial"/>
          <w:sz w:val="22"/>
          <w:szCs w:val="20"/>
          <w:lang w:val="fr-FR"/>
        </w:rPr>
        <w:t xml:space="preserve"> aux contrats de travail). S’il utilise des TIC, il s’agit alors d’un télétravailleur (CCT no 85), à condition que le télétravail soit effectué sur une base régulière.</w:t>
      </w:r>
    </w:p>
    <w:p w14:paraId="154D8A11" w14:textId="77777777" w:rsidR="008F5D06" w:rsidRPr="00690766" w:rsidRDefault="008F5D06" w:rsidP="00082FF5">
      <w:pPr>
        <w:spacing w:line="280" w:lineRule="exact"/>
        <w:jc w:val="both"/>
        <w:rPr>
          <w:rFonts w:cs="Arial"/>
          <w:sz w:val="22"/>
          <w:szCs w:val="22"/>
          <w:lang w:val="fr-BE"/>
        </w:rPr>
      </w:pPr>
    </w:p>
    <w:p w14:paraId="2498D524" w14:textId="0D666437" w:rsidR="008F5D06" w:rsidRPr="008F5D06" w:rsidRDefault="0085165B" w:rsidP="00082FF5">
      <w:pPr>
        <w:spacing w:line="280" w:lineRule="exact"/>
        <w:jc w:val="both"/>
        <w:rPr>
          <w:rFonts w:cs="Arial"/>
          <w:sz w:val="22"/>
          <w:szCs w:val="22"/>
          <w:lang w:val="fr-FR"/>
        </w:rPr>
      </w:pPr>
      <w:r w:rsidRPr="0085165B">
        <w:rPr>
          <w:rFonts w:cs="Arial"/>
          <w:b/>
          <w:color w:val="00A0CB"/>
          <w:sz w:val="24"/>
          <w:lang w:val="fr-BE"/>
        </w:rPr>
        <w:t>Que doit-on entendre par la notion de « régulier » ?</w:t>
      </w:r>
      <w:bookmarkStart w:id="0" w:name="_GoBack"/>
      <w:bookmarkEnd w:id="0"/>
    </w:p>
    <w:p w14:paraId="1EEAE161" w14:textId="61B87A0F" w:rsidR="008B0BFB" w:rsidRDefault="0085165B" w:rsidP="00082FF5">
      <w:pPr>
        <w:spacing w:line="280" w:lineRule="exact"/>
        <w:jc w:val="both"/>
        <w:rPr>
          <w:rFonts w:cs="Arial"/>
          <w:sz w:val="22"/>
          <w:szCs w:val="22"/>
          <w:lang w:val="fr-BE"/>
        </w:rPr>
      </w:pPr>
      <w:r w:rsidRPr="0085165B">
        <w:rPr>
          <w:rFonts w:cs="Arial"/>
          <w:sz w:val="22"/>
          <w:szCs w:val="20"/>
          <w:lang w:val="fr-FR"/>
        </w:rPr>
        <w:t>La définition de ce qu’il faut entendre par « régulier » fait défaut car il n’est pas (encore) clairement défini quand est-ce que le télétravail occasionnel devient régulier. Le fait de travailler dans un café peut donc être assimilé à du télétravail, alors que travailler dans le bureau satellite de l’employeur ne l’est pas. Les techniciens mobiles ou les représentants de commerce ne sont pas non plus des télétravailleurs, même s’ils effectuent régulièrement une partie de leur travail à leur domicile.</w:t>
      </w:r>
    </w:p>
    <w:p w14:paraId="6AE009DE" w14:textId="77777777" w:rsidR="0085165B" w:rsidRPr="00082FF5" w:rsidRDefault="0085165B" w:rsidP="00082FF5">
      <w:pPr>
        <w:pStyle w:val="Heading1"/>
        <w:jc w:val="both"/>
        <w:rPr>
          <w:rFonts w:ascii="Arial" w:eastAsia="Times New Roman" w:hAnsi="Arial" w:cs="Arial"/>
          <w:b/>
          <w:color w:val="00A0CB"/>
          <w:sz w:val="24"/>
          <w:szCs w:val="24"/>
          <w:lang w:val="fr-BE"/>
        </w:rPr>
      </w:pPr>
      <w:r w:rsidRPr="00082FF5">
        <w:rPr>
          <w:rFonts w:ascii="Arial" w:eastAsia="Times New Roman" w:hAnsi="Arial" w:cs="Arial"/>
          <w:b/>
          <w:color w:val="00A0CB"/>
          <w:sz w:val="24"/>
          <w:szCs w:val="24"/>
          <w:lang w:val="fr-BE"/>
        </w:rPr>
        <w:t>Formaliser le télétravail à domicile est-il toujours la solution ?</w:t>
      </w:r>
    </w:p>
    <w:p w14:paraId="7BE64D6C" w14:textId="77777777" w:rsidR="001521A9" w:rsidRDefault="0085165B" w:rsidP="00082FF5">
      <w:pPr>
        <w:jc w:val="both"/>
        <w:rPr>
          <w:rFonts w:cs="Arial"/>
          <w:sz w:val="24"/>
          <w:lang w:val="fr-BE"/>
        </w:rPr>
      </w:pPr>
      <w:r w:rsidRPr="00082FF5">
        <w:rPr>
          <w:rFonts w:cs="Arial"/>
          <w:sz w:val="22"/>
          <w:szCs w:val="22"/>
          <w:lang w:val="fr-BE"/>
        </w:rPr>
        <w:t>L’employeur peut offrir à ses travailleurs la possibilité de travailler à domicile mais il est primordial de formaliser cet accord dans le contrat de travail ou dans une annexe à celui-ci. Le plan Peeters « travail faisable et maniable » entend élaborer un cadre juridique axé sur le télétravail occasionnel. Les employeurs ne doivent donc pas attendre des partenaires sociaux pour prendre l’initiative</w:t>
      </w:r>
      <w:r w:rsidRPr="00082FF5">
        <w:rPr>
          <w:rFonts w:cs="Arial"/>
          <w:sz w:val="24"/>
          <w:lang w:val="fr-BE"/>
        </w:rPr>
        <w:t>.</w:t>
      </w:r>
    </w:p>
    <w:p w14:paraId="7374EC10" w14:textId="77777777" w:rsidR="0085165B" w:rsidRPr="00082FF5" w:rsidRDefault="0085165B" w:rsidP="00082FF5">
      <w:pPr>
        <w:pStyle w:val="Heading1"/>
        <w:jc w:val="both"/>
        <w:rPr>
          <w:rFonts w:ascii="Arial" w:eastAsia="Times New Roman" w:hAnsi="Arial" w:cs="Arial"/>
          <w:b/>
          <w:color w:val="00A0CB"/>
          <w:sz w:val="24"/>
          <w:szCs w:val="24"/>
          <w:lang w:val="fr-BE"/>
        </w:rPr>
      </w:pPr>
      <w:r w:rsidRPr="00082FF5">
        <w:rPr>
          <w:rFonts w:ascii="Arial" w:eastAsia="Times New Roman" w:hAnsi="Arial" w:cs="Arial"/>
          <w:b/>
          <w:color w:val="00A0CB"/>
          <w:sz w:val="24"/>
          <w:szCs w:val="24"/>
          <w:lang w:val="fr-BE"/>
        </w:rPr>
        <w:lastRenderedPageBreak/>
        <w:t>Quels sont les risques pour l’employeur si un accord avec les travailleurs n’est pas formalisé ?</w:t>
      </w:r>
    </w:p>
    <w:p w14:paraId="36CA8B48" w14:textId="44A47232" w:rsidR="0085165B" w:rsidRDefault="0085165B" w:rsidP="00082FF5">
      <w:pPr>
        <w:spacing w:line="280" w:lineRule="exact"/>
        <w:jc w:val="both"/>
        <w:rPr>
          <w:rFonts w:cs="Arial"/>
          <w:sz w:val="22"/>
          <w:szCs w:val="20"/>
          <w:lang w:val="fr-BE"/>
        </w:rPr>
      </w:pPr>
      <w:r w:rsidRPr="0085165B">
        <w:rPr>
          <w:rFonts w:cs="Arial"/>
          <w:sz w:val="22"/>
          <w:szCs w:val="20"/>
          <w:lang w:val="fr-BE"/>
        </w:rPr>
        <w:t xml:space="preserve">Supposons qu’un employeur autorise ses collaborateurs à faire du télétravail sans accord défini préalablement dans un contrat. Le travailleur peut ainsi travailler de chez lui après avoir concerté son équipe ou son manager. Cela se produit donc de manière occasionnelle. Il n’est dès lors pas évident d’établir clairement si le travail à </w:t>
      </w:r>
      <w:r w:rsidR="001521A9">
        <w:rPr>
          <w:rFonts w:cs="Arial"/>
          <w:sz w:val="22"/>
          <w:szCs w:val="20"/>
          <w:lang w:val="fr-BE"/>
        </w:rPr>
        <w:t xml:space="preserve">domicile est régulier ou non. </w:t>
      </w:r>
      <w:r w:rsidR="001521A9">
        <w:rPr>
          <w:rFonts w:cs="Arial"/>
          <w:sz w:val="22"/>
          <w:szCs w:val="20"/>
          <w:lang w:val="fr-BE"/>
        </w:rPr>
        <w:br/>
      </w:r>
      <w:r w:rsidRPr="0085165B">
        <w:rPr>
          <w:rFonts w:cs="Arial"/>
          <w:sz w:val="22"/>
          <w:szCs w:val="20"/>
          <w:lang w:val="fr-BE"/>
        </w:rPr>
        <w:t>Comment la situation pourrait-elle déraper ? Dans ce cas de figure, le travailleur peut réclamer un remboursement forfaitaire des frais égal à 10% de la rémunération brute. Tous les composants salariaux sont alors pris en compte. En outre, le travailleur a le droit de mettre immédiatement fin au contrat de travail. (Cass. 13 avril 2015, JTT 2015, 318 ; Cour du travail de Gand, 14 juin 2013, JTT 2013, 360)</w:t>
      </w:r>
      <w:r w:rsidR="001521A9">
        <w:rPr>
          <w:rFonts w:cs="Arial"/>
          <w:sz w:val="22"/>
          <w:szCs w:val="20"/>
          <w:lang w:val="fr-BE"/>
        </w:rPr>
        <w:t>.</w:t>
      </w:r>
    </w:p>
    <w:p w14:paraId="50E64C3B" w14:textId="77777777" w:rsidR="0085165B" w:rsidRDefault="0085165B" w:rsidP="00082FF5">
      <w:pPr>
        <w:jc w:val="both"/>
        <w:rPr>
          <w:rFonts w:cs="Arial"/>
          <w:sz w:val="22"/>
          <w:szCs w:val="20"/>
          <w:lang w:val="fr-BE"/>
        </w:rPr>
      </w:pPr>
    </w:p>
    <w:p w14:paraId="66B7F463" w14:textId="77777777" w:rsidR="0085165B" w:rsidRPr="00082FF5" w:rsidRDefault="0085165B" w:rsidP="00082FF5">
      <w:pPr>
        <w:jc w:val="both"/>
        <w:rPr>
          <w:rFonts w:cs="Arial"/>
          <w:b/>
          <w:color w:val="00A0CB"/>
          <w:sz w:val="24"/>
          <w:lang w:val="fr-BE"/>
        </w:rPr>
      </w:pPr>
      <w:r w:rsidRPr="00082FF5">
        <w:rPr>
          <w:rFonts w:cs="Arial"/>
          <w:b/>
          <w:color w:val="00A0CB"/>
          <w:sz w:val="24"/>
          <w:lang w:val="fr-BE"/>
        </w:rPr>
        <w:t>Le télétravail à domicile : adapter le package salarial</w:t>
      </w:r>
    </w:p>
    <w:p w14:paraId="2F10FF6F" w14:textId="39F08B28" w:rsidR="0085165B" w:rsidRDefault="0085165B" w:rsidP="00082FF5">
      <w:pPr>
        <w:jc w:val="both"/>
        <w:rPr>
          <w:rFonts w:cs="Arial"/>
          <w:sz w:val="22"/>
          <w:szCs w:val="20"/>
          <w:lang w:val="fr-BE"/>
        </w:rPr>
      </w:pPr>
      <w:r w:rsidRPr="0085165B">
        <w:rPr>
          <w:rFonts w:cs="Arial"/>
          <w:sz w:val="22"/>
          <w:szCs w:val="20"/>
          <w:lang w:val="fr-BE"/>
        </w:rPr>
        <w:t>Le télétravail à domicile permet également d’élaborer un package salarial attractif car l’indemnité de travail à domicile ou pour les frais de bureau est exonérée de cotisations ONSS. L’O</w:t>
      </w:r>
      <w:r>
        <w:rPr>
          <w:rFonts w:cs="Arial"/>
          <w:sz w:val="22"/>
          <w:szCs w:val="20"/>
          <w:lang w:val="fr-BE"/>
        </w:rPr>
        <w:t>NSS prévoit deux possibilités :</w:t>
      </w:r>
    </w:p>
    <w:p w14:paraId="349DFE93" w14:textId="77777777" w:rsidR="0085165B" w:rsidRDefault="0085165B" w:rsidP="00082FF5">
      <w:pPr>
        <w:jc w:val="both"/>
        <w:rPr>
          <w:rFonts w:cs="Arial"/>
          <w:sz w:val="22"/>
          <w:szCs w:val="20"/>
          <w:lang w:val="fr-BE"/>
        </w:rPr>
      </w:pPr>
    </w:p>
    <w:p w14:paraId="462B5051" w14:textId="740D7A57" w:rsidR="0085165B" w:rsidRPr="00082FF5" w:rsidRDefault="0085165B" w:rsidP="00082FF5">
      <w:pPr>
        <w:pStyle w:val="ListParagraph"/>
        <w:numPr>
          <w:ilvl w:val="0"/>
          <w:numId w:val="4"/>
        </w:numPr>
        <w:jc w:val="both"/>
        <w:rPr>
          <w:rFonts w:cs="Arial"/>
          <w:sz w:val="22"/>
          <w:szCs w:val="20"/>
          <w:lang w:val="fr-BE"/>
        </w:rPr>
      </w:pPr>
      <w:r w:rsidRPr="00082FF5">
        <w:rPr>
          <w:rFonts w:cs="Arial"/>
          <w:sz w:val="22"/>
          <w:szCs w:val="20"/>
          <w:lang w:val="fr-BE"/>
        </w:rPr>
        <w:t>Indemnité spécifique pour les télétravailleurs : il s’agit d’une indemnité forfaitaire de maximum 10% de la rémunération brute (limitée à la partie relative au télétravail)</w:t>
      </w:r>
    </w:p>
    <w:p w14:paraId="77C1A994" w14:textId="43BD9738" w:rsidR="0085165B" w:rsidRPr="00082FF5" w:rsidRDefault="0085165B" w:rsidP="00082FF5">
      <w:pPr>
        <w:pStyle w:val="ListParagraph"/>
        <w:numPr>
          <w:ilvl w:val="0"/>
          <w:numId w:val="4"/>
        </w:numPr>
        <w:jc w:val="both"/>
        <w:rPr>
          <w:rFonts w:cs="Arial"/>
          <w:sz w:val="22"/>
          <w:szCs w:val="20"/>
          <w:lang w:val="fr-BE"/>
        </w:rPr>
      </w:pPr>
      <w:r w:rsidRPr="00082FF5">
        <w:rPr>
          <w:rFonts w:cs="Arial"/>
          <w:sz w:val="22"/>
          <w:szCs w:val="20"/>
          <w:lang w:val="fr-BE"/>
        </w:rPr>
        <w:t>Indemnité pour les travailleurs qui effectuent structurellement et régulièrement une partie de leur travail à domicile : il s’agit d’une indemnité forfaitaire de maximum 122,01€ par mois (indexée).</w:t>
      </w:r>
    </w:p>
    <w:p w14:paraId="5B9391FE" w14:textId="0A87F19E" w:rsidR="0085165B" w:rsidRPr="0085165B" w:rsidRDefault="0085165B" w:rsidP="00082FF5">
      <w:pPr>
        <w:jc w:val="both"/>
        <w:rPr>
          <w:rFonts w:cs="Arial"/>
          <w:sz w:val="22"/>
          <w:szCs w:val="20"/>
          <w:lang w:val="fr-BE"/>
        </w:rPr>
      </w:pPr>
    </w:p>
    <w:p w14:paraId="1C28C177" w14:textId="77777777" w:rsidR="0085165B" w:rsidRPr="00082FF5" w:rsidRDefault="0085165B" w:rsidP="00082FF5">
      <w:pPr>
        <w:jc w:val="both"/>
        <w:rPr>
          <w:rFonts w:cs="Arial"/>
          <w:b/>
          <w:color w:val="00A0CB"/>
          <w:sz w:val="24"/>
          <w:lang w:val="fr-BE"/>
        </w:rPr>
      </w:pPr>
      <w:r w:rsidRPr="00082FF5">
        <w:rPr>
          <w:rFonts w:cs="Arial"/>
          <w:b/>
          <w:color w:val="00A0CB"/>
          <w:sz w:val="24"/>
          <w:lang w:val="fr-BE"/>
        </w:rPr>
        <w:t>Dernière tendance : le « Bring your own device » (ou BYOD)</w:t>
      </w:r>
    </w:p>
    <w:p w14:paraId="15AE68C2" w14:textId="420A43C4" w:rsidR="0085165B" w:rsidRPr="0085165B" w:rsidRDefault="0085165B" w:rsidP="00082FF5">
      <w:pPr>
        <w:jc w:val="both"/>
        <w:rPr>
          <w:rFonts w:cs="Arial"/>
          <w:sz w:val="22"/>
          <w:szCs w:val="20"/>
          <w:lang w:val="fr-BE"/>
        </w:rPr>
      </w:pPr>
      <w:r w:rsidRPr="0085165B">
        <w:rPr>
          <w:rFonts w:cs="Arial"/>
          <w:sz w:val="22"/>
          <w:szCs w:val="20"/>
          <w:lang w:val="fr-BE"/>
        </w:rPr>
        <w:t>Lorsqu’un travailleur fait un usage professionnel de son ordinateur personnel et de sa connexion internet, l’ONSS accepte que l’employeur puisse lui octroyer une indemnité forfaitaire exonérée de cotisations ONSS, à condition que celle-ci ne dépasse pas 40€ par mois.</w:t>
      </w:r>
    </w:p>
    <w:p w14:paraId="09215366" w14:textId="6DB0EA71" w:rsidR="00F33796" w:rsidRPr="00082FF5" w:rsidRDefault="0085165B" w:rsidP="00082FF5">
      <w:pPr>
        <w:jc w:val="both"/>
        <w:rPr>
          <w:rFonts w:cs="Arial"/>
          <w:sz w:val="22"/>
          <w:szCs w:val="20"/>
          <w:lang w:val="fr-BE"/>
        </w:rPr>
      </w:pPr>
      <w:r w:rsidRPr="0085165B">
        <w:rPr>
          <w:rFonts w:cs="Arial"/>
          <w:sz w:val="22"/>
          <w:szCs w:val="20"/>
          <w:lang w:val="fr-BE"/>
        </w:rPr>
        <w:t>Dans ce cas, le travailleur doit utiliser « essentiellement et sur une base régulière » son ordinateur et sa connexion internet. Le double emploi avec une indemnité spécifique pour les frais de bureau n’est pas permis mais la combinaison est possible.</w:t>
      </w:r>
    </w:p>
    <w:p w14:paraId="5E8934EA" w14:textId="77777777" w:rsidR="009E1727" w:rsidRDefault="009E1727" w:rsidP="00082FF5">
      <w:pPr>
        <w:spacing w:line="280" w:lineRule="exact"/>
        <w:jc w:val="both"/>
        <w:rPr>
          <w:rFonts w:cs="Arial"/>
          <w:b/>
          <w:sz w:val="24"/>
          <w:szCs w:val="22"/>
          <w:lang w:val="fr-BE"/>
        </w:rPr>
      </w:pPr>
    </w:p>
    <w:p w14:paraId="441B4135" w14:textId="77777777" w:rsidR="00082FF5" w:rsidRPr="00082FF5" w:rsidRDefault="00082FF5" w:rsidP="00082FF5">
      <w:pPr>
        <w:spacing w:line="280" w:lineRule="exact"/>
        <w:jc w:val="both"/>
        <w:rPr>
          <w:rFonts w:cs="Arial"/>
          <w:b/>
          <w:sz w:val="24"/>
          <w:szCs w:val="22"/>
          <w:lang w:val="fr-BE"/>
        </w:rPr>
      </w:pPr>
    </w:p>
    <w:p w14:paraId="50BFCC13" w14:textId="77777777" w:rsidR="001E0B16" w:rsidRPr="00BA1A01" w:rsidRDefault="001E0B16" w:rsidP="00082FF5">
      <w:pPr>
        <w:jc w:val="both"/>
        <w:rPr>
          <w:rFonts w:cs="Arial"/>
          <w:color w:val="F6A500"/>
          <w:sz w:val="28"/>
          <w:szCs w:val="20"/>
          <w:lang w:val="fr-FR"/>
        </w:rPr>
      </w:pPr>
      <w:r w:rsidRPr="00BA1A01">
        <w:rPr>
          <w:color w:val="F6A500"/>
          <w:sz w:val="28"/>
          <w:szCs w:val="20"/>
          <w:lang w:val="fr-FR"/>
        </w:rPr>
        <w:t xml:space="preserve">A propos de </w:t>
      </w:r>
      <w:proofErr w:type="spellStart"/>
      <w:r w:rsidRPr="00BA1A01">
        <w:rPr>
          <w:color w:val="F6A500"/>
          <w:sz w:val="28"/>
          <w:szCs w:val="20"/>
          <w:lang w:val="fr-FR"/>
        </w:rPr>
        <w:t>Partena</w:t>
      </w:r>
      <w:proofErr w:type="spellEnd"/>
      <w:r w:rsidRPr="00BA1A01">
        <w:rPr>
          <w:color w:val="F6A500"/>
          <w:sz w:val="28"/>
          <w:szCs w:val="20"/>
          <w:lang w:val="fr-FR"/>
        </w:rPr>
        <w:t xml:space="preserve"> Professional</w:t>
      </w:r>
    </w:p>
    <w:p w14:paraId="3F51CB33" w14:textId="0426BB68" w:rsidR="00877080" w:rsidRPr="008F5D06" w:rsidRDefault="001E0B16" w:rsidP="00082FF5">
      <w:pPr>
        <w:jc w:val="both"/>
        <w:rPr>
          <w:lang w:val="de-DE"/>
        </w:rPr>
      </w:pPr>
      <w:proofErr w:type="spellStart"/>
      <w:r w:rsidRPr="00082FF5">
        <w:rPr>
          <w:rFonts w:cs="Arial"/>
          <w:color w:val="222222"/>
          <w:szCs w:val="20"/>
          <w:shd w:val="clear" w:color="auto" w:fill="FFFFFF"/>
          <w:lang w:val="fr-FR"/>
        </w:rPr>
        <w:t>Partena</w:t>
      </w:r>
      <w:proofErr w:type="spellEnd"/>
      <w:r w:rsidRPr="00082FF5">
        <w:rPr>
          <w:rFonts w:cs="Arial"/>
          <w:color w:val="222222"/>
          <w:szCs w:val="20"/>
          <w:shd w:val="clear" w:color="auto" w:fill="FFFFFF"/>
          <w:lang w:val="fr-FR"/>
        </w:rPr>
        <w:t xml:space="preserve"> Professional est un prestataire de services qui met résolument l’accent sur l’entrepreneuriat et la gestion du personnel. </w:t>
      </w:r>
      <w:proofErr w:type="spellStart"/>
      <w:r w:rsidRPr="00082FF5">
        <w:rPr>
          <w:rFonts w:cs="Arial"/>
          <w:color w:val="222222"/>
          <w:szCs w:val="20"/>
          <w:shd w:val="clear" w:color="auto" w:fill="FFFFFF"/>
          <w:lang w:val="fr-FR"/>
        </w:rPr>
        <w:t>Partena</w:t>
      </w:r>
      <w:proofErr w:type="spellEnd"/>
      <w:r w:rsidRPr="00082FF5">
        <w:rPr>
          <w:rFonts w:cs="Arial"/>
          <w:color w:val="222222"/>
          <w:szCs w:val="20"/>
          <w:shd w:val="clear" w:color="auto" w:fill="FFFFFF"/>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w:t>
      </w:r>
      <w:r w:rsidRPr="00082FF5">
        <w:rPr>
          <w:rStyle w:val="apple-converted-space"/>
          <w:rFonts w:cs="Arial"/>
          <w:color w:val="222222"/>
          <w:szCs w:val="20"/>
          <w:shd w:val="clear" w:color="auto" w:fill="FFFFFF"/>
          <w:lang w:val="fr-FR"/>
        </w:rPr>
        <w:t xml:space="preserve"> </w:t>
      </w:r>
      <w:proofErr w:type="gramStart"/>
      <w:r w:rsidRPr="005F6C5B">
        <w:rPr>
          <w:rFonts w:cs="Arial"/>
          <w:color w:val="222222"/>
          <w:szCs w:val="20"/>
          <w:shd w:val="clear" w:color="auto" w:fill="FFFFFF"/>
        </w:rPr>
        <w:t xml:space="preserve">Plus </w:t>
      </w:r>
      <w:proofErr w:type="spellStart"/>
      <w:r w:rsidRPr="005F6C5B">
        <w:rPr>
          <w:rFonts w:cs="Arial"/>
          <w:color w:val="222222"/>
          <w:szCs w:val="20"/>
          <w:shd w:val="clear" w:color="auto" w:fill="FFFFFF"/>
        </w:rPr>
        <w:t>d’informations</w:t>
      </w:r>
      <w:proofErr w:type="spellEnd"/>
      <w:r w:rsidRPr="005F6C5B">
        <w:rPr>
          <w:rFonts w:cs="Arial"/>
          <w:color w:val="222222"/>
          <w:szCs w:val="20"/>
          <w:shd w:val="clear" w:color="auto" w:fill="FFFFFF"/>
        </w:rPr>
        <w:t xml:space="preserve"> </w:t>
      </w:r>
      <w:proofErr w:type="spellStart"/>
      <w:r w:rsidRPr="005F6C5B">
        <w:rPr>
          <w:rFonts w:cs="Arial"/>
          <w:color w:val="222222"/>
          <w:szCs w:val="20"/>
          <w:shd w:val="clear" w:color="auto" w:fill="FFFFFF"/>
        </w:rPr>
        <w:t>sur</w:t>
      </w:r>
      <w:proofErr w:type="spellEnd"/>
      <w:r w:rsidRPr="005F6C5B">
        <w:rPr>
          <w:rFonts w:cs="Arial"/>
          <w:color w:val="222222"/>
          <w:szCs w:val="20"/>
          <w:shd w:val="clear" w:color="auto" w:fill="FFFFFF"/>
        </w:rPr>
        <w:t xml:space="preserve"> </w:t>
      </w:r>
      <w:r w:rsidRPr="00082FF5">
        <w:t>www.partena-professional.be</w:t>
      </w:r>
      <w:r w:rsidR="00A26C10">
        <w:rPr>
          <w:rFonts w:cs="Arial"/>
          <w:color w:val="222222"/>
          <w:szCs w:val="20"/>
          <w:shd w:val="clear" w:color="auto" w:fill="FFFFFF"/>
        </w:rPr>
        <w:t>.</w:t>
      </w:r>
      <w:proofErr w:type="gramEnd"/>
    </w:p>
    <w:sectPr w:rsidR="00877080" w:rsidRPr="008F5D06" w:rsidSect="008B0BFB">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BA1A01" w:rsidRDefault="00BA1A01" w:rsidP="009E1727">
      <w:r>
        <w:separator/>
      </w:r>
    </w:p>
  </w:endnote>
  <w:endnote w:type="continuationSeparator" w:id="0">
    <w:p w14:paraId="660D3D0E" w14:textId="77777777" w:rsidR="00BA1A01" w:rsidRDefault="00BA1A01"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0895" w14:textId="54F11542" w:rsidR="00BA1A01" w:rsidRDefault="00BA1A01">
    <w:pPr>
      <w:pStyle w:val="Footer"/>
      <w:rPr>
        <w:rFonts w:ascii="Arial" w:hAnsi="Arial" w:cs="Arial"/>
        <w:sz w:val="16"/>
        <w:lang w:val="nl-BE"/>
      </w:rPr>
    </w:pPr>
    <w:r w:rsidRPr="009E1727">
      <w:rPr>
        <w:rFonts w:ascii="Arial" w:hAnsi="Arial" w:cs="Arial"/>
        <w:noProof/>
        <w:sz w:val="16"/>
        <w:szCs w:val="16"/>
      </w:rPr>
      <mc:AlternateContent>
        <mc:Choice Requires="wps">
          <w:drawing>
            <wp:anchor distT="4294967293" distB="4294967293" distL="114300" distR="114300" simplePos="0" relativeHeight="251660288" behindDoc="0" locked="0" layoutInCell="1" allowOverlap="1" wp14:anchorId="7B979740" wp14:editId="01926C63">
              <wp:simplePos x="0" y="0"/>
              <wp:positionH relativeFrom="column">
                <wp:posOffset>-36195</wp:posOffset>
              </wp:positionH>
              <wp:positionV relativeFrom="paragraph">
                <wp:posOffset>-45720</wp:posOffset>
              </wp:positionV>
              <wp:extent cx="6132195" cy="0"/>
              <wp:effectExtent l="6985"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F663C"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" strokecolor="#f6a500"/>
          </w:pict>
        </mc:Fallback>
      </mc:AlternateContent>
    </w:r>
    <w:r w:rsidRPr="009E1727">
      <w:rPr>
        <w:rFonts w:ascii="Arial" w:hAnsi="Arial" w:cs="Arial"/>
        <w:noProof/>
        <w:sz w:val="16"/>
        <w:szCs w:val="16"/>
      </w:rPr>
      <mc:AlternateContent>
        <mc:Choice Requires="wps">
          <w:drawing>
            <wp:anchor distT="0" distB="0" distL="114300" distR="114300" simplePos="0" relativeHeight="251659264" behindDoc="0" locked="0" layoutInCell="1" allowOverlap="1" wp14:anchorId="6954C86F" wp14:editId="749A4C8C">
              <wp:simplePos x="0" y="0"/>
              <wp:positionH relativeFrom="column">
                <wp:posOffset>5842000</wp:posOffset>
              </wp:positionH>
              <wp:positionV relativeFrom="paragraph">
                <wp:posOffset>-55245</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96AF" w14:textId="08E1542D" w:rsidR="00BA1A01" w:rsidRDefault="00BA1A01">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EF3CDA">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EF3CDA">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oW7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xxjoW7MCAAC4BQAADgAA&#10;AAAAAAAAAAAAAAAsAgAAZHJzL2Uyb0RvYy54bWxQSwECLQAUAAYACAAAACEAcc+dI90AAAAKAQAA&#10;DwAAAAAAAAAAAAAAAAALBQAAZHJzL2Rvd25yZXYueG1sUEsFBgAAAAAEAAQA8wAAABUGAAAAAA==&#10;" filled="f" stroked="f">
              <v:textbox>
                <w:txbxContent>
                  <w:p w14:paraId="5E7796AF" w14:textId="08E1542D" w:rsidR="00BA1A01" w:rsidRDefault="00BA1A01">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EF3CDA">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EF3CDA">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noProof/>
        <w:sz w:val="16"/>
        <w:szCs w:val="16"/>
        <w:lang w:val="nl-BE" w:eastAsia="nl-BE"/>
      </w:rPr>
      <w:t xml:space="preserve">Octobre </w:t>
    </w:r>
    <w:r>
      <w:rPr>
        <w:rFonts w:ascii="Arial" w:hAnsi="Arial" w:cs="Arial"/>
        <w:sz w:val="16"/>
        <w:lang w:val="nl-BE"/>
      </w:rPr>
      <w:t>2016</w:t>
    </w:r>
  </w:p>
  <w:p w14:paraId="24251572" w14:textId="77777777" w:rsidR="00BA1A01" w:rsidRPr="00CB07BB" w:rsidRDefault="00BA1A01">
    <w:pPr>
      <w:pStyle w:val="Footer"/>
      <w:rPr>
        <w:rFonts w:ascii="Arial" w:hAnsi="Arial" w:cs="Arial"/>
        <w:sz w:val="16"/>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BA1A01" w:rsidRDefault="00BA1A01" w:rsidP="009E1727">
      <w:r>
        <w:separator/>
      </w:r>
    </w:p>
  </w:footnote>
  <w:footnote w:type="continuationSeparator" w:id="0">
    <w:p w14:paraId="74EFCA50" w14:textId="77777777" w:rsidR="00BA1A01" w:rsidRDefault="00BA1A01"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BA1A01" w:rsidRDefault="00BA1A01" w:rsidP="008B0BFB">
    <w:pPr>
      <w:pStyle w:val="Header"/>
      <w:jc w:val="center"/>
    </w:pPr>
    <w:r>
      <w:rPr>
        <w:noProof/>
      </w:rPr>
      <w:drawing>
        <wp:inline distT="0" distB="0" distL="0" distR="0" wp14:anchorId="28623807" wp14:editId="5B0C229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B212BF8" w14:textId="77777777" w:rsidR="00BA1A01" w:rsidRDefault="00BA1A01" w:rsidP="008B0BF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82B"/>
    <w:multiLevelType w:val="hybridMultilevel"/>
    <w:tmpl w:val="0A40A09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2A269F"/>
    <w:multiLevelType w:val="hybridMultilevel"/>
    <w:tmpl w:val="1F58DD64"/>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BC7148"/>
    <w:multiLevelType w:val="hybridMultilevel"/>
    <w:tmpl w:val="4880E378"/>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2E18AF"/>
    <w:multiLevelType w:val="hybridMultilevel"/>
    <w:tmpl w:val="38520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82FF5"/>
    <w:rsid w:val="000A1C1E"/>
    <w:rsid w:val="000C2260"/>
    <w:rsid w:val="000C5B09"/>
    <w:rsid w:val="001238F4"/>
    <w:rsid w:val="00141A56"/>
    <w:rsid w:val="001521A9"/>
    <w:rsid w:val="00181687"/>
    <w:rsid w:val="001E0B16"/>
    <w:rsid w:val="001E1E08"/>
    <w:rsid w:val="001F19DE"/>
    <w:rsid w:val="001F3043"/>
    <w:rsid w:val="00200FAE"/>
    <w:rsid w:val="00277A8D"/>
    <w:rsid w:val="002A18F3"/>
    <w:rsid w:val="002A46E3"/>
    <w:rsid w:val="0030252A"/>
    <w:rsid w:val="00311488"/>
    <w:rsid w:val="00396570"/>
    <w:rsid w:val="0040077B"/>
    <w:rsid w:val="00427538"/>
    <w:rsid w:val="0046183C"/>
    <w:rsid w:val="00543E4C"/>
    <w:rsid w:val="005973FA"/>
    <w:rsid w:val="005C493D"/>
    <w:rsid w:val="005E44C7"/>
    <w:rsid w:val="005E4E6C"/>
    <w:rsid w:val="005F027C"/>
    <w:rsid w:val="006272F1"/>
    <w:rsid w:val="00686DBD"/>
    <w:rsid w:val="00773B8E"/>
    <w:rsid w:val="0085165B"/>
    <w:rsid w:val="00877080"/>
    <w:rsid w:val="00880312"/>
    <w:rsid w:val="008A4D9E"/>
    <w:rsid w:val="008A6E46"/>
    <w:rsid w:val="008B0BFB"/>
    <w:rsid w:val="008C6358"/>
    <w:rsid w:val="008D0215"/>
    <w:rsid w:val="008E052F"/>
    <w:rsid w:val="008F5D06"/>
    <w:rsid w:val="009A73FD"/>
    <w:rsid w:val="009B72DF"/>
    <w:rsid w:val="009D5A80"/>
    <w:rsid w:val="009E1727"/>
    <w:rsid w:val="00A26C10"/>
    <w:rsid w:val="00A42966"/>
    <w:rsid w:val="00A66F9B"/>
    <w:rsid w:val="00AA0EEB"/>
    <w:rsid w:val="00AD2A35"/>
    <w:rsid w:val="00AF4EBD"/>
    <w:rsid w:val="00B1089C"/>
    <w:rsid w:val="00B22380"/>
    <w:rsid w:val="00B521C2"/>
    <w:rsid w:val="00BA1A01"/>
    <w:rsid w:val="00BB1501"/>
    <w:rsid w:val="00BC7424"/>
    <w:rsid w:val="00BE1C91"/>
    <w:rsid w:val="00C056CA"/>
    <w:rsid w:val="00C314C6"/>
    <w:rsid w:val="00C32761"/>
    <w:rsid w:val="00C356B9"/>
    <w:rsid w:val="00CA2EC8"/>
    <w:rsid w:val="00D30715"/>
    <w:rsid w:val="00D400D4"/>
    <w:rsid w:val="00D86C66"/>
    <w:rsid w:val="00DD08C6"/>
    <w:rsid w:val="00E24755"/>
    <w:rsid w:val="00E44A97"/>
    <w:rsid w:val="00E53B61"/>
    <w:rsid w:val="00E8635A"/>
    <w:rsid w:val="00EF015F"/>
    <w:rsid w:val="00EF3CDA"/>
    <w:rsid w:val="00F07EA1"/>
    <w:rsid w:val="00F33796"/>
    <w:rsid w:val="00F43574"/>
    <w:rsid w:val="00F467D2"/>
    <w:rsid w:val="00F77DC1"/>
    <w:rsid w:val="00FD1BD0"/>
    <w:rsid w:val="00FF2A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798</Words>
  <Characters>4551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7</cp:revision>
  <cp:lastPrinted>2016-06-21T13:08:00Z</cp:lastPrinted>
  <dcterms:created xsi:type="dcterms:W3CDTF">2016-10-25T06:36:00Z</dcterms:created>
  <dcterms:modified xsi:type="dcterms:W3CDTF">2016-10-25T10:00:00Z</dcterms:modified>
</cp:coreProperties>
</file>