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b w:val="1"/>
          <w:sz w:val="34"/>
          <w:szCs w:val="34"/>
        </w:rPr>
      </w:pPr>
      <w:r w:rsidDel="00000000" w:rsidR="00000000" w:rsidRPr="00000000">
        <w:rPr>
          <w:rtl w:val="0"/>
        </w:rPr>
      </w:r>
    </w:p>
    <w:p w:rsidR="00000000" w:rsidDel="00000000" w:rsidP="00000000" w:rsidRDefault="00000000" w:rsidRPr="00000000" w14:paraId="00000002">
      <w:pPr>
        <w:jc w:val="center"/>
        <w:rPr>
          <w:rFonts w:ascii="Montserrat" w:cs="Montserrat" w:eastAsia="Montserrat" w:hAnsi="Montserrat"/>
          <w:b w:val="1"/>
          <w:sz w:val="34"/>
          <w:szCs w:val="34"/>
        </w:rPr>
      </w:pPr>
      <w:r w:rsidDel="00000000" w:rsidR="00000000" w:rsidRPr="00000000">
        <w:rPr>
          <w:rFonts w:ascii="Montserrat" w:cs="Montserrat" w:eastAsia="Montserrat" w:hAnsi="Montserrat"/>
          <w:b w:val="1"/>
          <w:sz w:val="34"/>
          <w:szCs w:val="34"/>
          <w:rtl w:val="0"/>
        </w:rPr>
        <w:t xml:space="preserve">La FDA de Estados Unidos reafirma como “producto de tabaco de riesgo modificado” a IQOS</w:t>
      </w:r>
    </w:p>
    <w:p w:rsidR="00000000" w:rsidDel="00000000" w:rsidP="00000000" w:rsidRDefault="00000000" w:rsidRPr="00000000" w14:paraId="00000003">
      <w:pPr>
        <w:jc w:val="both"/>
        <w:rPr>
          <w:rFonts w:ascii="Montserrat" w:cs="Montserrat" w:eastAsia="Montserrat" w:hAnsi="Montserrat"/>
          <w:i w:val="1"/>
          <w:color w:val="666666"/>
          <w:sz w:val="20"/>
          <w:szCs w:val="20"/>
        </w:rPr>
      </w:pPr>
      <w:r w:rsidDel="00000000" w:rsidR="00000000" w:rsidRPr="00000000">
        <w:rPr>
          <w:rtl w:val="0"/>
        </w:rPr>
      </w:r>
    </w:p>
    <w:p w:rsidR="00000000" w:rsidDel="00000000" w:rsidP="00000000" w:rsidRDefault="00000000" w:rsidRPr="00000000" w14:paraId="00000004">
      <w:pPr>
        <w:jc w:val="both"/>
        <w:rPr>
          <w:rFonts w:ascii="Montserrat" w:cs="Montserrat" w:eastAsia="Montserrat" w:hAnsi="Montserrat"/>
          <w:i w:val="1"/>
          <w:color w:val="666666"/>
          <w:sz w:val="20"/>
          <w:szCs w:val="20"/>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Montserrat" w:cs="Montserrat" w:eastAsia="Montserrat" w:hAnsi="Montserrat"/>
          <w:b w:val="1"/>
          <w:rtl w:val="0"/>
        </w:rPr>
        <w:t xml:space="preserve">Ciudad de México, 16 de marzo de 2022.</w:t>
      </w:r>
      <w:r w:rsidDel="00000000" w:rsidR="00000000" w:rsidRPr="00000000">
        <w:rPr>
          <w:rFonts w:ascii="Montserrat" w:cs="Montserrat" w:eastAsia="Montserrat" w:hAnsi="Montserrat"/>
          <w:rtl w:val="0"/>
        </w:rPr>
        <w:t xml:space="preserve"> La Administración de Alimentos y Medicamentos de Estados Unidos (FDA por sus siglas en inglés) autorizó este 11 de marzo la comercialización del sistema de tabaco calentado IQOS 3 de Philip Morris International (PMI) bajo la clasificación de producto de tabaco de riesgo modificado (MRTP en inglés).</w:t>
      </w: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spacing w:line="240" w:lineRule="auto"/>
        <w:jc w:val="both"/>
        <w:rPr>
          <w:rFonts w:ascii="Calibri" w:cs="Calibri" w:eastAsia="Calibri" w:hAnsi="Calibri"/>
        </w:rPr>
      </w:pPr>
      <w:r w:rsidDel="00000000" w:rsidR="00000000" w:rsidRPr="00000000">
        <w:rPr>
          <w:rFonts w:ascii="Montserrat" w:cs="Montserrat" w:eastAsia="Montserrat" w:hAnsi="Montserrat"/>
          <w:rtl w:val="0"/>
        </w:rPr>
        <w:t xml:space="preserve">Esta decisión permite que PMI utilice la siguiente información al comercializar sus productos: </w:t>
      </w:r>
      <w:r w:rsidDel="00000000" w:rsidR="00000000" w:rsidRPr="00000000">
        <w:rPr>
          <w:rFonts w:ascii="Calibri" w:cs="Calibri" w:eastAsia="Calibri" w:hAnsi="Calibri"/>
          <w:rtl w:val="0"/>
        </w:rPr>
        <w:br w:type="textWrapping"/>
      </w:r>
    </w:p>
    <w:p w:rsidR="00000000" w:rsidDel="00000000" w:rsidP="00000000" w:rsidRDefault="00000000" w:rsidRPr="00000000" w14:paraId="00000008">
      <w:pPr>
        <w:numPr>
          <w:ilvl w:val="0"/>
          <w:numId w:val="1"/>
        </w:numPr>
        <w:spacing w:line="240" w:lineRule="auto"/>
        <w:ind w:left="720" w:hanging="360"/>
        <w:jc w:val="both"/>
      </w:pPr>
      <w:r w:rsidDel="00000000" w:rsidR="00000000" w:rsidRPr="00000000">
        <w:rPr>
          <w:rFonts w:ascii="Montserrat" w:cs="Montserrat" w:eastAsia="Montserrat" w:hAnsi="Montserrat"/>
          <w:rtl w:val="0"/>
        </w:rPr>
        <w:t xml:space="preserve">El sistema IQOS calienta el tabaco pero no lo quema.</w:t>
      </w:r>
    </w:p>
    <w:p w:rsidR="00000000" w:rsidDel="00000000" w:rsidP="00000000" w:rsidRDefault="00000000" w:rsidRPr="00000000" w14:paraId="00000009">
      <w:pPr>
        <w:numPr>
          <w:ilvl w:val="0"/>
          <w:numId w:val="2"/>
        </w:numPr>
        <w:spacing w:line="240" w:lineRule="auto"/>
        <w:ind w:left="720" w:hanging="360"/>
        <w:jc w:val="both"/>
        <w:rPr>
          <w:rFonts w:ascii="Calibri" w:cs="Calibri" w:eastAsia="Calibri" w:hAnsi="Calibri"/>
        </w:rPr>
      </w:pPr>
      <w:r w:rsidDel="00000000" w:rsidR="00000000" w:rsidRPr="00000000">
        <w:rPr>
          <w:rFonts w:ascii="Montserrat" w:cs="Montserrat" w:eastAsia="Montserrat" w:hAnsi="Montserrat"/>
          <w:rtl w:val="0"/>
        </w:rPr>
        <w:t xml:space="preserve">Esto reduce significativamente la producción de químicos nocivos y potencialmente nocivos.</w:t>
      </w:r>
    </w:p>
    <w:p w:rsidR="00000000" w:rsidDel="00000000" w:rsidP="00000000" w:rsidRDefault="00000000" w:rsidRPr="00000000" w14:paraId="0000000A">
      <w:pPr>
        <w:numPr>
          <w:ilvl w:val="0"/>
          <w:numId w:val="2"/>
        </w:numPr>
        <w:spacing w:line="240" w:lineRule="auto"/>
        <w:ind w:left="720" w:hanging="360"/>
        <w:jc w:val="both"/>
        <w:rPr>
          <w:rFonts w:ascii="Calibri" w:cs="Calibri" w:eastAsia="Calibri" w:hAnsi="Calibri"/>
        </w:rPr>
      </w:pPr>
      <w:r w:rsidDel="00000000" w:rsidR="00000000" w:rsidRPr="00000000">
        <w:rPr>
          <w:rFonts w:ascii="Montserrat" w:cs="Montserrat" w:eastAsia="Montserrat" w:hAnsi="Montserrat"/>
          <w:rtl w:val="0"/>
        </w:rPr>
        <w:t xml:space="preserve">Los estudios científicos han demostrado que cambiar por completo a IQOS reduce significativamente la exposición del cuerpo a sustancias químicas dañinas o potencialmente dañinas.</w:t>
      </w:r>
      <w:r w:rsidDel="00000000" w:rsidR="00000000" w:rsidRPr="00000000">
        <w:rPr>
          <w:rtl w:val="0"/>
        </w:rPr>
      </w:r>
    </w:p>
    <w:p w:rsidR="00000000" w:rsidDel="00000000" w:rsidP="00000000" w:rsidRDefault="00000000" w:rsidRPr="00000000" w14:paraId="0000000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La FDA revisó un robusto compendio de evidencia científica presentada por expertos de PMI –que incluye estudios independientes—y determinó que el sistema IQOS 3 “reduce significativamente” la exposición del cuerpo humano a sustancias nocivas o potencialmente nocivas en comparación con el cigarro convencional.</w:t>
      </w:r>
    </w:p>
    <w:p w:rsidR="00000000" w:rsidDel="00000000" w:rsidP="00000000" w:rsidRDefault="00000000" w:rsidRPr="00000000" w14:paraId="0000000D">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E">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“Esta decisión confirma que IQOS es fundamentalmente diferente a los cigarros y que los consumidores merecen saberlo para poder tomar mejores decisiones. Que los fumadores adultos puedan tener mejores opciones al cigarro, como IQOS,</w:t>
      </w:r>
      <w:r w:rsidDel="00000000" w:rsidR="00000000" w:rsidRPr="00000000">
        <w:rPr>
          <w:rFonts w:ascii="Montserrat" w:cs="Montserrat" w:eastAsia="Montserrat" w:hAnsi="Montserrat"/>
          <w:rtl w:val="0"/>
        </w:rPr>
        <w:t xml:space="preserve"> es un gran </w:t>
      </w:r>
      <w:r w:rsidDel="00000000" w:rsidR="00000000" w:rsidRPr="00000000">
        <w:rPr>
          <w:rFonts w:ascii="Montserrat" w:cs="Montserrat" w:eastAsia="Montserrat" w:hAnsi="Montserrat"/>
          <w:rtl w:val="0"/>
        </w:rPr>
        <w:t xml:space="preserve">avance en materia de salud pública”, comentó Catalina Betancourt, vicepresidenta de Asuntos Externos de Philip Morris México.</w:t>
      </w:r>
    </w:p>
    <w:p w:rsidR="00000000" w:rsidDel="00000000" w:rsidP="00000000" w:rsidRDefault="00000000" w:rsidRPr="00000000" w14:paraId="0000000F">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0">
      <w:pPr>
        <w:spacing w:line="240" w:lineRule="auto"/>
        <w:jc w:val="both"/>
        <w:rPr>
          <w:rFonts w:ascii="Montserrat" w:cs="Montserrat" w:eastAsia="Montserrat" w:hAnsi="Montserrat"/>
          <w:highlight w:val="yellow"/>
        </w:rPr>
      </w:pPr>
      <w:r w:rsidDel="00000000" w:rsidR="00000000" w:rsidRPr="00000000">
        <w:rPr>
          <w:rFonts w:ascii="Montserrat" w:cs="Montserrat" w:eastAsia="Montserrat" w:hAnsi="Montserrat"/>
          <w:rtl w:val="0"/>
        </w:rPr>
        <w:t xml:space="preserve">La Administración de Alimentos y Medicamentos de Estados Unidos ha sido pionera en el tema de regulación de productos de tabaco de riesgo modificado, y la decisión adoptada el 11 de marzo pasado confirma que Estados Unidos, junto con Japón, Nueva Zelanda y Reino Unido, se encuentran a la vanguardia en la reducción de </w:t>
      </w:r>
      <w:r w:rsidDel="00000000" w:rsidR="00000000" w:rsidRPr="00000000">
        <w:rPr>
          <w:rFonts w:ascii="Montserrat" w:cs="Montserrat" w:eastAsia="Montserrat" w:hAnsi="Montserrat"/>
          <w:rtl w:val="0"/>
        </w:rPr>
        <w:t xml:space="preserve">riesgo para los usuarios. </w:t>
      </w:r>
      <w:r w:rsidDel="00000000" w:rsidR="00000000" w:rsidRPr="00000000">
        <w:rPr>
          <w:rFonts w:ascii="Montserrat" w:cs="Montserrat" w:eastAsia="Montserrat" w:hAnsi="Montserrat"/>
          <w:highlight w:val="yellow"/>
          <w:rtl w:val="0"/>
        </w:rPr>
        <w:t xml:space="preserve"> </w:t>
      </w:r>
    </w:p>
    <w:p w:rsidR="00000000" w:rsidDel="00000000" w:rsidP="00000000" w:rsidRDefault="00000000" w:rsidRPr="00000000" w14:paraId="00000011">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2">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Esta es la segunda vez que la FDA otorga órdenes de comercialización de MRTP para una alternativa electrónica innovadora. La primera fue en 2020, cuando la agencia aprobó el sistema de calentamiento de tabaco IQOS 2.4 como el primer MRTP electrónico.</w:t>
      </w:r>
    </w:p>
    <w:p w:rsidR="00000000" w:rsidDel="00000000" w:rsidP="00000000" w:rsidRDefault="00000000" w:rsidRPr="00000000" w14:paraId="00000013">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4">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15">
      <w:pPr>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16">
      <w:pPr>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Acerca de Philip Morris International (PMI)</w:t>
      </w:r>
    </w:p>
    <w:p w:rsidR="00000000" w:rsidDel="00000000" w:rsidP="00000000" w:rsidRDefault="00000000" w:rsidRPr="00000000" w14:paraId="00000017">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Philip Morris International (PMI) está liderando una transformación en la industria tabacalera para crear un futuro libre de humo y, en última instancia, reemplazar los cigarrillos por productos libres de humo en beneficio de los adultos que de otro modo seguirían fumando, la sociedad, la compañía y sus accionistas. PMI es una compañía tabacalera internacional líder, dedicada a la fabricación y venta de cigarrillos, así como productos libres de humo y dispositivos y accesorios electrónicos asociados, y otros productos que contienen nicotina en mercados fuera de los Estados Unidos. </w:t>
      </w:r>
    </w:p>
    <w:p w:rsidR="00000000" w:rsidDel="00000000" w:rsidP="00000000" w:rsidRDefault="00000000" w:rsidRPr="00000000" w14:paraId="00000018">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9">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PMI está construyendo un futuro en una nueva categoría de productos libres de humo que, si bien no están libres de riesgos, son una opción mucho mejor que seguir fumando. A través de capacidades multidisciplinarias en el desarrollo de productos, instalaciones de última generación y fundamentación científica, PMI tiene como objetivo garantizar que sus productos libres de humo cumplan con las preferencias de los consumidores adultos y los rigurosos requisitos regulatorios. El portafolio de productos IQOS libres de humo de PMI incluye productos que calientan y no queman y productos de vapor que contienen nicotina. Al 31 de diciembre de 2020, IQOS está a la venta en 64 mercados de ciudades clave o en todo el país, y PMI estima que aproximadamente 12.7 millones de adultos de todo el mundo ya se han pasado a IQOS y han dejado de fumar. Para obtener más información, visite </w:t>
      </w:r>
      <w:hyperlink r:id="rId7">
        <w:r w:rsidDel="00000000" w:rsidR="00000000" w:rsidRPr="00000000">
          <w:rPr>
            <w:rFonts w:ascii="Montserrat" w:cs="Montserrat" w:eastAsia="Montserrat" w:hAnsi="Montserrat"/>
            <w:color w:val="1155cc"/>
            <w:sz w:val="20"/>
            <w:szCs w:val="20"/>
            <w:u w:val="single"/>
            <w:rtl w:val="0"/>
          </w:rPr>
          <w:t xml:space="preserve">www.pmi.com</w:t>
        </w:r>
      </w:hyperlink>
      <w:r w:rsidDel="00000000" w:rsidR="00000000" w:rsidRPr="00000000">
        <w:rPr>
          <w:rFonts w:ascii="Montserrat" w:cs="Montserrat" w:eastAsia="Montserrat" w:hAnsi="Montserrat"/>
          <w:sz w:val="20"/>
          <w:szCs w:val="20"/>
          <w:rtl w:val="0"/>
        </w:rPr>
        <w:t xml:space="preserve"> y </w:t>
      </w:r>
      <w:hyperlink r:id="rId8">
        <w:r w:rsidDel="00000000" w:rsidR="00000000" w:rsidRPr="00000000">
          <w:rPr>
            <w:rFonts w:ascii="Montserrat" w:cs="Montserrat" w:eastAsia="Montserrat" w:hAnsi="Montserrat"/>
            <w:color w:val="1155cc"/>
            <w:sz w:val="20"/>
            <w:szCs w:val="20"/>
            <w:u w:val="single"/>
            <w:rtl w:val="0"/>
          </w:rPr>
          <w:t xml:space="preserve">www.pmiscience.com</w:t>
        </w:r>
      </w:hyperlink>
      <w:r w:rsidDel="00000000" w:rsidR="00000000" w:rsidRPr="00000000">
        <w:rPr>
          <w:rFonts w:ascii="Montserrat" w:cs="Montserrat" w:eastAsia="Montserrat" w:hAnsi="Montserrat"/>
          <w:sz w:val="20"/>
          <w:szCs w:val="20"/>
          <w:rtl w:val="0"/>
        </w:rPr>
        <w:t xml:space="preserve">.</w:t>
      </w:r>
    </w:p>
    <w:p w:rsidR="00000000" w:rsidDel="00000000" w:rsidP="00000000" w:rsidRDefault="00000000" w:rsidRPr="00000000" w14:paraId="0000001A">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B">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Contacto de prensa:</w:t>
      </w:r>
    </w:p>
    <w:p w:rsidR="00000000" w:rsidDel="00000000" w:rsidP="00000000" w:rsidRDefault="00000000" w:rsidRPr="00000000" w14:paraId="0000001C">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D">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Ameyalli Sampedro</w:t>
      </w:r>
    </w:p>
    <w:p w:rsidR="00000000" w:rsidDel="00000000" w:rsidP="00000000" w:rsidRDefault="00000000" w:rsidRPr="00000000" w14:paraId="0000001E">
      <w:pPr>
        <w:spacing w:line="240" w:lineRule="auto"/>
        <w:jc w:val="both"/>
        <w:rPr>
          <w:rFonts w:ascii="Montserrat" w:cs="Montserrat" w:eastAsia="Montserrat" w:hAnsi="Montserrat"/>
        </w:rPr>
      </w:pPr>
      <w:hyperlink r:id="rId9">
        <w:r w:rsidDel="00000000" w:rsidR="00000000" w:rsidRPr="00000000">
          <w:rPr>
            <w:rFonts w:ascii="Montserrat" w:cs="Montserrat" w:eastAsia="Montserrat" w:hAnsi="Montserrat"/>
            <w:color w:val="1155cc"/>
            <w:u w:val="single"/>
            <w:rtl w:val="0"/>
          </w:rPr>
          <w:t xml:space="preserve">ameyalli.sampedro@another.co</w:t>
        </w:r>
      </w:hyperlink>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1F">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5523659465</w:t>
      </w:r>
    </w:p>
    <w:p w:rsidR="00000000" w:rsidDel="00000000" w:rsidP="00000000" w:rsidRDefault="00000000" w:rsidRPr="00000000" w14:paraId="00000020">
      <w:pPr>
        <w:jc w:val="both"/>
        <w:rPr>
          <w:rFonts w:ascii="Montserrat" w:cs="Montserrat" w:eastAsia="Montserrat" w:hAnsi="Montserrat"/>
        </w:rPr>
      </w:pPr>
      <w:r w:rsidDel="00000000" w:rsidR="00000000" w:rsidRPr="00000000">
        <w:rPr>
          <w:rtl w:val="0"/>
        </w:rPr>
      </w:r>
    </w:p>
    <w:sectPr>
      <w:headerReference r:id="rId10" w:type="default"/>
      <w:headerReference r:id="rId11" w:type="first"/>
      <w:footerReference r:id="rId12" w:type="default"/>
      <w:footerReference r:id="rId13"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sz w:val="21"/>
        <w:szCs w:val="21"/>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spacing w:line="240" w:lineRule="auto"/>
      <w:jc w:val="center"/>
      <w:rPr/>
    </w:pPr>
    <w:r w:rsidDel="00000000" w:rsidR="00000000" w:rsidRPr="00000000">
      <w:rPr>
        <w:rFonts w:ascii="Helvetica Neue" w:cs="Helvetica Neue" w:eastAsia="Helvetica Neue" w:hAnsi="Helvetica Neue"/>
      </w:rPr>
      <w:drawing>
        <wp:inline distB="0" distT="0" distL="0" distR="0">
          <wp:extent cx="2505075" cy="981820"/>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505075" cy="98182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spacing w:line="240" w:lineRule="auto"/>
      <w:jc w:val="center"/>
      <w:rPr/>
    </w:pPr>
    <w:r w:rsidDel="00000000" w:rsidR="00000000" w:rsidRPr="00000000">
      <w:rPr>
        <w:rtl w:val="0"/>
      </w:rPr>
    </w:r>
  </w:p>
  <w:p w:rsidR="00000000" w:rsidDel="00000000" w:rsidP="00000000" w:rsidRDefault="00000000" w:rsidRPr="00000000" w14:paraId="00000023">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meyalli.sampedro@another.c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pmi.com" TargetMode="External"/><Relationship Id="rId8" Type="http://schemas.openxmlformats.org/officeDocument/2006/relationships/hyperlink" Target="http://www.pmiscienc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lPZ3DUcfO/aV3saj9lLjnPHhXA==">AMUW2mVsobKoBkCp/66+lEeV+zo4mHU9nX/rW/GEmzlwo+o2xWzEQdoP5hHPmpC9t8kbonj4pyt05RJ6y6JXGXBgFwdm/fu9D0x3Ipw/AjOCtuDkWpZpuDY=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2022-01-21T17:41:00Z</dcterms:created>
</cp:coreProperties>
</file>