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9"/>
        <w:rPr>
          <w:rFonts w:ascii="Times New Roman"/>
          <w:sz w:val="15"/>
        </w:rPr>
      </w:pPr>
    </w:p>
    <w:p>
      <w:pPr>
        <w:pStyle w:val="Heading1"/>
        <w:spacing w:line="249" w:lineRule="auto"/>
        <w:ind w:left="137"/>
      </w:pPr>
      <w:r>
        <w:rPr/>
        <w:t>Día Mundial contra el Dolor: el dolor mixto afecta a 6 de cada 10 personas que presentan algún tipo de</w:t>
      </w:r>
    </w:p>
    <w:p>
      <w:pPr>
        <w:spacing w:before="119"/>
        <w:ind w:left="135" w:right="122" w:firstLine="0"/>
        <w:jc w:val="center"/>
        <w:rPr>
          <w:sz w:val="19"/>
        </w:rPr>
      </w:pPr>
      <w:r>
        <w:rPr>
          <w:b/>
          <w:spacing w:val="-1"/>
          <w:sz w:val="40"/>
        </w:rPr>
        <w:t>dolo</w:t>
      </w:r>
      <w:r>
        <w:rPr>
          <w:b/>
          <w:sz w:val="40"/>
        </w:rPr>
        <w:t>r</w:t>
      </w:r>
      <w:r>
        <w:rPr>
          <w:b/>
          <w:spacing w:val="-1"/>
          <w:sz w:val="40"/>
        </w:rPr>
        <w:t> corporal</w:t>
      </w:r>
      <w:r>
        <w:rPr>
          <w:w w:val="101"/>
          <w:position w:val="13"/>
          <w:sz w:val="19"/>
        </w:rPr>
        <w:t>1</w:t>
      </w:r>
    </w:p>
    <w:p>
      <w:pPr>
        <w:pStyle w:val="ListParagraph"/>
        <w:numPr>
          <w:ilvl w:val="0"/>
          <w:numId w:val="1"/>
        </w:numPr>
        <w:tabs>
          <w:tab w:pos="948" w:val="left" w:leader="none"/>
          <w:tab w:pos="949" w:val="left" w:leader="none"/>
        </w:tabs>
        <w:spacing w:line="240" w:lineRule="auto" w:before="290" w:after="0"/>
        <w:ind w:left="948" w:right="0" w:hanging="361"/>
        <w:jc w:val="left"/>
        <w:rPr>
          <w:sz w:val="22"/>
        </w:rPr>
      </w:pPr>
      <w:r>
        <w:rPr>
          <w:sz w:val="22"/>
        </w:rPr>
        <w:t>El</w:t>
      </w:r>
      <w:r>
        <w:rPr>
          <w:spacing w:val="-4"/>
          <w:sz w:val="22"/>
        </w:rPr>
        <w:t> </w:t>
      </w:r>
      <w:r>
        <w:rPr>
          <w:b/>
          <w:sz w:val="22"/>
        </w:rPr>
        <w:t>dolor</w:t>
      </w:r>
      <w:r>
        <w:rPr>
          <w:b/>
          <w:spacing w:val="-4"/>
          <w:sz w:val="22"/>
        </w:rPr>
        <w:t> </w:t>
      </w:r>
      <w:r>
        <w:rPr>
          <w:sz w:val="22"/>
        </w:rPr>
        <w:t>es</w:t>
      </w:r>
      <w:r>
        <w:rPr>
          <w:spacing w:val="-4"/>
          <w:sz w:val="22"/>
        </w:rPr>
        <w:t> </w:t>
      </w:r>
      <w:r>
        <w:rPr>
          <w:sz w:val="22"/>
        </w:rPr>
        <w:t>una</w:t>
      </w:r>
      <w:r>
        <w:rPr>
          <w:spacing w:val="-4"/>
          <w:sz w:val="22"/>
        </w:rPr>
        <w:t> </w:t>
      </w:r>
      <w:r>
        <w:rPr>
          <w:sz w:val="22"/>
        </w:rPr>
        <w:t>de</w:t>
      </w:r>
      <w:r>
        <w:rPr>
          <w:spacing w:val="-3"/>
          <w:sz w:val="22"/>
        </w:rPr>
        <w:t> </w:t>
      </w:r>
      <w:r>
        <w:rPr>
          <w:sz w:val="22"/>
        </w:rPr>
        <w:t>las</w:t>
      </w:r>
      <w:r>
        <w:rPr>
          <w:spacing w:val="-4"/>
          <w:sz w:val="22"/>
        </w:rPr>
        <w:t> </w:t>
      </w:r>
      <w:r>
        <w:rPr>
          <w:sz w:val="22"/>
        </w:rPr>
        <w:t>causas</w:t>
      </w:r>
      <w:r>
        <w:rPr>
          <w:spacing w:val="-4"/>
          <w:sz w:val="22"/>
        </w:rPr>
        <w:t> </w:t>
      </w:r>
      <w:r>
        <w:rPr>
          <w:sz w:val="22"/>
        </w:rPr>
        <w:t>más</w:t>
      </w:r>
      <w:r>
        <w:rPr>
          <w:spacing w:val="-4"/>
          <w:sz w:val="22"/>
        </w:rPr>
        <w:t> </w:t>
      </w:r>
      <w:r>
        <w:rPr>
          <w:sz w:val="22"/>
        </w:rPr>
        <w:t>comunes</w:t>
      </w:r>
      <w:r>
        <w:rPr>
          <w:spacing w:val="-3"/>
          <w:sz w:val="22"/>
        </w:rPr>
        <w:t> </w:t>
      </w:r>
      <w:r>
        <w:rPr>
          <w:sz w:val="22"/>
        </w:rPr>
        <w:t>de</w:t>
      </w:r>
      <w:r>
        <w:rPr>
          <w:spacing w:val="-4"/>
          <w:sz w:val="22"/>
        </w:rPr>
        <w:t> </w:t>
      </w:r>
      <w:r>
        <w:rPr>
          <w:sz w:val="22"/>
        </w:rPr>
        <w:t>consulta</w:t>
      </w:r>
      <w:r>
        <w:rPr>
          <w:spacing w:val="-4"/>
          <w:sz w:val="22"/>
        </w:rPr>
        <w:t> </w:t>
      </w:r>
      <w:r>
        <w:rPr>
          <w:sz w:val="22"/>
        </w:rPr>
        <w:t>clínica,</w:t>
      </w:r>
      <w:r>
        <w:rPr>
          <w:spacing w:val="-4"/>
          <w:sz w:val="22"/>
        </w:rPr>
        <w:t> </w:t>
      </w:r>
      <w:r>
        <w:rPr>
          <w:sz w:val="22"/>
        </w:rPr>
        <w:t>se</w:t>
      </w:r>
      <w:r>
        <w:rPr>
          <w:spacing w:val="-3"/>
          <w:sz w:val="22"/>
        </w:rPr>
        <w:t> </w:t>
      </w:r>
      <w:r>
        <w:rPr>
          <w:sz w:val="22"/>
        </w:rPr>
        <w:t>estima</w:t>
      </w:r>
      <w:r>
        <w:rPr>
          <w:spacing w:val="-4"/>
          <w:sz w:val="22"/>
        </w:rPr>
        <w:t> </w:t>
      </w:r>
      <w:r>
        <w:rPr>
          <w:sz w:val="22"/>
        </w:rPr>
        <w:t>que</w:t>
      </w:r>
      <w:r>
        <w:rPr>
          <w:spacing w:val="-4"/>
          <w:sz w:val="22"/>
        </w:rPr>
        <w:t> </w:t>
      </w:r>
      <w:r>
        <w:rPr>
          <w:sz w:val="22"/>
        </w:rPr>
        <w:t>está</w:t>
      </w:r>
      <w:r>
        <w:rPr>
          <w:spacing w:val="-4"/>
          <w:sz w:val="22"/>
        </w:rPr>
        <w:t> </w:t>
      </w:r>
      <w:r>
        <w:rPr>
          <w:sz w:val="22"/>
        </w:rPr>
        <w:t>presente</w:t>
      </w:r>
    </w:p>
    <w:p>
      <w:pPr>
        <w:spacing w:before="32"/>
        <w:ind w:left="4479" w:right="0" w:firstLine="0"/>
        <w:jc w:val="left"/>
        <w:rPr>
          <w:sz w:val="22"/>
        </w:rPr>
      </w:pPr>
      <w:r>
        <w:rPr>
          <w:sz w:val="22"/>
        </w:rPr>
        <w:t>en el </w:t>
      </w:r>
      <w:r>
        <w:rPr>
          <w:b/>
          <w:sz w:val="22"/>
        </w:rPr>
        <w:t>70% de éstas</w:t>
      </w:r>
      <w:r>
        <w:rPr>
          <w:sz w:val="22"/>
        </w:rPr>
        <w:t>.</w:t>
      </w:r>
      <w:r>
        <w:rPr>
          <w:sz w:val="22"/>
          <w:vertAlign w:val="superscript"/>
        </w:rPr>
        <w:t>2</w:t>
      </w:r>
    </w:p>
    <w:p>
      <w:pPr>
        <w:pStyle w:val="BodyText"/>
        <w:spacing w:line="271" w:lineRule="auto" w:before="197"/>
        <w:ind w:left="114" w:right="99"/>
        <w:jc w:val="both"/>
      </w:pPr>
      <w:r>
        <w:rPr>
          <w:b/>
        </w:rPr>
        <w:t>XXX, XX de octubre de 2021.- </w:t>
      </w:r>
      <w:r>
        <w:rPr/>
        <w:t>El 17 de octubre de cada año se conmemora el </w:t>
      </w:r>
      <w:r>
        <w:rPr>
          <w:b/>
        </w:rPr>
        <w:t>Día Mundial contra el Dolor, </w:t>
      </w:r>
      <w:r>
        <w:rPr/>
        <w:t>cuyo objetivo es crear conciencia sobre la importancia del alivio en cualquier tipo de dolor, para mejorar la calidad de vida de las personas que lo padecen. La Asociación Internacional para el Estudio del Dolor (IASP, por sus siglas en inglés) lo define como una experiencia sensorial y emocional desagradable con daño tisular real o potencial</w:t>
      </w:r>
      <w:r>
        <w:rPr>
          <w:vertAlign w:val="superscript"/>
        </w:rPr>
        <w:t>3</w:t>
      </w:r>
      <w:r>
        <w:rPr>
          <w:vertAlign w:val="baseline"/>
        </w:rPr>
        <w:t>. El </w:t>
      </w:r>
      <w:r>
        <w:rPr>
          <w:b/>
          <w:vertAlign w:val="baseline"/>
        </w:rPr>
        <w:t>dolor </w:t>
      </w:r>
      <w:r>
        <w:rPr>
          <w:vertAlign w:val="baseline"/>
        </w:rPr>
        <w:t>es una de las causas más comunes de consulta clínica, se estima que está presente en el </w:t>
      </w:r>
      <w:r>
        <w:rPr>
          <w:b/>
          <w:vertAlign w:val="baseline"/>
        </w:rPr>
        <w:t>70% de éstas</w:t>
      </w:r>
      <w:r>
        <w:rPr>
          <w:vertAlign w:val="baseline"/>
        </w:rPr>
        <w:t>.</w:t>
      </w:r>
      <w:r>
        <w:rPr>
          <w:vertAlign w:val="superscript"/>
        </w:rPr>
        <w:t>2</w:t>
      </w:r>
    </w:p>
    <w:p>
      <w:pPr>
        <w:pStyle w:val="BodyText"/>
        <w:spacing w:line="271" w:lineRule="auto" w:before="160"/>
        <w:ind w:left="114" w:right="100"/>
        <w:jc w:val="both"/>
      </w:pPr>
      <w:r>
        <w:rPr/>
        <w:t>Existen diferentes tipos de dolor como, </w:t>
      </w:r>
      <w:r>
        <w:rPr>
          <w:b/>
        </w:rPr>
        <w:t>dolor nociceptivo por ejemplo el dolor muscular dolor muscular. El dolor nociceptivo </w:t>
      </w:r>
      <w:r>
        <w:rPr/>
        <w:t>involucra a los receptores de daño que son los encargados de iniciar la transmisión de la señal dolorosa – los llamados nociceptores- que se encuentran principalmente en los tejidos blandos y en las articulaciones, éste puede ser causado por una lesión traumática, como un golpe, una torcedura, etc., por otra parte, está el llamado </w:t>
      </w:r>
      <w:r>
        <w:rPr>
          <w:b/>
        </w:rPr>
        <w:t>dolor neuropático, </w:t>
      </w:r>
      <w:r>
        <w:rPr/>
        <w:t>que surge a partir de una afectación en el sistema nervioso– por ejemplo el dolor del miembro fantasma (Dolor que se presenta en personas que han tenido una amputación de un miembro) – o en el sistema nervioso periférico como la neuropatía</w:t>
      </w:r>
      <w:r>
        <w:rPr>
          <w:vertAlign w:val="superscript"/>
        </w:rPr>
        <w:t>4</w:t>
      </w:r>
      <w:r>
        <w:rPr>
          <w:vertAlign w:val="baseline"/>
        </w:rPr>
        <w:t>.</w:t>
      </w:r>
    </w:p>
    <w:p>
      <w:pPr>
        <w:pStyle w:val="BodyText"/>
        <w:spacing w:line="271" w:lineRule="auto" w:before="158"/>
        <w:ind w:left="114" w:right="103"/>
        <w:jc w:val="both"/>
      </w:pPr>
      <w:r>
        <w:rPr/>
        <w:t>Asimismo, existe el llamado </w:t>
      </w:r>
      <w:r>
        <w:rPr>
          <w:b/>
        </w:rPr>
        <w:t>dolor mixto, </w:t>
      </w:r>
      <w:r>
        <w:rPr/>
        <w:t>que afecta a </w:t>
      </w:r>
      <w:r>
        <w:rPr>
          <w:b/>
        </w:rPr>
        <w:t>6 de cada 10 personas </w:t>
      </w:r>
      <w:r>
        <w:rPr/>
        <w:t>que presentan algún tipo de dolor corporal. El dolor mixto puede afectar a los músculos y a el sistema nervioso al mismo tiempo y en el mismo lugar, y se acompaña de molestias como ardor, hormigueo, punzadas y entumecimiento, así como trastornos del sueño, ansiedad, depresión, quemazón, sensación de frío, descargas eléctricas y sensación de pinchazos.</w:t>
      </w:r>
      <w:r>
        <w:rPr>
          <w:vertAlign w:val="superscript"/>
        </w:rPr>
        <w:t>1</w:t>
      </w:r>
    </w:p>
    <w:p>
      <w:pPr>
        <w:pStyle w:val="BodyText"/>
        <w:spacing w:line="271" w:lineRule="auto" w:before="161"/>
        <w:ind w:left="114" w:right="103"/>
        <w:jc w:val="both"/>
      </w:pPr>
      <w:r>
        <w:rPr/>
        <w:t>Es importante lograr un diagnóstico oportuno y un tratamiento adecuado para cualquier tipo de </w:t>
      </w:r>
      <w:r>
        <w:rPr>
          <w:spacing w:val="-3"/>
        </w:rPr>
        <w:t>dolor, </w:t>
      </w:r>
      <w:r>
        <w:rPr/>
        <w:t>sin embargo, no hay herramientas formales de detección o diagnóstico para el </w:t>
      </w:r>
      <w:r>
        <w:rPr>
          <w:b/>
        </w:rPr>
        <w:t>dolor mixto, </w:t>
      </w:r>
      <w:r>
        <w:rPr/>
        <w:t>lo que se ha convertido en un reto para los médicos de atención primaria. Actualmente el diagnóstico de este tipo de dolor es a través de la revisión del historial clínico del paciente además de un examen físico completo</w:t>
      </w:r>
      <w:r>
        <w:rPr>
          <w:vertAlign w:val="superscript"/>
        </w:rPr>
        <w:t>5</w:t>
      </w:r>
      <w:r>
        <w:rPr>
          <w:vertAlign w:val="baseline"/>
        </w:rPr>
        <w:t>, por parte de un</w:t>
      </w:r>
      <w:r>
        <w:rPr>
          <w:spacing w:val="-6"/>
          <w:vertAlign w:val="baseline"/>
        </w:rPr>
        <w:t> </w:t>
      </w:r>
      <w:r>
        <w:rPr>
          <w:vertAlign w:val="baseline"/>
        </w:rPr>
        <w:t>médico.</w:t>
      </w:r>
    </w:p>
    <w:p>
      <w:pPr>
        <w:pStyle w:val="BodyText"/>
        <w:rPr>
          <w:sz w:val="20"/>
        </w:rPr>
      </w:pPr>
    </w:p>
    <w:p>
      <w:pPr>
        <w:pStyle w:val="BodyText"/>
        <w:rPr>
          <w:sz w:val="24"/>
        </w:rPr>
      </w:pPr>
      <w:r>
        <w:rPr/>
        <w:pict>
          <v:shape style="position:absolute;margin-left:57pt;margin-top:16.182959pt;width:144pt;height:.1pt;mso-position-horizontal-relative:page;mso-position-vertical-relative:paragraph;z-index:-15728640;mso-wrap-distance-left:0;mso-wrap-distance-right:0" coordorigin="1140,324" coordsize="2880,0" path="m1140,324l4020,324e" filled="false" stroked="true" strokeweight=".75pt" strokecolor="#000000">
            <v:path arrowok="t"/>
            <v:stroke dashstyle="solid"/>
            <w10:wrap type="topAndBottom"/>
          </v:shape>
        </w:pict>
      </w:r>
    </w:p>
    <w:p>
      <w:pPr>
        <w:spacing w:before="79"/>
        <w:ind w:left="114" w:right="0" w:firstLine="0"/>
        <w:jc w:val="left"/>
        <w:rPr>
          <w:sz w:val="16"/>
        </w:rPr>
      </w:pPr>
      <w:r>
        <w:rPr>
          <w:sz w:val="16"/>
          <w:vertAlign w:val="superscript"/>
        </w:rPr>
        <w:t>1</w:t>
      </w:r>
      <w:r>
        <w:rPr>
          <w:sz w:val="16"/>
          <w:vertAlign w:val="baseline"/>
        </w:rPr>
        <w:t> Ibor PJ, Sánchez – Maro I, Villoreia J, et. Al. Mixed Pain can be discerned in the primary care and orthopedic settings in Spain: a large cross</w:t>
      </w:r>
    </w:p>
    <w:p>
      <w:pPr>
        <w:spacing w:before="11"/>
        <w:ind w:left="114" w:right="0" w:firstLine="0"/>
        <w:jc w:val="left"/>
        <w:rPr>
          <w:sz w:val="16"/>
        </w:rPr>
      </w:pPr>
      <w:r>
        <w:rPr>
          <w:sz w:val="16"/>
        </w:rPr>
        <w:t>-sectional study. Clin J Pain 2018;33(12):1100.1108</w:t>
      </w:r>
    </w:p>
    <w:p>
      <w:pPr>
        <w:spacing w:before="11"/>
        <w:ind w:left="114" w:right="0" w:firstLine="0"/>
        <w:jc w:val="left"/>
        <w:rPr>
          <w:sz w:val="16"/>
        </w:rPr>
      </w:pPr>
      <w:r>
        <w:rPr>
          <w:sz w:val="16"/>
          <w:vertAlign w:val="superscript"/>
        </w:rPr>
        <w:t>2</w:t>
      </w:r>
      <w:r>
        <w:rPr>
          <w:sz w:val="16"/>
          <w:vertAlign w:val="baseline"/>
        </w:rPr>
        <w:t> Miranda, J.P., et. Al., Revisión Sistemática: Epidemiología de Dolor Crónico No Oncológico en Chile. Revista el Dolor 59. 10-17;2013.</w:t>
      </w:r>
    </w:p>
    <w:p>
      <w:pPr>
        <w:spacing w:before="11"/>
        <w:ind w:left="114" w:right="0" w:firstLine="0"/>
        <w:jc w:val="left"/>
        <w:rPr>
          <w:sz w:val="16"/>
        </w:rPr>
      </w:pPr>
      <w:r>
        <w:rPr>
          <w:sz w:val="16"/>
          <w:vertAlign w:val="superscript"/>
        </w:rPr>
        <w:t>3</w:t>
      </w:r>
      <w:r>
        <w:rPr>
          <w:sz w:val="16"/>
          <w:vertAlign w:val="baseline"/>
        </w:rPr>
        <w:t> International Association for the Study of Pain. 2020 Global Year for The Prevention of Pain. Facsheet. Prevención del Dolor: Introducción.</w:t>
      </w:r>
    </w:p>
    <w:p>
      <w:pPr>
        <w:spacing w:before="11"/>
        <w:ind w:left="114" w:right="0" w:firstLine="0"/>
        <w:jc w:val="left"/>
        <w:rPr>
          <w:sz w:val="16"/>
        </w:rPr>
      </w:pPr>
      <w:r>
        <w:rPr>
          <w:sz w:val="16"/>
          <w:vertAlign w:val="superscript"/>
        </w:rPr>
        <w:t>4</w:t>
      </w:r>
      <w:r>
        <w:rPr>
          <w:sz w:val="16"/>
          <w:vertAlign w:val="baseline"/>
        </w:rPr>
        <w:t> Paice JA. Understanding nociceptive pain. Nursing. 2002;32(3):74-75.</w:t>
      </w:r>
    </w:p>
    <w:p>
      <w:pPr>
        <w:spacing w:line="254" w:lineRule="auto" w:before="11"/>
        <w:ind w:left="114" w:right="0" w:firstLine="0"/>
        <w:jc w:val="left"/>
        <w:rPr>
          <w:sz w:val="16"/>
        </w:rPr>
      </w:pPr>
      <w:r>
        <w:rPr>
          <w:sz w:val="16"/>
          <w:vertAlign w:val="superscript"/>
        </w:rPr>
        <w:t>5</w:t>
      </w:r>
      <w:r>
        <w:rPr>
          <w:sz w:val="16"/>
          <w:vertAlign w:val="baseline"/>
        </w:rPr>
        <w:t>Freynhagen R., et. Al., (2020): When to consider “mixed pain”? The right questions can make a difference! Current Medical Research and Opinion, DOI: 10.1080/03007995.2020.1832058</w:t>
      </w:r>
    </w:p>
    <w:p>
      <w:pPr>
        <w:spacing w:after="0" w:line="254" w:lineRule="auto"/>
        <w:jc w:val="left"/>
        <w:rPr>
          <w:sz w:val="16"/>
        </w:rPr>
        <w:sectPr>
          <w:headerReference w:type="default" r:id="rId5"/>
          <w:type w:val="continuous"/>
          <w:pgSz w:w="12240" w:h="15840"/>
          <w:pgMar w:header="293" w:top="1740" w:bottom="280" w:left="1020" w:right="940"/>
        </w:sectPr>
      </w:pPr>
    </w:p>
    <w:p>
      <w:pPr>
        <w:pStyle w:val="BodyText"/>
        <w:rPr>
          <w:sz w:val="21"/>
        </w:rPr>
      </w:pPr>
    </w:p>
    <w:p>
      <w:pPr>
        <w:spacing w:line="271" w:lineRule="auto" w:before="93"/>
        <w:ind w:left="114" w:right="101" w:firstLine="0"/>
        <w:jc w:val="both"/>
        <w:rPr>
          <w:sz w:val="22"/>
        </w:rPr>
      </w:pPr>
      <w:r>
        <w:rPr>
          <w:sz w:val="22"/>
        </w:rPr>
        <w:t>Aunque se sabe que no hay una </w:t>
      </w:r>
      <w:r>
        <w:rPr>
          <w:i/>
          <w:sz w:val="22"/>
        </w:rPr>
        <w:t>pregunta mágica </w:t>
      </w:r>
      <w:r>
        <w:rPr>
          <w:sz w:val="22"/>
        </w:rPr>
        <w:t>para diagnosticar el </w:t>
      </w:r>
      <w:r>
        <w:rPr>
          <w:b/>
          <w:sz w:val="22"/>
        </w:rPr>
        <w:t>dolor mixto, </w:t>
      </w:r>
      <w:r>
        <w:rPr>
          <w:sz w:val="22"/>
        </w:rPr>
        <w:t>el Dr. Freynhagen en conjunto con otros autores, ¿han propuesto en su artículo Cuándo Considerar “Dolor Mixto” </w:t>
      </w:r>
      <w:r>
        <w:rPr>
          <w:b/>
          <w:i/>
          <w:sz w:val="22"/>
        </w:rPr>
        <w:t>¡La </w:t>
      </w:r>
      <w:r>
        <w:rPr>
          <w:b/>
          <w:i/>
          <w:sz w:val="22"/>
        </w:rPr>
        <w:t>pregunta correcta puede hacer la diferencia! </w:t>
      </w:r>
      <w:r>
        <w:rPr>
          <w:i/>
          <w:sz w:val="22"/>
        </w:rPr>
        <w:t>(</w:t>
      </w:r>
      <w:r>
        <w:rPr>
          <w:sz w:val="22"/>
        </w:rPr>
        <w:t>When to consider “mixed pain”? </w:t>
      </w:r>
      <w:r>
        <w:rPr>
          <w:b/>
          <w:i/>
          <w:sz w:val="22"/>
        </w:rPr>
        <w:t>The right questions </w:t>
      </w:r>
      <w:r>
        <w:rPr>
          <w:b/>
          <w:i/>
          <w:sz w:val="22"/>
        </w:rPr>
        <w:t>can make a difference!)</w:t>
      </w:r>
      <w:r>
        <w:rPr>
          <w:i/>
          <w:sz w:val="22"/>
        </w:rPr>
        <w:t>, </w:t>
      </w:r>
      <w:r>
        <w:rPr>
          <w:sz w:val="22"/>
        </w:rPr>
        <w:t>las siguientes preguntas clave esenciales que pueden servir como una estructura básica para ayudar a identificar el tipo de dolor predominante</w:t>
      </w:r>
      <w:r>
        <w:rPr>
          <w:sz w:val="22"/>
          <w:vertAlign w:val="superscript"/>
        </w:rPr>
        <w:t>5</w:t>
      </w:r>
      <w:r>
        <w:rPr>
          <w:sz w:val="22"/>
          <w:vertAlign w:val="baseline"/>
        </w:rPr>
        <w:t>:</w:t>
      </w:r>
    </w:p>
    <w:p>
      <w:pPr>
        <w:pStyle w:val="ListParagraph"/>
        <w:numPr>
          <w:ilvl w:val="0"/>
          <w:numId w:val="2"/>
        </w:numPr>
        <w:tabs>
          <w:tab w:pos="834" w:val="left" w:leader="none"/>
        </w:tabs>
        <w:spacing w:line="240" w:lineRule="auto" w:before="161" w:after="0"/>
        <w:ind w:left="834" w:right="0" w:hanging="360"/>
        <w:jc w:val="left"/>
        <w:rPr>
          <w:sz w:val="22"/>
        </w:rPr>
      </w:pPr>
      <w:r>
        <w:rPr>
          <w:sz w:val="22"/>
        </w:rPr>
        <w:t>¿Dónde se siente exactamente el</w:t>
      </w:r>
      <w:r>
        <w:rPr>
          <w:spacing w:val="-7"/>
          <w:sz w:val="22"/>
        </w:rPr>
        <w:t> </w:t>
      </w:r>
      <w:r>
        <w:rPr>
          <w:sz w:val="22"/>
        </w:rPr>
        <w:t>dolor?</w:t>
      </w:r>
    </w:p>
    <w:p>
      <w:pPr>
        <w:pStyle w:val="ListParagraph"/>
        <w:numPr>
          <w:ilvl w:val="0"/>
          <w:numId w:val="2"/>
        </w:numPr>
        <w:tabs>
          <w:tab w:pos="834" w:val="left" w:leader="none"/>
        </w:tabs>
        <w:spacing w:line="240" w:lineRule="auto" w:before="32" w:after="0"/>
        <w:ind w:left="834" w:right="0" w:hanging="360"/>
        <w:jc w:val="left"/>
        <w:rPr>
          <w:sz w:val="22"/>
        </w:rPr>
      </w:pPr>
      <w:r>
        <w:rPr>
          <w:sz w:val="22"/>
        </w:rPr>
        <w:t>¿Con qué palabras se podría describir el</w:t>
      </w:r>
      <w:r>
        <w:rPr>
          <w:spacing w:val="-10"/>
          <w:sz w:val="22"/>
        </w:rPr>
        <w:t> </w:t>
      </w:r>
      <w:r>
        <w:rPr>
          <w:sz w:val="22"/>
        </w:rPr>
        <w:t>dolor?</w:t>
      </w:r>
    </w:p>
    <w:p>
      <w:pPr>
        <w:pStyle w:val="ListParagraph"/>
        <w:numPr>
          <w:ilvl w:val="0"/>
          <w:numId w:val="2"/>
        </w:numPr>
        <w:tabs>
          <w:tab w:pos="834" w:val="left" w:leader="none"/>
        </w:tabs>
        <w:spacing w:line="240" w:lineRule="auto" w:before="32" w:after="0"/>
        <w:ind w:left="834" w:right="0" w:hanging="360"/>
        <w:jc w:val="left"/>
        <w:rPr>
          <w:sz w:val="22"/>
        </w:rPr>
      </w:pPr>
      <w:r>
        <w:rPr>
          <w:sz w:val="22"/>
        </w:rPr>
        <w:t>¿Cuánto tiempo se ha experimentado el</w:t>
      </w:r>
      <w:r>
        <w:rPr>
          <w:spacing w:val="-9"/>
          <w:sz w:val="22"/>
        </w:rPr>
        <w:t> </w:t>
      </w:r>
      <w:r>
        <w:rPr>
          <w:sz w:val="22"/>
        </w:rPr>
        <w:t>dolor?</w:t>
      </w:r>
    </w:p>
    <w:p>
      <w:pPr>
        <w:pStyle w:val="ListParagraph"/>
        <w:numPr>
          <w:ilvl w:val="0"/>
          <w:numId w:val="2"/>
        </w:numPr>
        <w:tabs>
          <w:tab w:pos="834" w:val="left" w:leader="none"/>
        </w:tabs>
        <w:spacing w:line="240" w:lineRule="auto" w:before="32" w:after="0"/>
        <w:ind w:left="834" w:right="0" w:hanging="360"/>
        <w:jc w:val="left"/>
        <w:rPr>
          <w:sz w:val="22"/>
        </w:rPr>
      </w:pPr>
      <w:r>
        <w:rPr>
          <w:sz w:val="22"/>
        </w:rPr>
        <w:t>En</w:t>
      </w:r>
      <w:r>
        <w:rPr>
          <w:spacing w:val="-3"/>
          <w:sz w:val="22"/>
        </w:rPr>
        <w:t> </w:t>
      </w:r>
      <w:r>
        <w:rPr>
          <w:sz w:val="22"/>
        </w:rPr>
        <w:t>una</w:t>
      </w:r>
      <w:r>
        <w:rPr>
          <w:spacing w:val="-3"/>
          <w:sz w:val="22"/>
        </w:rPr>
        <w:t> </w:t>
      </w:r>
      <w:r>
        <w:rPr>
          <w:sz w:val="22"/>
        </w:rPr>
        <w:t>escala</w:t>
      </w:r>
      <w:r>
        <w:rPr>
          <w:spacing w:val="-3"/>
          <w:sz w:val="22"/>
        </w:rPr>
        <w:t> </w:t>
      </w:r>
      <w:r>
        <w:rPr>
          <w:sz w:val="22"/>
        </w:rPr>
        <w:t>del</w:t>
      </w:r>
      <w:r>
        <w:rPr>
          <w:spacing w:val="-2"/>
          <w:sz w:val="22"/>
        </w:rPr>
        <w:t> </w:t>
      </w:r>
      <w:r>
        <w:rPr>
          <w:sz w:val="22"/>
        </w:rPr>
        <w:t>0</w:t>
      </w:r>
      <w:r>
        <w:rPr>
          <w:spacing w:val="-3"/>
          <w:sz w:val="22"/>
        </w:rPr>
        <w:t> </w:t>
      </w:r>
      <w:r>
        <w:rPr>
          <w:sz w:val="22"/>
        </w:rPr>
        <w:t>al</w:t>
      </w:r>
      <w:r>
        <w:rPr>
          <w:spacing w:val="-3"/>
          <w:sz w:val="22"/>
        </w:rPr>
        <w:t> </w:t>
      </w:r>
      <w:r>
        <w:rPr>
          <w:sz w:val="22"/>
        </w:rPr>
        <w:t>10</w:t>
      </w:r>
      <w:r>
        <w:rPr>
          <w:spacing w:val="-3"/>
          <w:sz w:val="22"/>
        </w:rPr>
        <w:t> </w:t>
      </w:r>
      <w:r>
        <w:rPr>
          <w:sz w:val="22"/>
        </w:rPr>
        <w:t>¿qué</w:t>
      </w:r>
      <w:r>
        <w:rPr>
          <w:spacing w:val="-2"/>
          <w:sz w:val="22"/>
        </w:rPr>
        <w:t> </w:t>
      </w:r>
      <w:r>
        <w:rPr>
          <w:sz w:val="22"/>
        </w:rPr>
        <w:t>tan</w:t>
      </w:r>
      <w:r>
        <w:rPr>
          <w:spacing w:val="-3"/>
          <w:sz w:val="22"/>
        </w:rPr>
        <w:t> </w:t>
      </w:r>
      <w:r>
        <w:rPr>
          <w:sz w:val="22"/>
        </w:rPr>
        <w:t>intenso</w:t>
      </w:r>
      <w:r>
        <w:rPr>
          <w:spacing w:val="-3"/>
          <w:sz w:val="22"/>
        </w:rPr>
        <w:t> </w:t>
      </w:r>
      <w:r>
        <w:rPr>
          <w:sz w:val="22"/>
        </w:rPr>
        <w:t>es</w:t>
      </w:r>
      <w:r>
        <w:rPr>
          <w:spacing w:val="-3"/>
          <w:sz w:val="22"/>
        </w:rPr>
        <w:t> </w:t>
      </w:r>
      <w:r>
        <w:rPr>
          <w:sz w:val="22"/>
        </w:rPr>
        <w:t>el</w:t>
      </w:r>
      <w:r>
        <w:rPr>
          <w:spacing w:val="-2"/>
          <w:sz w:val="22"/>
        </w:rPr>
        <w:t> </w:t>
      </w:r>
      <w:r>
        <w:rPr>
          <w:sz w:val="22"/>
        </w:rPr>
        <w:t>dolor</w:t>
      </w:r>
      <w:r>
        <w:rPr>
          <w:spacing w:val="-3"/>
          <w:sz w:val="22"/>
        </w:rPr>
        <w:t> </w:t>
      </w:r>
      <w:r>
        <w:rPr>
          <w:sz w:val="22"/>
        </w:rPr>
        <w:t>en</w:t>
      </w:r>
      <w:r>
        <w:rPr>
          <w:spacing w:val="-3"/>
          <w:sz w:val="22"/>
        </w:rPr>
        <w:t> </w:t>
      </w:r>
      <w:r>
        <w:rPr>
          <w:sz w:val="22"/>
        </w:rPr>
        <w:t>reposo</w:t>
      </w:r>
      <w:r>
        <w:rPr>
          <w:spacing w:val="-3"/>
          <w:sz w:val="22"/>
        </w:rPr>
        <w:t> </w:t>
      </w:r>
      <w:r>
        <w:rPr>
          <w:sz w:val="22"/>
        </w:rPr>
        <w:t>y</w:t>
      </w:r>
      <w:r>
        <w:rPr>
          <w:spacing w:val="-2"/>
          <w:sz w:val="22"/>
        </w:rPr>
        <w:t> </w:t>
      </w:r>
      <w:r>
        <w:rPr>
          <w:sz w:val="22"/>
        </w:rPr>
        <w:t>durante</w:t>
      </w:r>
      <w:r>
        <w:rPr>
          <w:spacing w:val="-3"/>
          <w:sz w:val="22"/>
        </w:rPr>
        <w:t> </w:t>
      </w:r>
      <w:r>
        <w:rPr>
          <w:sz w:val="22"/>
        </w:rPr>
        <w:t>el</w:t>
      </w:r>
      <w:r>
        <w:rPr>
          <w:spacing w:val="-3"/>
          <w:sz w:val="22"/>
        </w:rPr>
        <w:t> </w:t>
      </w:r>
      <w:r>
        <w:rPr>
          <w:sz w:val="22"/>
        </w:rPr>
        <w:t>movimiento?</w:t>
      </w:r>
    </w:p>
    <w:p>
      <w:pPr>
        <w:pStyle w:val="ListParagraph"/>
        <w:numPr>
          <w:ilvl w:val="0"/>
          <w:numId w:val="2"/>
        </w:numPr>
        <w:tabs>
          <w:tab w:pos="834" w:val="left" w:leader="none"/>
        </w:tabs>
        <w:spacing w:line="240" w:lineRule="auto" w:before="32" w:after="0"/>
        <w:ind w:left="834" w:right="0" w:hanging="360"/>
        <w:jc w:val="left"/>
        <w:rPr>
          <w:sz w:val="22"/>
        </w:rPr>
      </w:pPr>
      <w:r>
        <w:rPr>
          <w:sz w:val="22"/>
        </w:rPr>
        <w:t>El </w:t>
      </w:r>
      <w:r>
        <w:rPr>
          <w:spacing w:val="-3"/>
          <w:sz w:val="22"/>
        </w:rPr>
        <w:t>dolor, </w:t>
      </w:r>
      <w:r>
        <w:rPr>
          <w:sz w:val="22"/>
        </w:rPr>
        <w:t>¿es constante, se incrementa durante el reposo o en</w:t>
      </w:r>
      <w:r>
        <w:rPr>
          <w:spacing w:val="-19"/>
          <w:sz w:val="22"/>
        </w:rPr>
        <w:t> </w:t>
      </w:r>
      <w:r>
        <w:rPr>
          <w:sz w:val="22"/>
        </w:rPr>
        <w:t>movimiento?</w:t>
      </w:r>
    </w:p>
    <w:p>
      <w:pPr>
        <w:pStyle w:val="ListParagraph"/>
        <w:numPr>
          <w:ilvl w:val="0"/>
          <w:numId w:val="2"/>
        </w:numPr>
        <w:tabs>
          <w:tab w:pos="834" w:val="left" w:leader="none"/>
        </w:tabs>
        <w:spacing w:line="271" w:lineRule="auto" w:before="32" w:after="0"/>
        <w:ind w:left="834" w:right="112" w:hanging="360"/>
        <w:jc w:val="left"/>
        <w:rPr>
          <w:sz w:val="22"/>
        </w:rPr>
      </w:pPr>
      <w:r>
        <w:rPr>
          <w:sz w:val="22"/>
        </w:rPr>
        <w:t>¿El dolor está relacionado con alguna causa que es identificable? ¿cómo comenzó y ha evolucionado?</w:t>
      </w:r>
    </w:p>
    <w:p>
      <w:pPr>
        <w:pStyle w:val="ListParagraph"/>
        <w:numPr>
          <w:ilvl w:val="0"/>
          <w:numId w:val="2"/>
        </w:numPr>
        <w:tabs>
          <w:tab w:pos="834" w:val="left" w:leader="none"/>
        </w:tabs>
        <w:spacing w:line="251" w:lineRule="exact" w:before="0" w:after="0"/>
        <w:ind w:left="834" w:right="0" w:hanging="360"/>
        <w:jc w:val="left"/>
        <w:rPr>
          <w:sz w:val="22"/>
        </w:rPr>
      </w:pPr>
      <w:r>
        <w:rPr>
          <w:sz w:val="22"/>
        </w:rPr>
        <w:t>¿El dolor ha sido tratado con</w:t>
      </w:r>
      <w:r>
        <w:rPr>
          <w:spacing w:val="-8"/>
          <w:sz w:val="22"/>
        </w:rPr>
        <w:t> </w:t>
      </w:r>
      <w:r>
        <w:rPr>
          <w:sz w:val="22"/>
        </w:rPr>
        <w:t>algo?</w:t>
      </w:r>
    </w:p>
    <w:p>
      <w:pPr>
        <w:pStyle w:val="ListParagraph"/>
        <w:numPr>
          <w:ilvl w:val="0"/>
          <w:numId w:val="2"/>
        </w:numPr>
        <w:tabs>
          <w:tab w:pos="834" w:val="left" w:leader="none"/>
        </w:tabs>
        <w:spacing w:line="240" w:lineRule="auto" w:before="32" w:after="0"/>
        <w:ind w:left="834" w:right="0" w:hanging="360"/>
        <w:jc w:val="left"/>
        <w:rPr>
          <w:sz w:val="22"/>
        </w:rPr>
      </w:pPr>
      <w:r>
        <w:rPr>
          <w:sz w:val="22"/>
        </w:rPr>
        <w:t>¿El dolor causa angustia</w:t>
      </w:r>
      <w:r>
        <w:rPr>
          <w:spacing w:val="-6"/>
          <w:sz w:val="22"/>
        </w:rPr>
        <w:t> </w:t>
      </w:r>
      <w:r>
        <w:rPr>
          <w:sz w:val="22"/>
        </w:rPr>
        <w:t>psicológica?</w:t>
      </w:r>
    </w:p>
    <w:p>
      <w:pPr>
        <w:pStyle w:val="ListParagraph"/>
        <w:numPr>
          <w:ilvl w:val="0"/>
          <w:numId w:val="2"/>
        </w:numPr>
        <w:tabs>
          <w:tab w:pos="834" w:val="left" w:leader="none"/>
        </w:tabs>
        <w:spacing w:line="240" w:lineRule="auto" w:before="32" w:after="0"/>
        <w:ind w:left="834" w:right="0" w:hanging="360"/>
        <w:jc w:val="left"/>
        <w:rPr>
          <w:sz w:val="22"/>
        </w:rPr>
      </w:pPr>
      <w:r>
        <w:rPr>
          <w:sz w:val="22"/>
        </w:rPr>
        <w:t>Además del </w:t>
      </w:r>
      <w:r>
        <w:rPr>
          <w:spacing w:val="-3"/>
          <w:sz w:val="22"/>
        </w:rPr>
        <w:t>dolor, </w:t>
      </w:r>
      <w:r>
        <w:rPr>
          <w:sz w:val="22"/>
        </w:rPr>
        <w:t>¿existe algún otro síntoma o cambio que cause</w:t>
      </w:r>
      <w:r>
        <w:rPr>
          <w:spacing w:val="-23"/>
          <w:sz w:val="22"/>
        </w:rPr>
        <w:t> </w:t>
      </w:r>
      <w:r>
        <w:rPr>
          <w:sz w:val="22"/>
        </w:rPr>
        <w:t>preocupación?</w:t>
      </w:r>
    </w:p>
    <w:p>
      <w:pPr>
        <w:pStyle w:val="BodyText"/>
        <w:spacing w:before="3"/>
        <w:rPr>
          <w:sz w:val="26"/>
        </w:rPr>
      </w:pPr>
    </w:p>
    <w:p>
      <w:pPr>
        <w:pStyle w:val="BodyText"/>
        <w:spacing w:line="256" w:lineRule="auto"/>
        <w:ind w:left="114" w:right="101"/>
        <w:jc w:val="both"/>
      </w:pPr>
      <w:r>
        <w:rPr/>
        <w:t>Ahora bien, el tratamiento del </w:t>
      </w:r>
      <w:r>
        <w:rPr>
          <w:b/>
        </w:rPr>
        <w:t>dolor mixto </w:t>
      </w:r>
      <w:r>
        <w:rPr/>
        <w:t>suele depender de los antecedentes clínicos del paciente y la intensidad del dolor, pero una de las opciones para tratarlo farmacológicamente es la </w:t>
      </w:r>
      <w:r>
        <w:rPr>
          <w:b/>
        </w:rPr>
        <w:t>combinación de diclofenaco, </w:t>
      </w:r>
      <w:r>
        <w:rPr/>
        <w:t>que ayuda a reducir el dolor y la inflamación</w:t>
      </w:r>
      <w:r>
        <w:rPr>
          <w:b/>
          <w:vertAlign w:val="superscript"/>
        </w:rPr>
        <w:t>6,7</w:t>
      </w:r>
      <w:r>
        <w:rPr>
          <w:vertAlign w:val="baseline"/>
        </w:rPr>
        <w:t>, </w:t>
      </w:r>
      <w:r>
        <w:rPr>
          <w:b/>
          <w:vertAlign w:val="baseline"/>
        </w:rPr>
        <w:t>y vitaminas B (B1, B6 y B12)</w:t>
      </w:r>
      <w:r>
        <w:rPr>
          <w:vertAlign w:val="baseline"/>
        </w:rPr>
        <w:t>, que actúan en el sistema nervioso</w:t>
      </w:r>
      <w:r>
        <w:rPr>
          <w:vertAlign w:val="superscript"/>
        </w:rPr>
        <w:t>8,9</w:t>
      </w:r>
      <w:r>
        <w:rPr>
          <w:vertAlign w:val="baseline"/>
        </w:rPr>
        <w:t>; esta combinación actúa sobre el origen del problema y provee alivio aún en el caso del </w:t>
      </w:r>
      <w:r>
        <w:rPr>
          <w:b/>
          <w:vertAlign w:val="baseline"/>
        </w:rPr>
        <w:t>dolor mixto.</w:t>
      </w:r>
      <w:r>
        <w:rPr>
          <w:vertAlign w:val="superscript"/>
        </w:rPr>
        <w:t>6,7</w:t>
      </w:r>
    </w:p>
    <w:p>
      <w:pPr>
        <w:pStyle w:val="BodyText"/>
        <w:spacing w:before="2"/>
        <w:rPr>
          <w:sz w:val="23"/>
        </w:rPr>
      </w:pPr>
    </w:p>
    <w:p>
      <w:pPr>
        <w:pStyle w:val="BodyText"/>
        <w:spacing w:line="256" w:lineRule="auto"/>
        <w:ind w:left="114" w:right="106"/>
        <w:jc w:val="both"/>
      </w:pPr>
      <w:r>
        <w:rPr/>
        <w:t>La combinación de </w:t>
      </w:r>
      <w:r>
        <w:rPr>
          <w:b/>
        </w:rPr>
        <w:t>diclofenaco </w:t>
      </w:r>
      <w:r>
        <w:rPr/>
        <w:t>+ </w:t>
      </w:r>
      <w:r>
        <w:rPr>
          <w:b/>
        </w:rPr>
        <w:t>vitaminas B </w:t>
      </w:r>
      <w:r>
        <w:rPr/>
        <w:t>está indicado como auxiliar en el alivio del dolor e inflamación de músculos, articulaciones y del sistema nervioso del cuerpo causados por, golpes, torceduras y caídas además de aquellos causados por contracturas musculares. Siempre es recomendable que un especialista de la salud pueda valorar su caso. Consulte a su médico.</w:t>
      </w:r>
    </w:p>
    <w:p>
      <w:pPr>
        <w:pStyle w:val="BodyText"/>
        <w:rPr>
          <w:sz w:val="24"/>
        </w:rPr>
      </w:pPr>
    </w:p>
    <w:p>
      <w:pPr>
        <w:spacing w:before="170"/>
        <w:ind w:left="134" w:right="122" w:firstLine="0"/>
        <w:jc w:val="center"/>
        <w:rPr>
          <w:i/>
          <w:sz w:val="18"/>
        </w:rPr>
      </w:pPr>
      <w:r>
        <w:rPr>
          <w:i/>
          <w:sz w:val="18"/>
        </w:rPr>
        <w:t># # #</w:t>
      </w:r>
    </w:p>
    <w:p>
      <w:pPr>
        <w:pStyle w:val="BodyText"/>
        <w:spacing w:before="1"/>
        <w:rPr>
          <w:i/>
          <w:sz w:val="25"/>
        </w:rPr>
      </w:pPr>
    </w:p>
    <w:p>
      <w:pPr>
        <w:spacing w:before="0"/>
        <w:ind w:left="114" w:right="0" w:firstLine="0"/>
        <w:jc w:val="left"/>
        <w:rPr>
          <w:b/>
          <w:sz w:val="18"/>
        </w:rPr>
      </w:pPr>
      <w:r>
        <w:rPr>
          <w:b/>
          <w:sz w:val="18"/>
        </w:rPr>
        <w:t>Acerca de P&amp;G Health</w:t>
      </w:r>
    </w:p>
    <w:p>
      <w:pPr>
        <w:spacing w:line="278" w:lineRule="auto" w:before="33"/>
        <w:ind w:left="114" w:right="141" w:firstLine="0"/>
        <w:jc w:val="left"/>
        <w:rPr>
          <w:sz w:val="18"/>
        </w:rPr>
      </w:pPr>
      <w:r>
        <w:rPr>
          <w:sz w:val="18"/>
        </w:rPr>
        <w:t>P&amp;G Health, la división de atención médica de la compañía P&amp;G, está compitiendo en las categorías y mercados de atención médica personal más grandes y de más rápido crecimiento, para impulsar la innovación centrada en el consumidor que les permita vivir vidas más largas, saludables y vibrantes. El portafolio de P&amp;G Health incluye marcas líderes en categorías como: cuidado respiratorio, salud digestiva, cuidado de los nervios y alivio del dolor.</w:t>
      </w:r>
    </w:p>
    <w:p>
      <w:pPr>
        <w:spacing w:before="150"/>
        <w:ind w:left="114" w:right="0" w:firstLine="0"/>
        <w:jc w:val="left"/>
        <w:rPr>
          <w:b/>
          <w:sz w:val="18"/>
        </w:rPr>
      </w:pPr>
      <w:r>
        <w:rPr>
          <w:b/>
          <w:sz w:val="18"/>
        </w:rPr>
        <w:t>Contactos de prensa</w:t>
      </w:r>
    </w:p>
    <w:p>
      <w:pPr>
        <w:pStyle w:val="BodyText"/>
        <w:rPr>
          <w:b/>
          <w:sz w:val="20"/>
        </w:rPr>
      </w:pPr>
    </w:p>
    <w:p>
      <w:pPr>
        <w:pStyle w:val="BodyText"/>
        <w:rPr>
          <w:b/>
          <w:sz w:val="20"/>
        </w:rPr>
      </w:pPr>
    </w:p>
    <w:p>
      <w:pPr>
        <w:pStyle w:val="BodyText"/>
        <w:rPr>
          <w:b/>
          <w:sz w:val="20"/>
        </w:rPr>
      </w:pPr>
    </w:p>
    <w:p>
      <w:pPr>
        <w:pStyle w:val="BodyText"/>
        <w:spacing w:before="4"/>
        <w:rPr>
          <w:b/>
          <w:sz w:val="17"/>
        </w:rPr>
      </w:pPr>
      <w:r>
        <w:rPr/>
        <w:pict>
          <v:shape style="position:absolute;margin-left:57pt;margin-top:12.324463pt;width:144pt;height:.1pt;mso-position-horizontal-relative:page;mso-position-vertical-relative:paragraph;z-index:-15728128;mso-wrap-distance-left:0;mso-wrap-distance-right:0" coordorigin="1140,246" coordsize="2880,0" path="m1140,246l4020,246e" filled="false" stroked="true" strokeweight=".75pt" strokecolor="#000000">
            <v:path arrowok="t"/>
            <v:stroke dashstyle="solid"/>
            <w10:wrap type="topAndBottom"/>
          </v:shape>
        </w:pict>
      </w:r>
    </w:p>
    <w:p>
      <w:pPr>
        <w:spacing w:line="254" w:lineRule="auto" w:before="79"/>
        <w:ind w:left="114" w:right="0" w:firstLine="0"/>
        <w:jc w:val="left"/>
        <w:rPr>
          <w:sz w:val="16"/>
        </w:rPr>
      </w:pPr>
      <w:r>
        <w:rPr>
          <w:sz w:val="16"/>
          <w:vertAlign w:val="superscript"/>
        </w:rPr>
        <w:t>6</w:t>
      </w:r>
      <w:r>
        <w:rPr>
          <w:sz w:val="16"/>
          <w:vertAlign w:val="baseline"/>
        </w:rPr>
        <w:t> </w:t>
      </w:r>
      <w:r>
        <w:rPr>
          <w:color w:val="20201C"/>
          <w:sz w:val="16"/>
          <w:vertAlign w:val="baseline"/>
        </w:rPr>
        <w:t>Mibielli MA, Geller M, Cohen JC, et al. Diclofenac plus B vitamins versus diclofenac monotherapy in lumbago: the DOLOR study. Curr Med Res Opin. 2009;25(11):2589-2599.</w:t>
      </w:r>
    </w:p>
    <w:p>
      <w:pPr>
        <w:spacing w:line="254" w:lineRule="auto" w:before="0"/>
        <w:ind w:left="114" w:right="0" w:firstLine="0"/>
        <w:jc w:val="left"/>
        <w:rPr>
          <w:sz w:val="16"/>
        </w:rPr>
      </w:pPr>
      <w:r>
        <w:rPr>
          <w:sz w:val="16"/>
          <w:vertAlign w:val="superscript"/>
        </w:rPr>
        <w:t>7</w:t>
      </w:r>
      <w:r>
        <w:rPr>
          <w:sz w:val="16"/>
          <w:vertAlign w:val="baseline"/>
        </w:rPr>
        <w:t> </w:t>
      </w:r>
      <w:r>
        <w:rPr>
          <w:color w:val="20201C"/>
          <w:sz w:val="16"/>
          <w:vertAlign w:val="baseline"/>
        </w:rPr>
        <w:t>Calderón-Ospina CA, Nava-Mesa MO, Arbeláez Ariza CE. Effect of Combined Diclofenac and B Vitamins (Thiamine, Pyridoxine, and Cyanocobalamin) for Low Back Pain Management: Systematic Review and Meta-analysis. Pain Med. 2020;21(4):766-781.</w:t>
      </w:r>
    </w:p>
    <w:p>
      <w:pPr>
        <w:spacing w:line="254" w:lineRule="auto" w:before="0"/>
        <w:ind w:left="114" w:right="0" w:firstLine="0"/>
        <w:jc w:val="left"/>
        <w:rPr>
          <w:sz w:val="16"/>
        </w:rPr>
      </w:pPr>
      <w:r>
        <w:rPr>
          <w:sz w:val="16"/>
          <w:vertAlign w:val="superscript"/>
        </w:rPr>
        <w:t>8</w:t>
      </w:r>
      <w:r>
        <w:rPr>
          <w:sz w:val="16"/>
          <w:vertAlign w:val="baseline"/>
        </w:rPr>
        <w:t> </w:t>
      </w:r>
      <w:r>
        <w:rPr>
          <w:color w:val="20201C"/>
          <w:sz w:val="16"/>
          <w:vertAlign w:val="baseline"/>
        </w:rPr>
        <w:t>Calderón-Ospina CA, Nava-Mesa M. B Vitamins in the Nervous System: Current Knowledge of the Biochemical Modes of Action and Synergies of Thiamine, Pyridoxine, and Cobalamin. CNS Neurosci Ther. 2020;26(1):5-13.</w:t>
      </w:r>
    </w:p>
    <w:p>
      <w:pPr>
        <w:spacing w:before="0"/>
        <w:ind w:left="114" w:right="0" w:firstLine="0"/>
        <w:jc w:val="left"/>
        <w:rPr>
          <w:sz w:val="16"/>
        </w:rPr>
      </w:pPr>
      <w:r>
        <w:rPr>
          <w:sz w:val="16"/>
          <w:vertAlign w:val="superscript"/>
        </w:rPr>
        <w:t>9</w:t>
      </w:r>
      <w:r>
        <w:rPr>
          <w:sz w:val="16"/>
          <w:vertAlign w:val="baseline"/>
        </w:rPr>
        <w:t> </w:t>
      </w:r>
      <w:r>
        <w:rPr>
          <w:color w:val="20201C"/>
          <w:sz w:val="16"/>
          <w:vertAlign w:val="baseline"/>
        </w:rPr>
        <w:t>Geller M, Oliveira L, Nigri R, et al. B Vitamins for Neuropathy and Neuropathic Pain. Vitam Miner. 2017;6:2.</w:t>
      </w:r>
    </w:p>
    <w:p>
      <w:pPr>
        <w:spacing w:after="0"/>
        <w:jc w:val="left"/>
        <w:rPr>
          <w:sz w:val="16"/>
        </w:rPr>
        <w:sectPr>
          <w:pgSz w:w="12240" w:h="15840"/>
          <w:pgMar w:header="293" w:footer="0" w:top="1740" w:bottom="280" w:left="1020" w:right="940"/>
        </w:sectPr>
      </w:pPr>
    </w:p>
    <w:p>
      <w:pPr>
        <w:pStyle w:val="BodyText"/>
        <w:rPr>
          <w:sz w:val="20"/>
        </w:rPr>
      </w:pPr>
    </w:p>
    <w:p>
      <w:pPr>
        <w:pStyle w:val="BodyText"/>
        <w:rPr>
          <w:sz w:val="20"/>
        </w:rPr>
      </w:pPr>
    </w:p>
    <w:p>
      <w:pPr>
        <w:pStyle w:val="BodyText"/>
        <w:spacing w:before="11"/>
        <w:rPr>
          <w:sz w:val="19"/>
        </w:rPr>
      </w:pPr>
    </w:p>
    <w:p>
      <w:pPr>
        <w:spacing w:line="242" w:lineRule="auto" w:before="94"/>
        <w:ind w:left="3146" w:right="3063" w:firstLine="179"/>
        <w:jc w:val="left"/>
        <w:rPr>
          <w:b/>
          <w:sz w:val="18"/>
        </w:rPr>
      </w:pPr>
      <w:r>
        <w:rPr>
          <w:b/>
          <w:sz w:val="18"/>
        </w:rPr>
        <w:t>No se automedique, consulte a su medico. PROMOMATS JOB: MAT-PA-DOLON-21-000001</w:t>
      </w:r>
    </w:p>
    <w:sectPr>
      <w:pgSz w:w="12240" w:h="15840"/>
      <w:pgMar w:header="293" w:footer="0" w:top="1740" w:bottom="280" w:left="10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14.625pt;width:612pt;height:72.4pt;mso-position-horizontal-relative:page;mso-position-vertical-relative:page;z-index:-15777792" coordorigin="0,293" coordsize="12240,1448">
          <v:shape style="position:absolute;left:8754;top:750;width:2415;height:990" type="#_x0000_t75" stroked="false">
            <v:imagedata r:id="rId1" o:title=""/>
          </v:shape>
          <v:shape style="position:absolute;left:0;top:292;width:12240;height:450" type="#_x0000_t75" stroked="false">
            <v:imagedata r:id="rId2" o:title=""/>
          </v:shape>
          <w10:wrap type="non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34" w:hanging="360"/>
        <w:jc w:val="left"/>
      </w:pPr>
      <w:rPr>
        <w:rFonts w:hint="default" w:ascii="Arial" w:hAnsi="Arial" w:eastAsia="Arial" w:cs="Arial"/>
        <w:spacing w:val="-7"/>
        <w:w w:val="100"/>
        <w:sz w:val="22"/>
        <w:szCs w:val="22"/>
        <w:lang w:val="es-ES" w:eastAsia="en-US" w:bidi="ar-SA"/>
      </w:rPr>
    </w:lvl>
    <w:lvl w:ilvl="1">
      <w:start w:val="0"/>
      <w:numFmt w:val="bullet"/>
      <w:lvlText w:val="•"/>
      <w:lvlJc w:val="left"/>
      <w:pPr>
        <w:ind w:left="1784" w:hanging="360"/>
      </w:pPr>
      <w:rPr>
        <w:rFonts w:hint="default"/>
        <w:lang w:val="es-ES" w:eastAsia="en-US" w:bidi="ar-SA"/>
      </w:rPr>
    </w:lvl>
    <w:lvl w:ilvl="2">
      <w:start w:val="0"/>
      <w:numFmt w:val="bullet"/>
      <w:lvlText w:val="•"/>
      <w:lvlJc w:val="left"/>
      <w:pPr>
        <w:ind w:left="2728" w:hanging="360"/>
      </w:pPr>
      <w:rPr>
        <w:rFonts w:hint="default"/>
        <w:lang w:val="es-ES" w:eastAsia="en-US" w:bidi="ar-SA"/>
      </w:rPr>
    </w:lvl>
    <w:lvl w:ilvl="3">
      <w:start w:val="0"/>
      <w:numFmt w:val="bullet"/>
      <w:lvlText w:val="•"/>
      <w:lvlJc w:val="left"/>
      <w:pPr>
        <w:ind w:left="3672" w:hanging="360"/>
      </w:pPr>
      <w:rPr>
        <w:rFonts w:hint="default"/>
        <w:lang w:val="es-ES" w:eastAsia="en-US" w:bidi="ar-SA"/>
      </w:rPr>
    </w:lvl>
    <w:lvl w:ilvl="4">
      <w:start w:val="0"/>
      <w:numFmt w:val="bullet"/>
      <w:lvlText w:val="•"/>
      <w:lvlJc w:val="left"/>
      <w:pPr>
        <w:ind w:left="4616" w:hanging="360"/>
      </w:pPr>
      <w:rPr>
        <w:rFonts w:hint="default"/>
        <w:lang w:val="es-ES" w:eastAsia="en-US" w:bidi="ar-SA"/>
      </w:rPr>
    </w:lvl>
    <w:lvl w:ilvl="5">
      <w:start w:val="0"/>
      <w:numFmt w:val="bullet"/>
      <w:lvlText w:val="•"/>
      <w:lvlJc w:val="left"/>
      <w:pPr>
        <w:ind w:left="5560" w:hanging="360"/>
      </w:pPr>
      <w:rPr>
        <w:rFonts w:hint="default"/>
        <w:lang w:val="es-ES" w:eastAsia="en-US" w:bidi="ar-SA"/>
      </w:rPr>
    </w:lvl>
    <w:lvl w:ilvl="6">
      <w:start w:val="0"/>
      <w:numFmt w:val="bullet"/>
      <w:lvlText w:val="•"/>
      <w:lvlJc w:val="left"/>
      <w:pPr>
        <w:ind w:left="6504" w:hanging="360"/>
      </w:pPr>
      <w:rPr>
        <w:rFonts w:hint="default"/>
        <w:lang w:val="es-ES" w:eastAsia="en-US" w:bidi="ar-SA"/>
      </w:rPr>
    </w:lvl>
    <w:lvl w:ilvl="7">
      <w:start w:val="0"/>
      <w:numFmt w:val="bullet"/>
      <w:lvlText w:val="•"/>
      <w:lvlJc w:val="left"/>
      <w:pPr>
        <w:ind w:left="7448" w:hanging="360"/>
      </w:pPr>
      <w:rPr>
        <w:rFonts w:hint="default"/>
        <w:lang w:val="es-ES" w:eastAsia="en-US" w:bidi="ar-SA"/>
      </w:rPr>
    </w:lvl>
    <w:lvl w:ilvl="8">
      <w:start w:val="0"/>
      <w:numFmt w:val="bullet"/>
      <w:lvlText w:val="•"/>
      <w:lvlJc w:val="left"/>
      <w:pPr>
        <w:ind w:left="8392" w:hanging="360"/>
      </w:pPr>
      <w:rPr>
        <w:rFonts w:hint="default"/>
        <w:lang w:val="es-ES" w:eastAsia="en-US" w:bidi="ar-SA"/>
      </w:rPr>
    </w:lvl>
  </w:abstractNum>
  <w:abstractNum w:abstractNumId="0">
    <w:multiLevelType w:val="hybridMultilevel"/>
    <w:lvl w:ilvl="0">
      <w:start w:val="0"/>
      <w:numFmt w:val="bullet"/>
      <w:lvlText w:val="●"/>
      <w:lvlJc w:val="left"/>
      <w:pPr>
        <w:ind w:left="948" w:hanging="360"/>
      </w:pPr>
      <w:rPr>
        <w:rFonts w:hint="default" w:ascii="Arial" w:hAnsi="Arial" w:eastAsia="Arial" w:cs="Arial"/>
        <w:b/>
        <w:bCs/>
        <w:spacing w:val="-1"/>
        <w:w w:val="100"/>
        <w:sz w:val="22"/>
        <w:szCs w:val="22"/>
        <w:lang w:val="es-ES" w:eastAsia="en-US" w:bidi="ar-SA"/>
      </w:rPr>
    </w:lvl>
    <w:lvl w:ilvl="1">
      <w:start w:val="0"/>
      <w:numFmt w:val="bullet"/>
      <w:lvlText w:val="•"/>
      <w:lvlJc w:val="left"/>
      <w:pPr>
        <w:ind w:left="1874" w:hanging="360"/>
      </w:pPr>
      <w:rPr>
        <w:rFonts w:hint="default"/>
        <w:lang w:val="es-ES" w:eastAsia="en-US" w:bidi="ar-SA"/>
      </w:rPr>
    </w:lvl>
    <w:lvl w:ilvl="2">
      <w:start w:val="0"/>
      <w:numFmt w:val="bullet"/>
      <w:lvlText w:val="•"/>
      <w:lvlJc w:val="left"/>
      <w:pPr>
        <w:ind w:left="2808" w:hanging="360"/>
      </w:pPr>
      <w:rPr>
        <w:rFonts w:hint="default"/>
        <w:lang w:val="es-ES" w:eastAsia="en-US" w:bidi="ar-SA"/>
      </w:rPr>
    </w:lvl>
    <w:lvl w:ilvl="3">
      <w:start w:val="0"/>
      <w:numFmt w:val="bullet"/>
      <w:lvlText w:val="•"/>
      <w:lvlJc w:val="left"/>
      <w:pPr>
        <w:ind w:left="3742" w:hanging="360"/>
      </w:pPr>
      <w:rPr>
        <w:rFonts w:hint="default"/>
        <w:lang w:val="es-ES" w:eastAsia="en-US" w:bidi="ar-SA"/>
      </w:rPr>
    </w:lvl>
    <w:lvl w:ilvl="4">
      <w:start w:val="0"/>
      <w:numFmt w:val="bullet"/>
      <w:lvlText w:val="•"/>
      <w:lvlJc w:val="left"/>
      <w:pPr>
        <w:ind w:left="4676" w:hanging="360"/>
      </w:pPr>
      <w:rPr>
        <w:rFonts w:hint="default"/>
        <w:lang w:val="es-ES" w:eastAsia="en-US" w:bidi="ar-SA"/>
      </w:rPr>
    </w:lvl>
    <w:lvl w:ilvl="5">
      <w:start w:val="0"/>
      <w:numFmt w:val="bullet"/>
      <w:lvlText w:val="•"/>
      <w:lvlJc w:val="left"/>
      <w:pPr>
        <w:ind w:left="5610" w:hanging="360"/>
      </w:pPr>
      <w:rPr>
        <w:rFonts w:hint="default"/>
        <w:lang w:val="es-ES" w:eastAsia="en-US" w:bidi="ar-SA"/>
      </w:rPr>
    </w:lvl>
    <w:lvl w:ilvl="6">
      <w:start w:val="0"/>
      <w:numFmt w:val="bullet"/>
      <w:lvlText w:val="•"/>
      <w:lvlJc w:val="left"/>
      <w:pPr>
        <w:ind w:left="6544" w:hanging="360"/>
      </w:pPr>
      <w:rPr>
        <w:rFonts w:hint="default"/>
        <w:lang w:val="es-ES" w:eastAsia="en-US" w:bidi="ar-SA"/>
      </w:rPr>
    </w:lvl>
    <w:lvl w:ilvl="7">
      <w:start w:val="0"/>
      <w:numFmt w:val="bullet"/>
      <w:lvlText w:val="•"/>
      <w:lvlJc w:val="left"/>
      <w:pPr>
        <w:ind w:left="7478" w:hanging="360"/>
      </w:pPr>
      <w:rPr>
        <w:rFonts w:hint="default"/>
        <w:lang w:val="es-ES" w:eastAsia="en-US" w:bidi="ar-SA"/>
      </w:rPr>
    </w:lvl>
    <w:lvl w:ilvl="8">
      <w:start w:val="0"/>
      <w:numFmt w:val="bullet"/>
      <w:lvlText w:val="•"/>
      <w:lvlJc w:val="left"/>
      <w:pPr>
        <w:ind w:left="8412" w:hanging="360"/>
      </w:pPr>
      <w:rPr>
        <w:rFonts w:hint="default"/>
        <w:lang w:val="es-E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spacing w:before="87"/>
      <w:ind w:left="135" w:right="122"/>
      <w:jc w:val="center"/>
      <w:outlineLvl w:val="1"/>
    </w:pPr>
    <w:rPr>
      <w:rFonts w:ascii="Arial" w:hAnsi="Arial" w:eastAsia="Arial" w:cs="Arial"/>
      <w:b/>
      <w:bCs/>
      <w:sz w:val="40"/>
      <w:szCs w:val="40"/>
      <w:lang w:val="es-ES" w:eastAsia="en-US" w:bidi="ar-SA"/>
    </w:rPr>
  </w:style>
  <w:style w:styleId="ListParagraph" w:type="paragraph">
    <w:name w:val="List Paragraph"/>
    <w:basedOn w:val="Normal"/>
    <w:uiPriority w:val="1"/>
    <w:qFormat/>
    <w:pPr>
      <w:spacing w:before="32"/>
      <w:ind w:left="834" w:hanging="360"/>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Panama Press Release Día Mundial contra el dolor Unbranded.docx</dc:title>
  <dcterms:created xsi:type="dcterms:W3CDTF">2021-10-12T13:40:35Z</dcterms:created>
  <dcterms:modified xsi:type="dcterms:W3CDTF">2021-10-12T13:40:35Z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2021-10-12T00:00:00Z</vt:filetime>
  </property>
</Properties>
</file>