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pPr>
      <w:r w:rsidDel="00000000" w:rsidR="00000000" w:rsidRPr="00000000">
        <w:rPr>
          <w:rtl w:val="0"/>
        </w:rPr>
      </w:r>
    </w:p>
    <w:p w:rsidR="00000000" w:rsidDel="00000000" w:rsidP="00000000" w:rsidRDefault="00000000" w:rsidRPr="00000000" w14:paraId="00000002">
      <w:pPr>
        <w:jc w:val="center"/>
        <w:rPr>
          <w:sz w:val="28"/>
          <w:szCs w:val="28"/>
        </w:rPr>
      </w:pPr>
      <w:r w:rsidDel="00000000" w:rsidR="00000000" w:rsidRPr="00000000">
        <w:rPr>
          <w:sz w:val="28"/>
          <w:szCs w:val="28"/>
          <w:rtl w:val="0"/>
        </w:rPr>
        <w:t xml:space="preserve">Casio lanza modelos de color rojo intenso para el 40º aniversario de G-SHOCK</w:t>
      </w:r>
    </w:p>
    <w:p w:rsidR="00000000" w:rsidDel="00000000" w:rsidP="00000000" w:rsidRDefault="00000000" w:rsidRPr="00000000" w14:paraId="00000003">
      <w:pPr>
        <w:jc w:val="center"/>
        <w:rPr>
          <w:sz w:val="28"/>
          <w:szCs w:val="28"/>
        </w:rPr>
      </w:pPr>
      <w:r w:rsidDel="00000000" w:rsidR="00000000" w:rsidRPr="00000000">
        <w:rPr>
          <w:rtl w:val="0"/>
        </w:rPr>
      </w:r>
    </w:p>
    <w:p w:rsidR="00000000" w:rsidDel="00000000" w:rsidP="00000000" w:rsidRDefault="00000000" w:rsidRPr="00000000" w14:paraId="00000004">
      <w:pPr>
        <w:jc w:val="center"/>
        <w:rPr>
          <w:sz w:val="21"/>
          <w:szCs w:val="21"/>
        </w:rPr>
      </w:pPr>
      <w:r w:rsidDel="00000000" w:rsidR="00000000" w:rsidRPr="00000000">
        <w:rPr>
          <w:sz w:val="21"/>
          <w:szCs w:val="21"/>
          <w:rtl w:val="0"/>
        </w:rPr>
        <w:t xml:space="preserve">Evoca los destellos solares con un bisel laminado multicolor con partículas fosforescentes.</w:t>
      </w:r>
    </w:p>
    <w:p w:rsidR="00000000" w:rsidDel="00000000" w:rsidP="00000000" w:rsidRDefault="00000000" w:rsidRPr="00000000" w14:paraId="00000005">
      <w:pPr>
        <w:jc w:val="center"/>
        <w:rPr>
          <w:sz w:val="21"/>
          <w:szCs w:val="21"/>
        </w:rPr>
      </w:pPr>
      <w:r w:rsidDel="00000000" w:rsidR="00000000" w:rsidRPr="00000000">
        <w:rPr>
          <w:rtl w:val="0"/>
        </w:rPr>
      </w:r>
    </w:p>
    <w:p w:rsidR="00000000" w:rsidDel="00000000" w:rsidP="00000000" w:rsidRDefault="00000000" w:rsidRPr="00000000" w14:paraId="00000006">
      <w:pPr>
        <w:jc w:val="center"/>
        <w:rPr>
          <w:sz w:val="21"/>
          <w:szCs w:val="21"/>
        </w:rPr>
      </w:pPr>
      <w:r w:rsidDel="00000000" w:rsidR="00000000" w:rsidRPr="00000000">
        <w:rPr>
          <w:sz w:val="21"/>
          <w:szCs w:val="21"/>
        </w:rPr>
        <w:drawing>
          <wp:inline distB="0" distT="0" distL="0" distR="0">
            <wp:extent cx="4275353" cy="2473598"/>
            <wp:effectExtent b="0" l="0" r="0" t="0"/>
            <wp:docPr id="26"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4275353" cy="2473598"/>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sz w:val="21"/>
          <w:szCs w:val="21"/>
        </w:rPr>
      </w:pPr>
      <w:r w:rsidDel="00000000" w:rsidR="00000000" w:rsidRPr="00000000">
        <w:rPr>
          <w:sz w:val="21"/>
          <w:szCs w:val="21"/>
          <w:rtl w:val="0"/>
        </w:rPr>
        <w:t xml:space="preserve">MTG-B3000FR /  GWG-2040FR</w:t>
      </w:r>
    </w:p>
    <w:p w:rsidR="00000000" w:rsidDel="00000000" w:rsidP="00000000" w:rsidRDefault="00000000" w:rsidRPr="00000000" w14:paraId="00000008">
      <w:pPr>
        <w:rPr>
          <w:sz w:val="21"/>
          <w:szCs w:val="21"/>
        </w:rPr>
      </w:pPr>
      <w:r w:rsidDel="00000000" w:rsidR="00000000" w:rsidRPr="00000000">
        <w:rPr>
          <w:rtl w:val="0"/>
        </w:rPr>
      </w:r>
    </w:p>
    <w:p w:rsidR="00000000" w:rsidDel="00000000" w:rsidP="00000000" w:rsidRDefault="00000000" w:rsidRPr="00000000" w14:paraId="00000009">
      <w:pPr>
        <w:rPr>
          <w:sz w:val="21"/>
          <w:szCs w:val="21"/>
        </w:rPr>
      </w:pPr>
      <w:r w:rsidDel="00000000" w:rsidR="00000000" w:rsidRPr="00000000">
        <w:rPr>
          <w:b w:val="1"/>
          <w:sz w:val="21"/>
          <w:szCs w:val="21"/>
          <w:rtl w:val="0"/>
        </w:rPr>
        <w:t xml:space="preserve">Ciudad de México, 30 de noviembre de 2022</w:t>
      </w:r>
      <w:r w:rsidDel="00000000" w:rsidR="00000000" w:rsidRPr="00000000">
        <w:rPr>
          <w:sz w:val="21"/>
          <w:szCs w:val="21"/>
          <w:rtl w:val="0"/>
        </w:rPr>
        <w:t xml:space="preserve"> — Casio Computer Co., Ltd. anunció el lanzamiento de dos nuevas incorporaciones a la marca G-SHOCK de relojes resistentes a los golpes. De cara al 40º aniversario de G-SHOCK, que se celebrará en abril de 2023, Casio quiere conectar con todos y cada uno de fanáticos de G-SHOCK a través de diversidad actividades, como el lanzamiento de modelos conmemorativos y la celebración de eventos especiales en diversos lugares del mundo. Casio comienza la fiesta con el MTG-B3000FR y el GWG-2040FR, dos modelos de aniversario Flare Red que lucen el color de la marca G-SHOCK en un diseño de destello solar intensamente resplandeciente. </w:t>
      </w:r>
    </w:p>
    <w:p w:rsidR="00000000" w:rsidDel="00000000" w:rsidP="00000000" w:rsidRDefault="00000000" w:rsidRPr="00000000" w14:paraId="0000000A">
      <w:pPr>
        <w:rPr>
          <w:sz w:val="21"/>
          <w:szCs w:val="21"/>
        </w:rPr>
      </w:pPr>
      <w:r w:rsidDel="00000000" w:rsidR="00000000" w:rsidRPr="00000000">
        <w:rPr>
          <w:rtl w:val="0"/>
        </w:rPr>
      </w:r>
    </w:p>
    <w:p w:rsidR="00000000" w:rsidDel="00000000" w:rsidP="00000000" w:rsidRDefault="00000000" w:rsidRPr="00000000" w14:paraId="0000000B">
      <w:pPr>
        <w:rPr>
          <w:sz w:val="21"/>
          <w:szCs w:val="21"/>
        </w:rPr>
      </w:pPr>
      <w:r w:rsidDel="00000000" w:rsidR="00000000" w:rsidRPr="00000000">
        <w:rPr>
          <w:sz w:val="21"/>
          <w:szCs w:val="21"/>
          <w:rtl w:val="0"/>
        </w:rPr>
        <w:t xml:space="preserve">G-SHOCK comenzó con un plan de una sola página para construir un reloj que no se rompiera, incluso si se cae. Debutó en 1983 con una construcción resistente a los golpes que anuló la opinión convencional sobre la fragilidad de los relojes de pulsera. Su incomparable resistencia y su diseño único han hecho que G-SHOCK se gane el apoyo de usuarios de todo el mundo, con ventas en más de 140 países y regiones y envíos acumulados de más de 140 millones de unidades. </w:t>
      </w:r>
    </w:p>
    <w:p w:rsidR="00000000" w:rsidDel="00000000" w:rsidP="00000000" w:rsidRDefault="00000000" w:rsidRPr="00000000" w14:paraId="0000000C">
      <w:pPr>
        <w:rPr>
          <w:sz w:val="21"/>
          <w:szCs w:val="21"/>
        </w:rPr>
      </w:pPr>
      <w:r w:rsidDel="00000000" w:rsidR="00000000" w:rsidRPr="00000000">
        <w:rPr>
          <w:rtl w:val="0"/>
        </w:rPr>
      </w:r>
    </w:p>
    <w:p w:rsidR="00000000" w:rsidDel="00000000" w:rsidP="00000000" w:rsidRDefault="00000000" w:rsidRPr="00000000" w14:paraId="0000000D">
      <w:pPr>
        <w:rPr>
          <w:sz w:val="21"/>
          <w:szCs w:val="21"/>
        </w:rPr>
      </w:pPr>
      <w:r w:rsidDel="00000000" w:rsidR="00000000" w:rsidRPr="00000000">
        <w:rPr>
          <w:sz w:val="21"/>
          <w:szCs w:val="21"/>
          <w:rtl w:val="0"/>
        </w:rPr>
        <w:t xml:space="preserve">Los modelos Flare Red del 40º aniversario, el MTG-B3000FR y el GWG-2040FR, cuentan con biseles laminados multicolor fabricados con materiales fosforescentes en el color rojo de la marca G-SHOCK. El diseño evoca las llamaradas solares, las erupciones masivas de energía intensa de la superficie del sol. Casio utilizó una técnica recientemente desarrollada para laminar láminas de fibra de carbono y de vidrio coloreado y cortarlos en forma de bisel. Las partículas fosforescentes mezcladas con las láminas de fibra de vidrio crean poderosos diseños que resultan sorprendentes incluso en la oscuridad. El bisel de cada reloj tiene su propio aspecto único, ya que los materiales presentan una apariencia única dependiente de la parte de la laminación en la que se haya tallado el bisel. Un patrón inspirado en los destellos solares impreso en la esfera del tóner transparente se suma al diseño dinámico de la esfera. </w:t>
      </w:r>
    </w:p>
    <w:p w:rsidR="00000000" w:rsidDel="00000000" w:rsidP="00000000" w:rsidRDefault="00000000" w:rsidRPr="00000000" w14:paraId="0000000E">
      <w:pPr>
        <w:rPr>
          <w:sz w:val="21"/>
          <w:szCs w:val="21"/>
        </w:rPr>
      </w:pPr>
      <w:r w:rsidDel="00000000" w:rsidR="00000000" w:rsidRPr="00000000">
        <w:rPr>
          <w:rtl w:val="0"/>
        </w:rPr>
      </w:r>
    </w:p>
    <w:p w:rsidR="00000000" w:rsidDel="00000000" w:rsidP="00000000" w:rsidRDefault="00000000" w:rsidRPr="00000000" w14:paraId="0000000F">
      <w:pPr>
        <w:rPr>
          <w:sz w:val="21"/>
          <w:szCs w:val="21"/>
        </w:rPr>
      </w:pPr>
      <w:r w:rsidDel="00000000" w:rsidR="00000000" w:rsidRPr="00000000">
        <w:rPr>
          <w:sz w:val="21"/>
          <w:szCs w:val="21"/>
          <w:rtl w:val="0"/>
        </w:rPr>
        <w:t xml:space="preserve">Para el GWG-2040FR, las partículas fosforescentes también se mezclan en el carbono forjado en las asas que conectan la caja con la correa para crear patrones aleatorios de maravillosa belleza que brilla en la oscuridad. </w:t>
      </w:r>
    </w:p>
    <w:p w:rsidR="00000000" w:rsidDel="00000000" w:rsidP="00000000" w:rsidRDefault="00000000" w:rsidRPr="00000000" w14:paraId="00000010">
      <w:pPr>
        <w:rPr>
          <w:sz w:val="21"/>
          <w:szCs w:val="21"/>
        </w:rPr>
      </w:pPr>
      <w:r w:rsidDel="00000000" w:rsidR="00000000" w:rsidRPr="00000000">
        <w:rPr>
          <w:rtl w:val="0"/>
        </w:rPr>
      </w:r>
    </w:p>
    <w:p w:rsidR="00000000" w:rsidDel="00000000" w:rsidP="00000000" w:rsidRDefault="00000000" w:rsidRPr="00000000" w14:paraId="00000011">
      <w:pPr>
        <w:rPr>
          <w:sz w:val="21"/>
          <w:szCs w:val="21"/>
        </w:rPr>
      </w:pPr>
      <w:r w:rsidDel="00000000" w:rsidR="00000000" w:rsidRPr="00000000">
        <w:rPr>
          <w:sz w:val="21"/>
          <w:szCs w:val="21"/>
          <w:rtl w:val="0"/>
        </w:rPr>
        <w:t xml:space="preserve">El logotipo que conmemora el 40º aniversario de G-SHOCK, diseñado por el mundialmente conocido artista de graffiti, Eric Haze, está grabado en la parte posterior de la caja. Estos relojes también cuentan con cuatro estrellas para significar “40”, un toque extra especial para la primera oleada de modelos que conmemoran los 40 años de innovación de G-SHOCK.  </w:t>
      </w:r>
    </w:p>
    <w:p w:rsidR="00000000" w:rsidDel="00000000" w:rsidP="00000000" w:rsidRDefault="00000000" w:rsidRPr="00000000" w14:paraId="00000012">
      <w:pPr>
        <w:rPr>
          <w:sz w:val="21"/>
          <w:szCs w:val="21"/>
        </w:rPr>
      </w:pPr>
      <w:r w:rsidDel="00000000" w:rsidR="00000000" w:rsidRPr="00000000">
        <w:rPr>
          <w:rtl w:val="0"/>
        </w:rPr>
      </w:r>
    </w:p>
    <w:p w:rsidR="00000000" w:rsidDel="00000000" w:rsidP="00000000" w:rsidRDefault="00000000" w:rsidRPr="00000000" w14:paraId="00000013">
      <w:pPr>
        <w:rPr>
          <w:sz w:val="21"/>
          <w:szCs w:val="21"/>
        </w:rPr>
      </w:pPr>
      <w:r w:rsidDel="00000000" w:rsidR="00000000" w:rsidRPr="00000000">
        <w:rPr>
          <w:rtl w:val="0"/>
        </w:rPr>
      </w:r>
    </w:p>
    <w:p w:rsidR="00000000" w:rsidDel="00000000" w:rsidP="00000000" w:rsidRDefault="00000000" w:rsidRPr="00000000" w14:paraId="00000014">
      <w:pPr>
        <w:rPr>
          <w:i w:val="1"/>
          <w:sz w:val="21"/>
          <w:szCs w:val="21"/>
        </w:rPr>
      </w:pPr>
      <w:r w:rsidDel="00000000" w:rsidR="00000000" w:rsidRPr="00000000">
        <w:rPr>
          <w:rtl w:val="0"/>
        </w:rPr>
      </w:r>
    </w:p>
    <w:tbl>
      <w:tblPr>
        <w:tblStyle w:val="Table1"/>
        <w:tblW w:w="351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0"/>
        <w:tblGridChange w:id="0">
          <w:tblGrid>
            <w:gridCol w:w="3510"/>
          </w:tblGrid>
        </w:tblGridChange>
      </w:tblGrid>
      <w:tr>
        <w:trPr>
          <w:cantSplit w:val="0"/>
          <w:trHeight w:val="64" w:hRule="atLeast"/>
          <w:tblHeader w:val="0"/>
        </w:trPr>
        <w:tc>
          <w:tcPr>
            <w:shd w:fill="auto" w:val="clear"/>
            <w:vAlign w:val="center"/>
          </w:tcPr>
          <w:p w:rsidR="00000000" w:rsidDel="00000000" w:rsidP="00000000" w:rsidRDefault="00000000" w:rsidRPr="00000000" w14:paraId="00000015">
            <w:pPr>
              <w:tabs>
                <w:tab w:val="left" w:pos="2520"/>
              </w:tabs>
              <w:jc w:val="center"/>
              <w:rPr>
                <w:sz w:val="21"/>
                <w:szCs w:val="21"/>
              </w:rPr>
            </w:pPr>
            <w:r w:rsidDel="00000000" w:rsidR="00000000" w:rsidRPr="00000000">
              <w:rPr>
                <w:sz w:val="21"/>
                <w:szCs w:val="21"/>
                <w:rtl w:val="0"/>
              </w:rPr>
              <w:t xml:space="preserve">Modelos</w:t>
            </w:r>
          </w:p>
        </w:tc>
      </w:tr>
      <w:tr>
        <w:trPr>
          <w:cantSplit w:val="0"/>
          <w:trHeight w:val="70" w:hRule="atLeast"/>
          <w:tblHeader w:val="0"/>
        </w:trPr>
        <w:tc>
          <w:tcPr>
            <w:shd w:fill="auto" w:val="clear"/>
            <w:vAlign w:val="center"/>
          </w:tcPr>
          <w:p w:rsidR="00000000" w:rsidDel="00000000" w:rsidP="00000000" w:rsidRDefault="00000000" w:rsidRPr="00000000" w14:paraId="00000016">
            <w:pPr>
              <w:tabs>
                <w:tab w:val="left" w:pos="2520"/>
              </w:tabs>
              <w:jc w:val="center"/>
              <w:rPr>
                <w:sz w:val="21"/>
                <w:szCs w:val="21"/>
              </w:rPr>
            </w:pPr>
            <w:r w:rsidDel="00000000" w:rsidR="00000000" w:rsidRPr="00000000">
              <w:rPr>
                <w:sz w:val="21"/>
                <w:szCs w:val="21"/>
                <w:rtl w:val="0"/>
              </w:rPr>
              <w:t xml:space="preserve">MTG-B3000FR</w:t>
            </w:r>
          </w:p>
        </w:tc>
      </w:tr>
      <w:tr>
        <w:trPr>
          <w:cantSplit w:val="0"/>
          <w:trHeight w:val="70" w:hRule="atLeast"/>
          <w:tblHeader w:val="0"/>
        </w:trPr>
        <w:tc>
          <w:tcPr>
            <w:shd w:fill="auto" w:val="clear"/>
            <w:vAlign w:val="center"/>
          </w:tcPr>
          <w:p w:rsidR="00000000" w:rsidDel="00000000" w:rsidP="00000000" w:rsidRDefault="00000000" w:rsidRPr="00000000" w14:paraId="00000017">
            <w:pPr>
              <w:tabs>
                <w:tab w:val="left" w:pos="2520"/>
              </w:tabs>
              <w:jc w:val="center"/>
              <w:rPr>
                <w:sz w:val="21"/>
                <w:szCs w:val="21"/>
              </w:rPr>
            </w:pPr>
            <w:r w:rsidDel="00000000" w:rsidR="00000000" w:rsidRPr="00000000">
              <w:rPr>
                <w:sz w:val="21"/>
                <w:szCs w:val="21"/>
                <w:rtl w:val="0"/>
              </w:rPr>
              <w:t xml:space="preserve">GWG-2040FR</w:t>
            </w:r>
          </w:p>
        </w:tc>
      </w:tr>
    </w:tbl>
    <w:p w:rsidR="00000000" w:rsidDel="00000000" w:rsidP="00000000" w:rsidRDefault="00000000" w:rsidRPr="00000000" w14:paraId="00000018">
      <w:pPr>
        <w:ind w:firstLine="1540"/>
        <w:rPr/>
      </w:pPr>
      <w:sdt>
        <w:sdtPr>
          <w:tag w:val="goog_rdk_0"/>
        </w:sdtPr>
        <w:sdtContent>
          <w:r w:rsidDel="00000000" w:rsidR="00000000" w:rsidRPr="00000000">
            <w:rPr>
              <w:rFonts w:ascii="Arial Unicode MS" w:cs="Arial Unicode MS" w:eastAsia="Arial Unicode MS" w:hAnsi="Arial Unicode MS"/>
              <w:rtl w:val="0"/>
            </w:rPr>
            <w:t xml:space="preserve">MTG-B3000FR　　　　　　　 　　　　　　GWG-2040FR</w:t>
          </w:r>
        </w:sdtContent>
      </w:sdt>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-3174999</wp:posOffset>
                </wp:positionH>
                <wp:positionV relativeFrom="paragraph">
                  <wp:posOffset>2044700</wp:posOffset>
                </wp:positionV>
                <wp:extent cx="1952625" cy="215265"/>
                <wp:effectExtent b="0" l="0" r="0" t="0"/>
                <wp:wrapNone/>
                <wp:docPr id="23" name=""/>
                <a:graphic>
                  <a:graphicData uri="http://schemas.microsoft.com/office/word/2010/wordprocessingShape">
                    <wps:wsp>
                      <wps:cNvSpPr/>
                      <wps:cNvPr id="2" name="Shape 2"/>
                      <wps:spPr>
                        <a:xfrm>
                          <a:off x="4374450" y="3677130"/>
                          <a:ext cx="1943100" cy="20574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GW-M5630A</w:t>
                            </w:r>
                          </w:p>
                        </w:txbxContent>
                      </wps:txbx>
                      <wps:bodyPr anchorCtr="0" anchor="t" bIns="8875" lIns="74275" spcFirstLastPara="1" rIns="74275" wrap="square" tIns="887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-3174999</wp:posOffset>
                </wp:positionH>
                <wp:positionV relativeFrom="paragraph">
                  <wp:posOffset>2044700</wp:posOffset>
                </wp:positionV>
                <wp:extent cx="1952625" cy="215265"/>
                <wp:effectExtent b="0" l="0" r="0" t="0"/>
                <wp:wrapNone/>
                <wp:docPr id="23"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1952625" cy="21526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3052445</wp:posOffset>
            </wp:positionH>
            <wp:positionV relativeFrom="paragraph">
              <wp:posOffset>85090</wp:posOffset>
            </wp:positionV>
            <wp:extent cx="2536190" cy="3105150"/>
            <wp:effectExtent b="0" l="0" r="0" t="0"/>
            <wp:wrapNone/>
            <wp:docPr id="27"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536190" cy="31051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309245</wp:posOffset>
            </wp:positionH>
            <wp:positionV relativeFrom="paragraph">
              <wp:posOffset>0</wp:posOffset>
            </wp:positionV>
            <wp:extent cx="2371090" cy="3219450"/>
            <wp:effectExtent b="0" l="0" r="0" t="0"/>
            <wp:wrapTopAndBottom distB="0" distT="0"/>
            <wp:docPr id="25" name="image6.jpg"/>
            <a:graphic>
              <a:graphicData uri="http://schemas.openxmlformats.org/drawingml/2006/picture">
                <pic:pic>
                  <pic:nvPicPr>
                    <pic:cNvPr id="0" name="image6.jpg"/>
                    <pic:cNvPicPr preferRelativeResize="0"/>
                  </pic:nvPicPr>
                  <pic:blipFill>
                    <a:blip r:embed="rId10"/>
                    <a:srcRect b="3039" l="0" r="0" t="0"/>
                    <a:stretch>
                      <a:fillRect/>
                    </a:stretch>
                  </pic:blipFill>
                  <pic:spPr>
                    <a:xfrm>
                      <a:off x="0" y="0"/>
                      <a:ext cx="2371090" cy="3219450"/>
                    </a:xfrm>
                    <a:prstGeom prst="rect"/>
                    <a:ln/>
                  </pic:spPr>
                </pic:pic>
              </a:graphicData>
            </a:graphic>
          </wp:anchor>
        </w:drawing>
      </w:r>
    </w:p>
    <w:p w:rsidR="00000000" w:rsidDel="00000000" w:rsidP="00000000" w:rsidRDefault="00000000" w:rsidRPr="00000000" w14:paraId="00000019">
      <w:pPr>
        <w:ind w:firstLine="1980"/>
        <w:jc w:val="left"/>
        <w:rPr/>
      </w:pPr>
      <w:r w:rsidDel="00000000" w:rsidR="00000000" w:rsidRPr="00000000">
        <w:rPr>
          <w:rtl w:val="0"/>
        </w:rPr>
      </w:r>
    </w:p>
    <w:p w:rsidR="00000000" w:rsidDel="00000000" w:rsidP="00000000" w:rsidRDefault="00000000" w:rsidRPr="00000000" w14:paraId="0000001A">
      <w:pPr>
        <w:ind w:left="567" w:firstLine="0"/>
        <w:jc w:val="left"/>
        <w:rPr/>
      </w:pPr>
      <w:r w:rsidDel="00000000" w:rsidR="00000000" w:rsidRPr="00000000">
        <w:rPr>
          <w:color w:val="ff0000"/>
        </w:rPr>
        <w:drawing>
          <wp:inline distB="0" distT="0" distL="0" distR="0">
            <wp:extent cx="2386148" cy="2276475"/>
            <wp:effectExtent b="0" l="0" r="0" t="0"/>
            <wp:docPr id="29" name="image4.jpg"/>
            <a:graphic>
              <a:graphicData uri="http://schemas.openxmlformats.org/drawingml/2006/picture">
                <pic:pic>
                  <pic:nvPicPr>
                    <pic:cNvPr id="0" name="image4.jpg"/>
                    <pic:cNvPicPr preferRelativeResize="0"/>
                  </pic:nvPicPr>
                  <pic:blipFill>
                    <a:blip r:embed="rId11"/>
                    <a:srcRect b="6563" l="0" r="0" t="6705"/>
                    <a:stretch>
                      <a:fillRect/>
                    </a:stretch>
                  </pic:blipFill>
                  <pic:spPr>
                    <a:xfrm>
                      <a:off x="0" y="0"/>
                      <a:ext cx="2386148" cy="2276475"/>
                    </a:xfrm>
                    <a:prstGeom prst="rect"/>
                    <a:ln/>
                  </pic:spPr>
                </pic:pic>
              </a:graphicData>
            </a:graphic>
          </wp:inline>
        </w:drawing>
      </w:r>
      <w:r w:rsidDel="00000000" w:rsidR="00000000" w:rsidRPr="00000000">
        <w:rPr>
          <w:rtl w:val="0"/>
        </w:rPr>
        <w:t xml:space="preserve">       </w:t>
      </w:r>
      <w:r w:rsidDel="00000000" w:rsidR="00000000" w:rsidRPr="00000000">
        <w:rPr>
          <w:color w:val="ff0000"/>
        </w:rPr>
        <w:drawing>
          <wp:inline distB="0" distT="0" distL="0" distR="0">
            <wp:extent cx="2231619" cy="2251906"/>
            <wp:effectExtent b="0" l="0" r="0" t="0"/>
            <wp:docPr id="28"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2231619" cy="2251906"/>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ind w:left="1418" w:firstLine="0"/>
        <w:jc w:val="left"/>
        <w:rPr>
          <w:highlight w:val="lightGray"/>
        </w:rPr>
      </w:pPr>
      <w:r w:rsidDel="00000000" w:rsidR="00000000" w:rsidRPr="00000000">
        <w:rPr>
          <w:rtl w:val="0"/>
        </w:rPr>
        <w:t xml:space="preserve">MTG-B3000FR bisel                  GWG-2040FR bisel y correa</w:t>
      </w:r>
      <w:r w:rsidDel="00000000" w:rsidR="00000000" w:rsidRPr="00000000">
        <w:rPr>
          <w:rtl w:val="0"/>
        </w:rPr>
      </w:r>
    </w:p>
    <w:p w:rsidR="00000000" w:rsidDel="00000000" w:rsidP="00000000" w:rsidRDefault="00000000" w:rsidRPr="00000000" w14:paraId="0000001C">
      <w:pPr>
        <w:jc w:val="left"/>
        <w:rPr>
          <w:highlight w:val="lightGray"/>
        </w:rPr>
      </w:pPr>
      <w:r w:rsidDel="00000000" w:rsidR="00000000" w:rsidRPr="00000000">
        <w:rPr>
          <w:rtl w:val="0"/>
        </w:rPr>
      </w:r>
    </w:p>
    <w:p w:rsidR="00000000" w:rsidDel="00000000" w:rsidP="00000000" w:rsidRDefault="00000000" w:rsidRPr="00000000" w14:paraId="0000001D">
      <w:pPr>
        <w:jc w:val="center"/>
        <w:rPr>
          <w:highlight w:val="lightGray"/>
        </w:rPr>
      </w:pPr>
      <w:r w:rsidDel="00000000" w:rsidR="00000000" w:rsidRPr="00000000">
        <w:rPr>
          <w:highlight w:val="lightGray"/>
        </w:rPr>
        <w:drawing>
          <wp:inline distB="0" distT="0" distL="0" distR="0">
            <wp:extent cx="3749329" cy="2847975"/>
            <wp:effectExtent b="0" l="0" r="0" t="0"/>
            <wp:docPr id="32" name="image2.jpg"/>
            <a:graphic>
              <a:graphicData uri="http://schemas.openxmlformats.org/drawingml/2006/picture">
                <pic:pic>
                  <pic:nvPicPr>
                    <pic:cNvPr id="0" name="image2.jpg"/>
                    <pic:cNvPicPr preferRelativeResize="0"/>
                  </pic:nvPicPr>
                  <pic:blipFill>
                    <a:blip r:embed="rId13"/>
                    <a:srcRect b="0" l="0" r="1862" t="0"/>
                    <a:stretch>
                      <a:fillRect/>
                    </a:stretch>
                  </pic:blipFill>
                  <pic:spPr>
                    <a:xfrm>
                      <a:off x="0" y="0"/>
                      <a:ext cx="3749329" cy="284797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jc w:val="center"/>
        <w:rPr/>
      </w:pPr>
      <w:r w:rsidDel="00000000" w:rsidR="00000000" w:rsidRPr="00000000">
        <w:rPr>
          <w:rtl w:val="0"/>
        </w:rPr>
        <w:t xml:space="preserve">Etapas de procesamiento del bisel</w:t>
      </w:r>
    </w:p>
    <w:p w:rsidR="00000000" w:rsidDel="00000000" w:rsidP="00000000" w:rsidRDefault="00000000" w:rsidRPr="00000000" w14:paraId="0000001F">
      <w:pPr>
        <w:jc w:val="center"/>
        <w:rPr/>
      </w:pPr>
      <w:r w:rsidDel="00000000" w:rsidR="00000000" w:rsidRPr="00000000">
        <w:rPr/>
        <w:drawing>
          <wp:inline distB="0" distT="0" distL="0" distR="0">
            <wp:extent cx="2751503" cy="2079625"/>
            <wp:effectExtent b="0" l="0" r="0" t="0"/>
            <wp:docPr id="31"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2751503" cy="207962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038350" cy="1910080"/>
            <wp:effectExtent b="0" l="0" r="0" t="0"/>
            <wp:docPr id="33"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2038350" cy="191008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ind w:firstLine="880"/>
        <w:jc w:val="center"/>
        <w:rPr/>
      </w:pPr>
      <w:sdt>
        <w:sdtPr>
          <w:tag w:val="goog_rdk_1"/>
        </w:sdtPr>
        <w:sdtContent>
          <w:r w:rsidDel="00000000" w:rsidR="00000000" w:rsidRPr="00000000">
            <w:rPr>
              <w:rFonts w:ascii="Arial Unicode MS" w:cs="Arial Unicode MS" w:eastAsia="Arial Unicode MS" w:hAnsi="Arial Unicode MS"/>
              <w:rtl w:val="0"/>
            </w:rPr>
            <w:t xml:space="preserve">Envase especial　　　　　　　　　　Logo del 40º aniversario </w:t>
          </w:r>
        </w:sdtContent>
      </w:sdt>
    </w:p>
    <w:p w:rsidR="00000000" w:rsidDel="00000000" w:rsidP="00000000" w:rsidRDefault="00000000" w:rsidRPr="00000000" w14:paraId="00000021">
      <w:pPr>
        <w:tabs>
          <w:tab w:val="left" w:pos="2520"/>
        </w:tabs>
        <w:rPr/>
      </w:pPr>
      <w:r w:rsidDel="00000000" w:rsidR="00000000" w:rsidRPr="00000000">
        <w:rPr>
          <w:rtl w:val="0"/>
        </w:rPr>
      </w:r>
    </w:p>
    <w:p w:rsidR="00000000" w:rsidDel="00000000" w:rsidP="00000000" w:rsidRDefault="00000000" w:rsidRPr="00000000" w14:paraId="00000022">
      <w:pPr>
        <w:ind w:right="-2"/>
        <w:jc w:val="center"/>
        <w:rPr>
          <w:color w:val="000000"/>
        </w:rPr>
      </w:pPr>
      <w:r w:rsidDel="00000000" w:rsidR="00000000" w:rsidRPr="00000000">
        <w:rPr>
          <w:rtl w:val="0"/>
        </w:rPr>
        <w:t xml:space="preserve">Especificaciones</w:t>
      </w:r>
      <w:r w:rsidDel="00000000" w:rsidR="00000000" w:rsidRPr="00000000">
        <w:rPr>
          <w:rtl w:val="0"/>
        </w:rPr>
      </w:r>
    </w:p>
    <w:p w:rsidR="00000000" w:rsidDel="00000000" w:rsidP="00000000" w:rsidRDefault="00000000" w:rsidRPr="00000000" w14:paraId="00000023">
      <w:pPr>
        <w:ind w:right="-2"/>
        <w:jc w:val="left"/>
        <w:rPr>
          <w:color w:val="000000"/>
          <w:u w:val="single"/>
        </w:rPr>
      </w:pPr>
      <w:r w:rsidDel="00000000" w:rsidR="00000000" w:rsidRPr="00000000">
        <w:rPr>
          <w:color w:val="000000"/>
          <w:u w:val="single"/>
          <w:rtl w:val="0"/>
        </w:rPr>
        <w:t xml:space="preserve">MTG-B3000FR</w:t>
      </w:r>
    </w:p>
    <w:tbl>
      <w:tblPr>
        <w:tblStyle w:val="Table2"/>
        <w:tblW w:w="90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45"/>
        <w:gridCol w:w="1745"/>
        <w:gridCol w:w="5570"/>
        <w:tblGridChange w:id="0">
          <w:tblGrid>
            <w:gridCol w:w="1745"/>
            <w:gridCol w:w="1745"/>
            <w:gridCol w:w="5570"/>
          </w:tblGrid>
        </w:tblGridChange>
      </w:tblGrid>
      <w:tr>
        <w:trPr>
          <w:cantSplit w:val="1"/>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4">
            <w:pPr>
              <w:rPr>
                <w:color w:val="000000"/>
              </w:rPr>
            </w:pPr>
            <w:r w:rsidDel="00000000" w:rsidR="00000000" w:rsidRPr="00000000">
              <w:rPr>
                <w:color w:val="000000"/>
                <w:rtl w:val="0"/>
              </w:rPr>
              <w:t xml:space="preserve">Constru</w:t>
            </w:r>
            <w:r w:rsidDel="00000000" w:rsidR="00000000" w:rsidRPr="00000000">
              <w:rPr>
                <w:rtl w:val="0"/>
              </w:rPr>
              <w:t xml:space="preserve">cción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6">
            <w:pPr>
              <w:jc w:val="left"/>
              <w:rPr>
                <w:color w:val="000000"/>
              </w:rPr>
            </w:pPr>
            <w:r w:rsidDel="00000000" w:rsidR="00000000" w:rsidRPr="00000000">
              <w:rPr>
                <w:color w:val="000000"/>
                <w:rtl w:val="0"/>
              </w:rPr>
              <w:t xml:space="preserve">Triple G Resist (</w:t>
            </w:r>
            <w:r w:rsidDel="00000000" w:rsidR="00000000" w:rsidRPr="00000000">
              <w:rPr>
                <w:rtl w:val="0"/>
              </w:rPr>
              <w:t xml:space="preserve">resistente a los golpes, resistente a la fuerza centrífuga, resistente a las vibraciones</w:t>
            </w:r>
            <w:r w:rsidDel="00000000" w:rsidR="00000000" w:rsidRPr="00000000">
              <w:rPr>
                <w:color w:val="000000"/>
                <w:rtl w:val="0"/>
              </w:rPr>
              <w:t xml:space="preserve">)</w:t>
            </w:r>
          </w:p>
        </w:tc>
      </w:tr>
      <w:tr>
        <w:trPr>
          <w:cantSplit w:val="1"/>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7">
            <w:pPr>
              <w:rPr>
                <w:color w:val="000000"/>
              </w:rPr>
            </w:pPr>
            <w:r w:rsidDel="00000000" w:rsidR="00000000" w:rsidRPr="00000000">
              <w:rPr>
                <w:rtl w:val="0"/>
              </w:rPr>
              <w:t xml:space="preserve">Resistencia al agua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9">
            <w:pPr>
              <w:jc w:val="left"/>
              <w:rPr>
                <w:color w:val="000000"/>
              </w:rPr>
            </w:pPr>
            <w:r w:rsidDel="00000000" w:rsidR="00000000" w:rsidRPr="00000000">
              <w:rPr>
                <w:color w:val="000000"/>
                <w:rtl w:val="0"/>
              </w:rPr>
              <w:t xml:space="preserve">200 me</w:t>
            </w:r>
            <w:r w:rsidDel="00000000" w:rsidR="00000000" w:rsidRPr="00000000">
              <w:rPr>
                <w:rtl w:val="0"/>
              </w:rPr>
              <w:t xml:space="preserve">tros</w:t>
            </w:r>
            <w:r w:rsidDel="00000000" w:rsidR="00000000" w:rsidRPr="00000000">
              <w:rPr>
                <w:rtl w:val="0"/>
              </w:rPr>
            </w:r>
          </w:p>
        </w:tc>
      </w:tr>
      <w:tr>
        <w:trPr>
          <w:cantSplit w:val="1"/>
          <w:tblHeader w:val="0"/>
        </w:trPr>
        <w:tc>
          <w:tcPr>
            <w:gridSpan w:val="2"/>
            <w:vAlign w:val="center"/>
          </w:tcPr>
          <w:p w:rsidR="00000000" w:rsidDel="00000000" w:rsidP="00000000" w:rsidRDefault="00000000" w:rsidRPr="00000000" w14:paraId="0000002A">
            <w:pPr>
              <w:rPr>
                <w:color w:val="000000"/>
              </w:rPr>
            </w:pPr>
            <w:r w:rsidDel="00000000" w:rsidR="00000000" w:rsidRPr="00000000">
              <w:rPr>
                <w:rtl w:val="0"/>
              </w:rPr>
              <w:t xml:space="preserve">Frecuencia de radio</w:t>
            </w:r>
            <w:r w:rsidDel="00000000" w:rsidR="00000000" w:rsidRPr="00000000">
              <w:rPr>
                <w:rtl w:val="0"/>
              </w:rPr>
            </w:r>
          </w:p>
        </w:tc>
        <w:tc>
          <w:tcPr>
            <w:vAlign w:val="center"/>
          </w:tcPr>
          <w:p w:rsidR="00000000" w:rsidDel="00000000" w:rsidP="00000000" w:rsidRDefault="00000000" w:rsidRPr="00000000" w14:paraId="0000002C">
            <w:pPr>
              <w:jc w:val="left"/>
              <w:rPr>
                <w:color w:val="000000"/>
              </w:rPr>
            </w:pPr>
            <w:r w:rsidDel="00000000" w:rsidR="00000000" w:rsidRPr="00000000">
              <w:rPr>
                <w:color w:val="000000"/>
                <w:rtl w:val="0"/>
              </w:rPr>
              <w:t xml:space="preserve">77.5 kHz (DCF77: </w:t>
            </w:r>
            <w:r w:rsidDel="00000000" w:rsidR="00000000" w:rsidRPr="00000000">
              <w:rPr>
                <w:rtl w:val="0"/>
              </w:rPr>
              <w:t xml:space="preserve">Alemania</w:t>
            </w:r>
            <w:r w:rsidDel="00000000" w:rsidR="00000000" w:rsidRPr="00000000">
              <w:rPr>
                <w:color w:val="000000"/>
                <w:rtl w:val="0"/>
              </w:rPr>
              <w:t xml:space="preserve">); 60 kHz (MSF: </w:t>
            </w:r>
            <w:r w:rsidDel="00000000" w:rsidR="00000000" w:rsidRPr="00000000">
              <w:rPr>
                <w:rtl w:val="0"/>
              </w:rPr>
              <w:t xml:space="preserve">Reino Unido</w:t>
            </w:r>
            <w:r w:rsidDel="00000000" w:rsidR="00000000" w:rsidRPr="00000000">
              <w:rPr>
                <w:color w:val="000000"/>
                <w:rtl w:val="0"/>
              </w:rPr>
              <w:t xml:space="preserve">); 60 kHz (WWVB: </w:t>
            </w:r>
            <w:r w:rsidDel="00000000" w:rsidR="00000000" w:rsidRPr="00000000">
              <w:rPr>
                <w:rtl w:val="0"/>
              </w:rPr>
              <w:t xml:space="preserve">EE.UU</w:t>
            </w:r>
            <w:r w:rsidDel="00000000" w:rsidR="00000000" w:rsidRPr="00000000">
              <w:rPr>
                <w:color w:val="000000"/>
                <w:rtl w:val="0"/>
              </w:rPr>
              <w:t xml:space="preserve">); 40 kHz (JJY: Fukushima, Jap</w:t>
            </w:r>
            <w:r w:rsidDel="00000000" w:rsidR="00000000" w:rsidRPr="00000000">
              <w:rPr>
                <w:rtl w:val="0"/>
              </w:rPr>
              <w:t xml:space="preserve">ón</w:t>
            </w:r>
            <w:r w:rsidDel="00000000" w:rsidR="00000000" w:rsidRPr="00000000">
              <w:rPr>
                <w:color w:val="000000"/>
                <w:rtl w:val="0"/>
              </w:rPr>
              <w:t xml:space="preserve">) / 60 kHz (JJY: Kyushu, Jap</w:t>
            </w:r>
            <w:r w:rsidDel="00000000" w:rsidR="00000000" w:rsidRPr="00000000">
              <w:rPr>
                <w:rtl w:val="0"/>
              </w:rPr>
              <w:t xml:space="preserve">ón</w:t>
            </w:r>
            <w:r w:rsidDel="00000000" w:rsidR="00000000" w:rsidRPr="00000000">
              <w:rPr>
                <w:color w:val="000000"/>
                <w:rtl w:val="0"/>
              </w:rPr>
              <w:t xml:space="preserve">); 68.5 kHz (BPC: China)</w:t>
            </w:r>
          </w:p>
        </w:tc>
      </w:tr>
      <w:tr>
        <w:trPr>
          <w:cantSplit w:val="1"/>
          <w:tblHeader w:val="0"/>
        </w:trPr>
        <w:tc>
          <w:tcPr>
            <w:gridSpan w:val="2"/>
            <w:vAlign w:val="center"/>
          </w:tcPr>
          <w:p w:rsidR="00000000" w:rsidDel="00000000" w:rsidP="00000000" w:rsidRDefault="00000000" w:rsidRPr="00000000" w14:paraId="0000002D">
            <w:pPr>
              <w:rPr>
                <w:color w:val="000000"/>
              </w:rPr>
            </w:pPr>
            <w:r w:rsidDel="00000000" w:rsidR="00000000" w:rsidRPr="00000000">
              <w:rPr>
                <w:rtl w:val="0"/>
              </w:rPr>
              <w:t xml:space="preserve">Recepción de ondas de radio</w:t>
            </w:r>
            <w:r w:rsidDel="00000000" w:rsidR="00000000" w:rsidRPr="00000000">
              <w:rPr>
                <w:rtl w:val="0"/>
              </w:rPr>
            </w:r>
          </w:p>
        </w:tc>
        <w:tc>
          <w:tcPr>
            <w:vAlign w:val="center"/>
          </w:tcPr>
          <w:p w:rsidR="00000000" w:rsidDel="00000000" w:rsidP="00000000" w:rsidRDefault="00000000" w:rsidRPr="00000000" w14:paraId="0000002F">
            <w:pPr>
              <w:jc w:val="left"/>
              <w:rPr>
                <w:color w:val="000000"/>
              </w:rPr>
            </w:pPr>
            <w:r w:rsidDel="00000000" w:rsidR="00000000" w:rsidRPr="00000000">
              <w:rPr>
                <w:rtl w:val="0"/>
              </w:rPr>
              <w:t xml:space="preserve">Recepción automática hasta seis veces al día (excepto para uso en China: hasta cinco veces al día); recepción manual.</w:t>
            </w:r>
            <w:r w:rsidDel="00000000" w:rsidR="00000000" w:rsidRPr="00000000">
              <w:rPr>
                <w:rtl w:val="0"/>
              </w:rPr>
            </w:r>
          </w:p>
        </w:tc>
      </w:tr>
      <w:tr>
        <w:trPr>
          <w:cantSplit w:val="1"/>
          <w:tblHeader w:val="0"/>
        </w:trPr>
        <w:tc>
          <w:tcPr>
            <w:vMerge w:val="restart"/>
            <w:vAlign w:val="center"/>
          </w:tcPr>
          <w:p w:rsidR="00000000" w:rsidDel="00000000" w:rsidP="00000000" w:rsidRDefault="00000000" w:rsidRPr="00000000" w14:paraId="00000030">
            <w:pPr>
              <w:rPr>
                <w:color w:val="000000"/>
              </w:rPr>
            </w:pPr>
            <w:r w:rsidDel="00000000" w:rsidR="00000000" w:rsidRPr="00000000">
              <w:rPr>
                <w:rtl w:val="0"/>
              </w:rPr>
              <w:t xml:space="preserve">Especificaciones de comunicación</w:t>
            </w:r>
            <w:r w:rsidDel="00000000" w:rsidR="00000000" w:rsidRPr="00000000">
              <w:rPr>
                <w:rtl w:val="0"/>
              </w:rPr>
            </w:r>
          </w:p>
        </w:tc>
        <w:tc>
          <w:tcPr>
            <w:vAlign w:val="center"/>
          </w:tcPr>
          <w:p w:rsidR="00000000" w:rsidDel="00000000" w:rsidP="00000000" w:rsidRDefault="00000000" w:rsidRPr="00000000" w14:paraId="00000031">
            <w:pPr>
              <w:rPr>
                <w:color w:val="000000"/>
              </w:rPr>
            </w:pPr>
            <w:r w:rsidDel="00000000" w:rsidR="00000000" w:rsidRPr="00000000">
              <w:rPr>
                <w:rtl w:val="0"/>
              </w:rPr>
              <w:t xml:space="preserve">Comunicación estándar</w:t>
            </w:r>
            <w:r w:rsidDel="00000000" w:rsidR="00000000" w:rsidRPr="00000000">
              <w:rPr>
                <w:rtl w:val="0"/>
              </w:rPr>
            </w:r>
          </w:p>
        </w:tc>
        <w:tc>
          <w:tcPr>
            <w:vAlign w:val="center"/>
          </w:tcPr>
          <w:p w:rsidR="00000000" w:rsidDel="00000000" w:rsidP="00000000" w:rsidRDefault="00000000" w:rsidRPr="00000000" w14:paraId="00000032">
            <w:pPr>
              <w:jc w:val="left"/>
              <w:rPr>
                <w:color w:val="000000"/>
              </w:rPr>
            </w:pPr>
            <w:r w:rsidDel="00000000" w:rsidR="00000000" w:rsidRPr="00000000">
              <w:rPr>
                <w:color w:val="000000"/>
                <w:rtl w:val="0"/>
              </w:rPr>
              <w:t xml:space="preserve">Bluetooth</w:t>
            </w:r>
            <w:r w:rsidDel="00000000" w:rsidR="00000000" w:rsidRPr="00000000">
              <w:rPr>
                <w:color w:val="000000"/>
                <w:vertAlign w:val="superscript"/>
                <w:rtl w:val="0"/>
              </w:rPr>
              <w:t xml:space="preserve">®</w:t>
            </w:r>
            <w:r w:rsidDel="00000000" w:rsidR="00000000" w:rsidRPr="00000000">
              <w:rPr>
                <w:color w:val="000000"/>
                <w:rtl w:val="0"/>
              </w:rPr>
              <w:t xml:space="preserve"> </w:t>
            </w:r>
            <w:r w:rsidDel="00000000" w:rsidR="00000000" w:rsidRPr="00000000">
              <w:rPr>
                <w:rtl w:val="0"/>
              </w:rPr>
              <w:t xml:space="preserve">baja energía</w:t>
            </w:r>
            <w:r w:rsidDel="00000000" w:rsidR="00000000" w:rsidRPr="00000000">
              <w:rPr>
                <w:rtl w:val="0"/>
              </w:rPr>
            </w:r>
          </w:p>
        </w:tc>
      </w:tr>
      <w:tr>
        <w:trPr>
          <w:cantSplit w:val="1"/>
          <w:tblHeader w:val="0"/>
        </w:trPr>
        <w:tc>
          <w:tcPr>
            <w:vMerge w:val="continue"/>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center"/>
          </w:tcPr>
          <w:p w:rsidR="00000000" w:rsidDel="00000000" w:rsidP="00000000" w:rsidRDefault="00000000" w:rsidRPr="00000000" w14:paraId="00000034">
            <w:pPr>
              <w:rPr>
                <w:color w:val="000000"/>
              </w:rPr>
            </w:pPr>
            <w:r w:rsidDel="00000000" w:rsidR="00000000" w:rsidRPr="00000000">
              <w:rPr>
                <w:rtl w:val="0"/>
              </w:rPr>
              <w:t xml:space="preserve">Rango de señal</w:t>
            </w:r>
            <w:r w:rsidDel="00000000" w:rsidR="00000000" w:rsidRPr="00000000">
              <w:rPr>
                <w:rtl w:val="0"/>
              </w:rPr>
            </w:r>
          </w:p>
        </w:tc>
        <w:tc>
          <w:tcPr>
            <w:vAlign w:val="center"/>
          </w:tcPr>
          <w:p w:rsidR="00000000" w:rsidDel="00000000" w:rsidP="00000000" w:rsidRDefault="00000000" w:rsidRPr="00000000" w14:paraId="00000035">
            <w:pPr>
              <w:jc w:val="left"/>
              <w:rPr>
                <w:color w:val="000000"/>
              </w:rPr>
            </w:pPr>
            <w:r w:rsidDel="00000000" w:rsidR="00000000" w:rsidRPr="00000000">
              <w:rPr>
                <w:rtl w:val="0"/>
              </w:rPr>
              <w:t xml:space="preserve">Hasta dos metros (puede variar dependiendo las condiciones y circunstancias)</w:t>
            </w:r>
            <w:r w:rsidDel="00000000" w:rsidR="00000000" w:rsidRPr="00000000">
              <w:rPr>
                <w:rtl w:val="0"/>
              </w:rPr>
            </w:r>
          </w:p>
        </w:tc>
      </w:tr>
      <w:tr>
        <w:trPr>
          <w:cantSplit w:val="1"/>
          <w:tblHeader w:val="0"/>
        </w:trPr>
        <w:tc>
          <w:tcPr>
            <w:gridSpan w:val="2"/>
            <w:vAlign w:val="center"/>
          </w:tcPr>
          <w:p w:rsidR="00000000" w:rsidDel="00000000" w:rsidP="00000000" w:rsidRDefault="00000000" w:rsidRPr="00000000" w14:paraId="00000036">
            <w:pPr>
              <w:rPr>
                <w:color w:val="000000"/>
              </w:rPr>
            </w:pPr>
            <w:r w:rsidDel="00000000" w:rsidR="00000000" w:rsidRPr="00000000">
              <w:rPr>
                <w:rtl w:val="0"/>
              </w:rPr>
              <w:t xml:space="preserve">Cronógrafo</w:t>
            </w:r>
            <w:r w:rsidDel="00000000" w:rsidR="00000000" w:rsidRPr="00000000">
              <w:rPr>
                <w:rtl w:val="0"/>
              </w:rPr>
            </w:r>
          </w:p>
        </w:tc>
        <w:tc>
          <w:tcPr>
            <w:vAlign w:val="center"/>
          </w:tcPr>
          <w:p w:rsidR="00000000" w:rsidDel="00000000" w:rsidP="00000000" w:rsidRDefault="00000000" w:rsidRPr="00000000" w14:paraId="00000038">
            <w:pPr>
              <w:jc w:val="left"/>
              <w:rPr>
                <w:color w:val="000000"/>
              </w:rPr>
            </w:pPr>
            <w:r w:rsidDel="00000000" w:rsidR="00000000" w:rsidRPr="00000000">
              <w:rPr>
                <w:color w:val="000000"/>
                <w:rtl w:val="0"/>
              </w:rPr>
              <w:t xml:space="preserve">1 se</w:t>
            </w:r>
            <w:r w:rsidDel="00000000" w:rsidR="00000000" w:rsidRPr="00000000">
              <w:rPr>
                <w:rtl w:val="0"/>
              </w:rPr>
              <w:t xml:space="preserve">gundo</w:t>
            </w:r>
            <w:r w:rsidDel="00000000" w:rsidR="00000000" w:rsidRPr="00000000">
              <w:rPr>
                <w:color w:val="000000"/>
                <w:rtl w:val="0"/>
              </w:rPr>
              <w:t xml:space="preserve">; </w:t>
            </w:r>
            <w:r w:rsidDel="00000000" w:rsidR="00000000" w:rsidRPr="00000000">
              <w:rPr>
                <w:rtl w:val="0"/>
              </w:rPr>
              <w:t xml:space="preserve">capacidad de medición</w:t>
            </w:r>
            <w:r w:rsidDel="00000000" w:rsidR="00000000" w:rsidRPr="00000000">
              <w:rPr>
                <w:color w:val="000000"/>
                <w:rtl w:val="0"/>
              </w:rPr>
              <w:t xml:space="preserve">: </w:t>
            </w:r>
            <w:r w:rsidDel="00000000" w:rsidR="00000000" w:rsidRPr="00000000">
              <w:rPr>
                <w:color w:val="100d0d"/>
                <w:highlight w:val="white"/>
                <w:rtl w:val="0"/>
              </w:rPr>
              <w:t xml:space="preserve">23:59'59"; modos de medición: tiempo transcurrido, tiempo fraccionado </w:t>
            </w:r>
            <w:r w:rsidDel="00000000" w:rsidR="00000000" w:rsidRPr="00000000">
              <w:rPr>
                <w:rtl w:val="0"/>
              </w:rPr>
            </w:r>
          </w:p>
        </w:tc>
      </w:tr>
      <w:tr>
        <w:trPr>
          <w:cantSplit w:val="1"/>
          <w:tblHeader w:val="0"/>
        </w:trPr>
        <w:tc>
          <w:tcPr>
            <w:gridSpan w:val="2"/>
            <w:vAlign w:val="center"/>
          </w:tcPr>
          <w:p w:rsidR="00000000" w:rsidDel="00000000" w:rsidP="00000000" w:rsidRDefault="00000000" w:rsidRPr="00000000" w14:paraId="00000039">
            <w:pPr>
              <w:rPr>
                <w:color w:val="000000"/>
              </w:rPr>
            </w:pPr>
            <w:r w:rsidDel="00000000" w:rsidR="00000000" w:rsidRPr="00000000">
              <w:rPr>
                <w:color w:val="000000"/>
                <w:rtl w:val="0"/>
              </w:rPr>
              <w:t xml:space="preserve">C</w:t>
            </w:r>
            <w:r w:rsidDel="00000000" w:rsidR="00000000" w:rsidRPr="00000000">
              <w:rPr>
                <w:rtl w:val="0"/>
              </w:rPr>
              <w:t xml:space="preserve">ontador regresivo</w:t>
            </w:r>
            <w:r w:rsidDel="00000000" w:rsidR="00000000" w:rsidRPr="00000000">
              <w:rPr>
                <w:rtl w:val="0"/>
              </w:rPr>
            </w:r>
          </w:p>
        </w:tc>
        <w:tc>
          <w:tcPr>
            <w:vAlign w:val="center"/>
          </w:tcPr>
          <w:p w:rsidR="00000000" w:rsidDel="00000000" w:rsidP="00000000" w:rsidRDefault="00000000" w:rsidRPr="00000000" w14:paraId="0000003B">
            <w:pPr>
              <w:tabs>
                <w:tab w:val="left" w:pos="2520"/>
              </w:tabs>
              <w:jc w:val="left"/>
              <w:rPr>
                <w:color w:val="000000"/>
              </w:rPr>
            </w:pPr>
            <w:r w:rsidDel="00000000" w:rsidR="00000000" w:rsidRPr="00000000">
              <w:rPr>
                <w:rtl w:val="0"/>
              </w:rPr>
              <w:t xml:space="preserve">Unidad de medida</w:t>
            </w:r>
            <w:r w:rsidDel="00000000" w:rsidR="00000000" w:rsidRPr="00000000">
              <w:rPr>
                <w:color w:val="000000"/>
                <w:rtl w:val="0"/>
              </w:rPr>
              <w:t xml:space="preserve">: 1 se</w:t>
            </w:r>
            <w:r w:rsidDel="00000000" w:rsidR="00000000" w:rsidRPr="00000000">
              <w:rPr>
                <w:rtl w:val="0"/>
              </w:rPr>
              <w:t xml:space="preserve">gundo</w:t>
            </w:r>
            <w:r w:rsidDel="00000000" w:rsidR="00000000" w:rsidRPr="00000000">
              <w:rPr>
                <w:color w:val="000000"/>
                <w:rtl w:val="0"/>
              </w:rPr>
              <w:t xml:space="preserve"> (m</w:t>
            </w:r>
            <w:r w:rsidDel="00000000" w:rsidR="00000000" w:rsidRPr="00000000">
              <w:rPr>
                <w:rtl w:val="0"/>
              </w:rPr>
              <w:t xml:space="preserve">áximo</w:t>
            </w:r>
            <w:r w:rsidDel="00000000" w:rsidR="00000000" w:rsidRPr="00000000">
              <w:rPr>
                <w:color w:val="000000"/>
                <w:rtl w:val="0"/>
              </w:rPr>
              <w:t xml:space="preserve"> 24 ho</w:t>
            </w:r>
            <w:r w:rsidDel="00000000" w:rsidR="00000000" w:rsidRPr="00000000">
              <w:rPr>
                <w:rtl w:val="0"/>
              </w:rPr>
              <w:t xml:space="preserve">ras</w:t>
            </w:r>
            <w:r w:rsidDel="00000000" w:rsidR="00000000" w:rsidRPr="00000000">
              <w:rPr>
                <w:color w:val="000000"/>
                <w:rtl w:val="0"/>
              </w:rPr>
              <w:t xml:space="preserve">)</w:t>
            </w:r>
          </w:p>
        </w:tc>
      </w:tr>
      <w:tr>
        <w:trPr>
          <w:cantSplit w:val="1"/>
          <w:tblHeader w:val="0"/>
        </w:trPr>
        <w:tc>
          <w:tcPr>
            <w:gridSpan w:val="2"/>
            <w:vAlign w:val="center"/>
          </w:tcPr>
          <w:p w:rsidR="00000000" w:rsidDel="00000000" w:rsidP="00000000" w:rsidRDefault="00000000" w:rsidRPr="00000000" w14:paraId="0000003C">
            <w:pPr>
              <w:spacing w:line="279.97249603271484" w:lineRule="auto"/>
              <w:jc w:val="left"/>
              <w:rPr/>
            </w:pPr>
            <w:r w:rsidDel="00000000" w:rsidR="00000000" w:rsidRPr="00000000">
              <w:rPr>
                <w:sz w:val="21"/>
                <w:szCs w:val="21"/>
                <w:rtl w:val="0"/>
              </w:rPr>
              <w:t xml:space="preserve">Funciones de enlace móvil (Enlace inalámbrico con dispositivos Bluetooth®) </w:t>
            </w:r>
            <w:r w:rsidDel="00000000" w:rsidR="00000000" w:rsidRPr="00000000">
              <w:rPr>
                <w:rtl w:val="0"/>
              </w:rPr>
            </w:r>
          </w:p>
        </w:tc>
        <w:tc>
          <w:tcPr>
            <w:vAlign w:val="center"/>
          </w:tcPr>
          <w:p w:rsidR="00000000" w:rsidDel="00000000" w:rsidP="00000000" w:rsidRDefault="00000000" w:rsidRPr="00000000" w14:paraId="0000003E">
            <w:pPr>
              <w:tabs>
                <w:tab w:val="left" w:pos="2520"/>
              </w:tabs>
              <w:jc w:val="left"/>
              <w:rPr>
                <w:color w:val="000000"/>
              </w:rPr>
            </w:pPr>
            <w:r w:rsidDel="00000000" w:rsidR="00000000" w:rsidRPr="00000000">
              <w:rPr>
                <w:color w:val="000000"/>
                <w:rtl w:val="0"/>
              </w:rPr>
              <w:t xml:space="preserve">A</w:t>
            </w:r>
            <w:r w:rsidDel="00000000" w:rsidR="00000000" w:rsidRPr="00000000">
              <w:rPr>
                <w:rtl w:val="0"/>
              </w:rPr>
              <w:t xml:space="preserve">juste de tiempo automático</w:t>
            </w:r>
            <w:r w:rsidDel="00000000" w:rsidR="00000000" w:rsidRPr="00000000">
              <w:rPr>
                <w:color w:val="000000"/>
                <w:rtl w:val="0"/>
              </w:rPr>
              <w:br w:type="textWrapping"/>
            </w:r>
            <w:r w:rsidDel="00000000" w:rsidR="00000000" w:rsidRPr="00000000">
              <w:rPr>
                <w:rtl w:val="0"/>
              </w:rPr>
              <w:t xml:space="preserve">Configuración sencilla del reloj</w:t>
            </w:r>
            <w:r w:rsidDel="00000000" w:rsidR="00000000" w:rsidRPr="00000000">
              <w:rPr>
                <w:color w:val="000000"/>
                <w:rtl w:val="0"/>
              </w:rPr>
              <w:br w:type="textWrapping"/>
              <w:t xml:space="preserve">Ap</w:t>
            </w:r>
            <w:r w:rsidDel="00000000" w:rsidR="00000000" w:rsidRPr="00000000">
              <w:rPr>
                <w:rtl w:val="0"/>
              </w:rPr>
              <w:t xml:space="preserve">roximadamente 300 horas mundiales de ciudades</w:t>
            </w:r>
            <w:r w:rsidDel="00000000" w:rsidR="00000000" w:rsidRPr="00000000">
              <w:rPr>
                <w:color w:val="000000"/>
                <w:rtl w:val="0"/>
              </w:rPr>
              <w:t xml:space="preserve"> </w:t>
              <w:br w:type="textWrapping"/>
              <w:t xml:space="preserve">T</w:t>
            </w:r>
            <w:r w:rsidDel="00000000" w:rsidR="00000000" w:rsidRPr="00000000">
              <w:rPr>
                <w:rtl w:val="0"/>
              </w:rPr>
              <w:t xml:space="preserve">iempo y lugar</w:t>
            </w:r>
            <w:r w:rsidDel="00000000" w:rsidR="00000000" w:rsidRPr="00000000">
              <w:rPr>
                <w:rtl w:val="0"/>
              </w:rPr>
            </w:r>
          </w:p>
          <w:p w:rsidR="00000000" w:rsidDel="00000000" w:rsidP="00000000" w:rsidRDefault="00000000" w:rsidRPr="00000000" w14:paraId="0000003F">
            <w:pPr>
              <w:tabs>
                <w:tab w:val="left" w:pos="2520"/>
              </w:tabs>
              <w:jc w:val="left"/>
              <w:rPr>
                <w:color w:val="000000"/>
              </w:rPr>
            </w:pPr>
            <w:r w:rsidDel="00000000" w:rsidR="00000000" w:rsidRPr="00000000">
              <w:rPr>
                <w:rtl w:val="0"/>
              </w:rPr>
              <w:t xml:space="preserve">Visualización del estado del reloj</w:t>
            </w:r>
            <w:r w:rsidDel="00000000" w:rsidR="00000000" w:rsidRPr="00000000">
              <w:rPr>
                <w:color w:val="000000"/>
                <w:rtl w:val="0"/>
              </w:rPr>
              <w:br w:type="textWrapping"/>
            </w:r>
            <w:r w:rsidDel="00000000" w:rsidR="00000000" w:rsidRPr="00000000">
              <w:rPr>
                <w:rtl w:val="0"/>
              </w:rPr>
              <w:t xml:space="preserve">Autochequeo</w:t>
            </w:r>
            <w:r w:rsidDel="00000000" w:rsidR="00000000" w:rsidRPr="00000000">
              <w:rPr>
                <w:color w:val="000000"/>
                <w:rtl w:val="0"/>
              </w:rPr>
              <w:br w:type="textWrapping"/>
            </w:r>
            <w:r w:rsidDel="00000000" w:rsidR="00000000" w:rsidRPr="00000000">
              <w:rPr>
                <w:rtl w:val="0"/>
              </w:rPr>
              <w:t xml:space="preserve">Buscador de teléfono</w:t>
            </w:r>
            <w:r w:rsidDel="00000000" w:rsidR="00000000" w:rsidRPr="00000000">
              <w:rPr>
                <w:rtl w:val="0"/>
              </w:rPr>
            </w:r>
          </w:p>
        </w:tc>
      </w:tr>
      <w:tr>
        <w:trPr>
          <w:cantSplit w:val="1"/>
          <w:tblHeader w:val="0"/>
        </w:trPr>
        <w:tc>
          <w:tcPr>
            <w:gridSpan w:val="2"/>
            <w:vAlign w:val="center"/>
          </w:tcPr>
          <w:p w:rsidR="00000000" w:rsidDel="00000000" w:rsidP="00000000" w:rsidRDefault="00000000" w:rsidRPr="00000000" w14:paraId="00000040">
            <w:pPr>
              <w:tabs>
                <w:tab w:val="left" w:pos="2520"/>
              </w:tabs>
              <w:jc w:val="left"/>
              <w:rPr>
                <w:color w:val="000000"/>
              </w:rPr>
            </w:pPr>
            <w:r w:rsidDel="00000000" w:rsidR="00000000" w:rsidRPr="00000000">
              <w:rPr>
                <w:rtl w:val="0"/>
              </w:rPr>
              <w:t xml:space="preserve">Otras funciones </w:t>
            </w:r>
            <w:r w:rsidDel="00000000" w:rsidR="00000000" w:rsidRPr="00000000">
              <w:rPr>
                <w:rtl w:val="0"/>
              </w:rPr>
            </w:r>
          </w:p>
        </w:tc>
        <w:tc>
          <w:tcPr>
            <w:vAlign w:val="center"/>
          </w:tcPr>
          <w:p w:rsidR="00000000" w:rsidDel="00000000" w:rsidP="00000000" w:rsidRDefault="00000000" w:rsidRPr="00000000" w14:paraId="00000042">
            <w:pPr>
              <w:tabs>
                <w:tab w:val="left" w:pos="2520"/>
              </w:tabs>
              <w:jc w:val="left"/>
              <w:rPr>
                <w:color w:val="000000"/>
              </w:rPr>
            </w:pPr>
            <w:r w:rsidDel="00000000" w:rsidR="00000000" w:rsidRPr="00000000">
              <w:rPr>
                <w:rtl w:val="0"/>
              </w:rPr>
              <w:t xml:space="preserve">Corrección automática de la posición inicial de la mano; alarma diaria; hora dual (27 zonas horarias, cambio de horario local, cambio automático de horario de verano [DST]; ahorro de energía; indicador de nivel de batería; calendario automático completo; luz LED (Super illuminator) con resplandor posterior; visualización de día y fecha.</w:t>
            </w:r>
            <w:r w:rsidDel="00000000" w:rsidR="00000000" w:rsidRPr="00000000">
              <w:rPr>
                <w:rtl w:val="0"/>
              </w:rPr>
            </w:r>
          </w:p>
        </w:tc>
      </w:tr>
      <w:tr>
        <w:trPr>
          <w:cantSplit w:val="1"/>
          <w:tblHeader w:val="0"/>
        </w:trPr>
        <w:tc>
          <w:tcPr>
            <w:gridSpan w:val="2"/>
            <w:vAlign w:val="center"/>
          </w:tcPr>
          <w:p w:rsidR="00000000" w:rsidDel="00000000" w:rsidP="00000000" w:rsidRDefault="00000000" w:rsidRPr="00000000" w14:paraId="00000043">
            <w:pPr>
              <w:jc w:val="left"/>
              <w:rPr>
                <w:color w:val="000000"/>
              </w:rPr>
            </w:pPr>
            <w:r w:rsidDel="00000000" w:rsidR="00000000" w:rsidRPr="00000000">
              <w:rPr>
                <w:rtl w:val="0"/>
              </w:rPr>
              <w:t xml:space="preserve">Fuente de alimentación</w:t>
            </w:r>
            <w:r w:rsidDel="00000000" w:rsidR="00000000" w:rsidRPr="00000000">
              <w:rPr>
                <w:rtl w:val="0"/>
              </w:rPr>
            </w:r>
          </w:p>
        </w:tc>
        <w:tc>
          <w:tcPr/>
          <w:p w:rsidR="00000000" w:rsidDel="00000000" w:rsidP="00000000" w:rsidRDefault="00000000" w:rsidRPr="00000000" w14:paraId="00000045">
            <w:pPr>
              <w:jc w:val="left"/>
              <w:rPr>
                <w:color w:val="000000"/>
              </w:rPr>
            </w:pPr>
            <w:r w:rsidDel="00000000" w:rsidR="00000000" w:rsidRPr="00000000">
              <w:rPr>
                <w:rtl w:val="0"/>
              </w:rPr>
              <w:t xml:space="preserve">Sistema de energía solar resistente (sistema de carga solar)</w:t>
            </w:r>
            <w:r w:rsidDel="00000000" w:rsidR="00000000" w:rsidRPr="00000000">
              <w:rPr>
                <w:rtl w:val="0"/>
              </w:rPr>
            </w:r>
          </w:p>
        </w:tc>
      </w:tr>
      <w:tr>
        <w:trPr>
          <w:cantSplit w:val="1"/>
          <w:tblHeader w:val="0"/>
        </w:trPr>
        <w:tc>
          <w:tcPr>
            <w:gridSpan w:val="2"/>
            <w:vAlign w:val="center"/>
          </w:tcPr>
          <w:p w:rsidR="00000000" w:rsidDel="00000000" w:rsidP="00000000" w:rsidRDefault="00000000" w:rsidRPr="00000000" w14:paraId="00000046">
            <w:pPr>
              <w:rPr>
                <w:color w:val="000000"/>
              </w:rPr>
            </w:pPr>
            <w:r w:rsidDel="00000000" w:rsidR="00000000" w:rsidRPr="00000000">
              <w:rPr>
                <w:rtl w:val="0"/>
              </w:rPr>
              <w:t xml:space="preserve">Operación continua</w:t>
            </w:r>
            <w:r w:rsidDel="00000000" w:rsidR="00000000" w:rsidRPr="00000000">
              <w:rPr>
                <w:rtl w:val="0"/>
              </w:rPr>
            </w:r>
          </w:p>
        </w:tc>
        <w:tc>
          <w:tcPr>
            <w:vAlign w:val="center"/>
          </w:tcPr>
          <w:p w:rsidR="00000000" w:rsidDel="00000000" w:rsidP="00000000" w:rsidRDefault="00000000" w:rsidRPr="00000000" w14:paraId="00000048">
            <w:pPr>
              <w:jc w:val="left"/>
              <w:rPr>
                <w:color w:val="222222"/>
                <w:highlight w:val="white"/>
              </w:rPr>
            </w:pPr>
            <w:r w:rsidDel="00000000" w:rsidR="00000000" w:rsidRPr="00000000">
              <w:rPr>
                <w:color w:val="222222"/>
                <w:highlight w:val="white"/>
                <w:rtl w:val="0"/>
              </w:rPr>
              <w:t xml:space="preserve">Aproximadamente 5 meses después de la carga completa, usando todas las funciones pero sin carga solar. </w:t>
            </w:r>
          </w:p>
          <w:p w:rsidR="00000000" w:rsidDel="00000000" w:rsidP="00000000" w:rsidRDefault="00000000" w:rsidRPr="00000000" w14:paraId="00000049">
            <w:pPr>
              <w:jc w:val="left"/>
              <w:rPr>
                <w:color w:val="222222"/>
                <w:highlight w:val="white"/>
              </w:rPr>
            </w:pPr>
            <w:r w:rsidDel="00000000" w:rsidR="00000000" w:rsidRPr="00000000">
              <w:rPr>
                <w:color w:val="222222"/>
                <w:highlight w:val="white"/>
                <w:rtl w:val="0"/>
              </w:rPr>
              <w:t xml:space="preserve">Aproximadamente 18 meses con la función de ahorro de energía activada después de la carga completa</w:t>
            </w:r>
          </w:p>
        </w:tc>
      </w:tr>
      <w:tr>
        <w:trPr>
          <w:cantSplit w:val="1"/>
          <w:tblHeader w:val="0"/>
        </w:trPr>
        <w:tc>
          <w:tcPr>
            <w:gridSpan w:val="2"/>
            <w:vAlign w:val="center"/>
          </w:tcPr>
          <w:p w:rsidR="00000000" w:rsidDel="00000000" w:rsidP="00000000" w:rsidRDefault="00000000" w:rsidRPr="00000000" w14:paraId="0000004A">
            <w:pPr>
              <w:rPr>
                <w:color w:val="000000"/>
              </w:rPr>
            </w:pPr>
            <w:r w:rsidDel="00000000" w:rsidR="00000000" w:rsidRPr="00000000">
              <w:rPr>
                <w:rtl w:val="0"/>
              </w:rPr>
              <w:t xml:space="preserve">Tamaño de la caja</w:t>
            </w:r>
            <w:r w:rsidDel="00000000" w:rsidR="00000000" w:rsidRPr="00000000">
              <w:rPr>
                <w:rtl w:val="0"/>
              </w:rPr>
            </w:r>
          </w:p>
        </w:tc>
        <w:tc>
          <w:tcPr>
            <w:vAlign w:val="center"/>
          </w:tcPr>
          <w:p w:rsidR="00000000" w:rsidDel="00000000" w:rsidP="00000000" w:rsidRDefault="00000000" w:rsidRPr="00000000" w14:paraId="0000004C">
            <w:pPr>
              <w:rPr>
                <w:color w:val="000000"/>
              </w:rPr>
            </w:pPr>
            <w:r w:rsidDel="00000000" w:rsidR="00000000" w:rsidRPr="00000000">
              <w:rPr>
                <w:color w:val="000000"/>
                <w:rtl w:val="0"/>
              </w:rPr>
              <w:t xml:space="preserve">51.9 × 50.9 × 13.2 mm</w:t>
            </w:r>
          </w:p>
        </w:tc>
      </w:tr>
      <w:tr>
        <w:trPr>
          <w:cantSplit w:val="1"/>
          <w:tblHeader w:val="0"/>
        </w:trPr>
        <w:tc>
          <w:tcPr>
            <w:gridSpan w:val="2"/>
            <w:vAlign w:val="center"/>
          </w:tcPr>
          <w:p w:rsidR="00000000" w:rsidDel="00000000" w:rsidP="00000000" w:rsidRDefault="00000000" w:rsidRPr="00000000" w14:paraId="0000004D">
            <w:pPr>
              <w:rPr>
                <w:color w:val="000000"/>
              </w:rPr>
            </w:pPr>
            <w:r w:rsidDel="00000000" w:rsidR="00000000" w:rsidRPr="00000000">
              <w:rPr>
                <w:rtl w:val="0"/>
              </w:rPr>
              <w:t xml:space="preserve">Peso total</w:t>
            </w:r>
            <w:r w:rsidDel="00000000" w:rsidR="00000000" w:rsidRPr="00000000">
              <w:rPr>
                <w:rtl w:val="0"/>
              </w:rPr>
            </w:r>
          </w:p>
        </w:tc>
        <w:tc>
          <w:tcPr>
            <w:vAlign w:val="center"/>
          </w:tcPr>
          <w:p w:rsidR="00000000" w:rsidDel="00000000" w:rsidP="00000000" w:rsidRDefault="00000000" w:rsidRPr="00000000" w14:paraId="0000004F">
            <w:pPr>
              <w:rPr>
                <w:color w:val="000000"/>
              </w:rPr>
            </w:pPr>
            <w:r w:rsidDel="00000000" w:rsidR="00000000" w:rsidRPr="00000000">
              <w:rPr>
                <w:color w:val="000000"/>
                <w:rtl w:val="0"/>
              </w:rPr>
              <w:t xml:space="preserve">115 g aproximadamente</w:t>
            </w:r>
          </w:p>
        </w:tc>
      </w:tr>
    </w:tbl>
    <w:p w:rsidR="00000000" w:rsidDel="00000000" w:rsidP="00000000" w:rsidRDefault="00000000" w:rsidRPr="00000000" w14:paraId="00000050">
      <w:pPr>
        <w:spacing w:line="295.56653022766113" w:lineRule="auto"/>
        <w:ind w:left="80.4400634765625" w:right="207.767333984375" w:firstLine="6.23992919921875"/>
        <w:jc w:val="left"/>
        <w:rPr>
          <w:sz w:val="16"/>
          <w:szCs w:val="16"/>
        </w:rPr>
      </w:pPr>
      <w:r w:rsidDel="00000000" w:rsidR="00000000" w:rsidRPr="00000000">
        <w:rPr>
          <w:rtl w:val="0"/>
        </w:rPr>
      </w:r>
    </w:p>
    <w:p w:rsidR="00000000" w:rsidDel="00000000" w:rsidP="00000000" w:rsidRDefault="00000000" w:rsidRPr="00000000" w14:paraId="00000051">
      <w:pPr>
        <w:spacing w:line="295.56653022766113" w:lineRule="auto"/>
        <w:ind w:left="80.4400634765625" w:right="207.767333984375" w:firstLine="6.23992919921875"/>
        <w:jc w:val="left"/>
        <w:rPr>
          <w:sz w:val="16"/>
          <w:szCs w:val="16"/>
        </w:rPr>
      </w:pPr>
      <w:r w:rsidDel="00000000" w:rsidR="00000000" w:rsidRPr="00000000">
        <w:rPr>
          <w:sz w:val="16"/>
          <w:szCs w:val="16"/>
          <w:rtl w:val="0"/>
        </w:rPr>
        <w:t xml:space="preserve">La marca y los logotipos de Bluetooth® son marcas comerciales registradas propiedad de Bluetooth SIG, Inc. y cualquier uso de dichas marcas por parte de Casio Computer Co., Ltd. se realiza bajo licencia. </w:t>
      </w:r>
    </w:p>
    <w:p w:rsidR="00000000" w:rsidDel="00000000" w:rsidP="00000000" w:rsidRDefault="00000000" w:rsidRPr="00000000" w14:paraId="00000052">
      <w:pPr>
        <w:tabs>
          <w:tab w:val="left" w:pos="9082"/>
          <w:tab w:val="left" w:pos="9321"/>
        </w:tabs>
        <w:ind w:right="-2"/>
        <w:rPr>
          <w:color w:val="000000"/>
          <w:sz w:val="18"/>
          <w:szCs w:val="18"/>
        </w:rPr>
      </w:pPr>
      <w:r w:rsidDel="00000000" w:rsidR="00000000" w:rsidRPr="00000000">
        <w:rPr>
          <w:rtl w:val="0"/>
        </w:rPr>
      </w:r>
    </w:p>
    <w:p w:rsidR="00000000" w:rsidDel="00000000" w:rsidP="00000000" w:rsidRDefault="00000000" w:rsidRPr="00000000" w14:paraId="00000053">
      <w:pPr>
        <w:jc w:val="center"/>
        <w:rPr/>
      </w:pPr>
      <w:r w:rsidDel="00000000" w:rsidR="00000000" w:rsidRPr="00000000">
        <w:rPr>
          <w:rtl w:val="0"/>
        </w:rPr>
      </w:r>
    </w:p>
    <w:p w:rsidR="00000000" w:rsidDel="00000000" w:rsidP="00000000" w:rsidRDefault="00000000" w:rsidRPr="00000000" w14:paraId="00000054">
      <w:pPr>
        <w:keepNext w:val="1"/>
        <w:widowControl w:val="1"/>
        <w:rPr>
          <w:u w:val="single"/>
        </w:rPr>
      </w:pPr>
      <w:r w:rsidDel="00000000" w:rsidR="00000000" w:rsidRPr="00000000">
        <w:rPr>
          <w:u w:val="single"/>
          <w:rtl w:val="0"/>
        </w:rPr>
        <w:t xml:space="preserve">GWG-2040FR</w:t>
      </w:r>
    </w:p>
    <w:tbl>
      <w:tblPr>
        <w:tblStyle w:val="Table3"/>
        <w:tblW w:w="90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6513"/>
        <w:tblGridChange w:id="0">
          <w:tblGrid>
            <w:gridCol w:w="2547"/>
            <w:gridCol w:w="6513"/>
          </w:tblGrid>
        </w:tblGridChange>
      </w:tblGrid>
      <w:tr>
        <w:trPr>
          <w:cantSplit w:val="1"/>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5">
            <w:pPr>
              <w:keepNext w:val="1"/>
              <w:jc w:val="left"/>
              <w:rPr/>
            </w:pPr>
            <w:r w:rsidDel="00000000" w:rsidR="00000000" w:rsidRPr="00000000">
              <w:rPr>
                <w:rtl w:val="0"/>
              </w:rPr>
              <w:t xml:space="preserve">Construcción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6">
            <w:pPr>
              <w:keepNext w:val="1"/>
              <w:rPr/>
            </w:pPr>
            <w:r w:rsidDel="00000000" w:rsidR="00000000" w:rsidRPr="00000000">
              <w:rPr>
                <w:rtl w:val="0"/>
              </w:rPr>
              <w:t xml:space="preserve">Resistente a golpes, residente en el lodo.</w:t>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7">
            <w:pPr>
              <w:keepNext w:val="1"/>
              <w:jc w:val="left"/>
              <w:rPr/>
            </w:pPr>
            <w:r w:rsidDel="00000000" w:rsidR="00000000" w:rsidRPr="00000000">
              <w:rPr>
                <w:rtl w:val="0"/>
              </w:rPr>
              <w:t xml:space="preserve">Resistencia al agua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8">
            <w:pPr>
              <w:keepNext w:val="1"/>
              <w:rPr/>
            </w:pPr>
            <w:r w:rsidDel="00000000" w:rsidR="00000000" w:rsidRPr="00000000">
              <w:rPr>
                <w:rtl w:val="0"/>
              </w:rPr>
              <w:t xml:space="preserve">200 metros</w:t>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9">
            <w:pPr>
              <w:jc w:val="left"/>
              <w:rPr/>
            </w:pPr>
            <w:r w:rsidDel="00000000" w:rsidR="00000000" w:rsidRPr="00000000">
              <w:rPr>
                <w:rtl w:val="0"/>
              </w:rPr>
              <w:t xml:space="preserve">Frecuencias de radio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A">
            <w:pPr>
              <w:rPr/>
            </w:pPr>
            <w:r w:rsidDel="00000000" w:rsidR="00000000" w:rsidRPr="00000000">
              <w:rPr>
                <w:rtl w:val="0"/>
              </w:rPr>
              <w:t xml:space="preserve">77.5 kHz (DCF77: Alemania); 60 kHz (MSF: Reino Unido); 60 kHz (WWVB: EE.UU); </w:t>
            </w:r>
          </w:p>
          <w:p w:rsidR="00000000" w:rsidDel="00000000" w:rsidP="00000000" w:rsidRDefault="00000000" w:rsidRPr="00000000" w14:paraId="0000005B">
            <w:pPr>
              <w:rPr/>
            </w:pPr>
            <w:r w:rsidDel="00000000" w:rsidR="00000000" w:rsidRPr="00000000">
              <w:rPr>
                <w:rtl w:val="0"/>
              </w:rPr>
              <w:t xml:space="preserve">40 kHz (JJY: Fukushima, Japón) / 60 kHz (JJY: Kyushu, Japón); </w:t>
            </w:r>
          </w:p>
          <w:p w:rsidR="00000000" w:rsidDel="00000000" w:rsidP="00000000" w:rsidRDefault="00000000" w:rsidRPr="00000000" w14:paraId="0000005C">
            <w:pPr>
              <w:rPr/>
            </w:pPr>
            <w:r w:rsidDel="00000000" w:rsidR="00000000" w:rsidRPr="00000000">
              <w:rPr>
                <w:rtl w:val="0"/>
              </w:rPr>
              <w:t xml:space="preserve">68.5 kHz (BPC: China)</w:t>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D">
            <w:pPr>
              <w:jc w:val="left"/>
              <w:rPr/>
            </w:pPr>
            <w:r w:rsidDel="00000000" w:rsidR="00000000" w:rsidRPr="00000000">
              <w:rPr>
                <w:rtl w:val="0"/>
              </w:rPr>
              <w:t xml:space="preserve">Recepción de ondas de radio</w:t>
            </w:r>
          </w:p>
        </w:tc>
        <w:tc>
          <w:tcPr>
            <w:vAlign w:val="center"/>
          </w:tcPr>
          <w:p w:rsidR="00000000" w:rsidDel="00000000" w:rsidP="00000000" w:rsidRDefault="00000000" w:rsidRPr="00000000" w14:paraId="0000005E">
            <w:pPr>
              <w:jc w:val="left"/>
              <w:rPr/>
            </w:pPr>
            <w:r w:rsidDel="00000000" w:rsidR="00000000" w:rsidRPr="00000000">
              <w:rPr>
                <w:rtl w:val="0"/>
              </w:rPr>
              <w:t xml:space="preserve">Recepción automática hasta seis veces al día (excepto para uso en China: hasta cinco veces al día); recepción manual.</w:t>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F">
            <w:pPr>
              <w:widowControl w:val="1"/>
              <w:jc w:val="left"/>
              <w:rPr/>
            </w:pPr>
            <w:r w:rsidDel="00000000" w:rsidR="00000000" w:rsidRPr="00000000">
              <w:rPr>
                <w:rtl w:val="0"/>
              </w:rPr>
              <w:t xml:space="preserve">Brújula digital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0">
            <w:pPr>
              <w:widowControl w:val="1"/>
              <w:jc w:val="left"/>
              <w:rPr/>
            </w:pPr>
            <w:r w:rsidDel="00000000" w:rsidR="00000000" w:rsidRPr="00000000">
              <w:rPr>
                <w:rtl w:val="0"/>
              </w:rPr>
              <w:t xml:space="preserve">Mide y muestra la dirección como uno de 16 puntos; rango de medición: 0º a 359º; 60 segundos de medición continua; indicación manuel del norte; calibración bidireccional y corrección de declinación magnética. </w:t>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1">
            <w:pPr>
              <w:widowControl w:val="1"/>
              <w:jc w:val="left"/>
              <w:rPr/>
            </w:pPr>
            <w:r w:rsidDel="00000000" w:rsidR="00000000" w:rsidRPr="00000000">
              <w:rPr>
                <w:rtl w:val="0"/>
              </w:rPr>
              <w:t xml:space="preserve">Barómetro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2">
            <w:pPr>
              <w:widowControl w:val="1"/>
              <w:jc w:val="left"/>
              <w:rPr/>
            </w:pPr>
            <w:r w:rsidDel="00000000" w:rsidR="00000000" w:rsidRPr="00000000">
              <w:rPr>
                <w:rtl w:val="0"/>
              </w:rPr>
              <w:t xml:space="preserve">Rango de medición: 260 hPa a 1100 hPa (7,65 inHg a 32,45 inHg); unidad de medida: 1hPa (0.05inHg); indicador de cambio de presión atmosférica (+10hPa/1hPa): gráfico de tendencia de la presión atmosférica; alarma de información de tendencia de presión barométrica. </w:t>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3">
            <w:pPr>
              <w:widowControl w:val="1"/>
              <w:jc w:val="left"/>
              <w:rPr/>
            </w:pPr>
            <w:r w:rsidDel="00000000" w:rsidR="00000000" w:rsidRPr="00000000">
              <w:rPr>
                <w:rtl w:val="0"/>
              </w:rPr>
              <w:t xml:space="preserve">Altímetro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4">
            <w:pPr>
              <w:rPr>
                <w:sz w:val="16"/>
                <w:szCs w:val="16"/>
              </w:rPr>
            </w:pPr>
            <w:r w:rsidDel="00000000" w:rsidR="00000000" w:rsidRPr="00000000">
              <w:rPr>
                <w:rtl w:val="0"/>
              </w:rPr>
              <w:t xml:space="preserve">Rango de medición: -700 m a 10,000 m (-2,300 pies a 32,800 pies); unidad de medida: 1 m (5 pies); mediciones de memoria manual (hasta 30 registros, cada uno </w:t>
            </w:r>
            <w:r w:rsidDel="00000000" w:rsidR="00000000" w:rsidRPr="00000000">
              <w:rPr>
                <w:rtl w:val="0"/>
              </w:rPr>
              <w:t xml:space="preserve">incluyendo</w:t>
            </w:r>
            <w:r w:rsidDel="00000000" w:rsidR="00000000" w:rsidRPr="00000000">
              <w:rPr>
                <w:rtl w:val="0"/>
              </w:rPr>
              <w:t xml:space="preserve"> altitud, fecha, hora); datos de registro automático (altitudes altas/bajas, ascenso y descenso acumulativo); indicador de cambio de altitud (±100m/5m, ±1000m/50m); otro: lecturas de altitud relativa; configuración del intervalo de medición (cada 5 segundos / cada 2 minutos)</w:t>
            </w:r>
            <w:r w:rsidDel="00000000" w:rsidR="00000000" w:rsidRPr="00000000">
              <w:rPr>
                <w:rtl w:val="0"/>
              </w:rPr>
            </w:r>
          </w:p>
          <w:p w:rsidR="00000000" w:rsidDel="00000000" w:rsidP="00000000" w:rsidRDefault="00000000" w:rsidRPr="00000000" w14:paraId="00000065">
            <w:pPr>
              <w:widowControl w:val="1"/>
              <w:jc w:val="left"/>
              <w:rPr/>
            </w:pP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6">
            <w:pPr>
              <w:widowControl w:val="1"/>
              <w:jc w:val="left"/>
              <w:rPr/>
            </w:pPr>
            <w:r w:rsidDel="00000000" w:rsidR="00000000" w:rsidRPr="00000000">
              <w:rPr>
                <w:rtl w:val="0"/>
              </w:rPr>
              <w:t xml:space="preserve">Termómetro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7">
            <w:pPr>
              <w:widowControl w:val="1"/>
              <w:jc w:val="left"/>
              <w:rPr/>
            </w:pPr>
            <w:r w:rsidDel="00000000" w:rsidR="00000000" w:rsidRPr="00000000">
              <w:rPr>
                <w:rtl w:val="0"/>
              </w:rPr>
              <w:t xml:space="preserve">Rango de medición: -10 ºC a 60 ºC (14 ºF a 140 ºF); unidad de medida: 0,1ºC (0,2 ºF)</w:t>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8">
            <w:pPr>
              <w:widowControl w:val="1"/>
              <w:jc w:val="left"/>
              <w:rPr/>
            </w:pPr>
            <w:r w:rsidDel="00000000" w:rsidR="00000000" w:rsidRPr="00000000">
              <w:rPr>
                <w:rtl w:val="0"/>
              </w:rPr>
              <w:t xml:space="preserve">Hora mundial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9">
            <w:pPr>
              <w:widowControl w:val="1"/>
              <w:jc w:val="left"/>
              <w:rPr/>
            </w:pPr>
            <w:r w:rsidDel="00000000" w:rsidR="00000000" w:rsidRPr="00000000">
              <w:rPr>
                <w:rtl w:val="0"/>
              </w:rPr>
              <w:t xml:space="preserve">29 zonas horarias (29 ciudades + hora universal coordinada), activación/desactivación del horario de verano, cambio de ciudad local/ciudad de hora mundial)</w:t>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A">
            <w:pPr>
              <w:widowControl w:val="1"/>
              <w:jc w:val="left"/>
              <w:rPr/>
            </w:pPr>
            <w:r w:rsidDel="00000000" w:rsidR="00000000" w:rsidRPr="00000000">
              <w:rPr>
                <w:rtl w:val="0"/>
              </w:rPr>
              <w:t xml:space="preserve">Cronógrafo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B">
            <w:pPr>
              <w:widowControl w:val="1"/>
              <w:jc w:val="left"/>
              <w:rPr/>
            </w:pPr>
            <w:r w:rsidDel="00000000" w:rsidR="00000000" w:rsidRPr="00000000">
              <w:rPr>
                <w:rtl w:val="0"/>
              </w:rPr>
              <w:t xml:space="preserve">1/100-segundo; capacidad de medición: 23:59'59.99''; modos de medición: tiempo transcurrido, tiempo fraccionado, tiempos de 1er y 2do lugar</w:t>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C">
            <w:pPr>
              <w:widowControl w:val="1"/>
              <w:jc w:val="left"/>
              <w:rPr/>
            </w:pPr>
            <w:r w:rsidDel="00000000" w:rsidR="00000000" w:rsidRPr="00000000">
              <w:rPr>
                <w:rtl w:val="0"/>
              </w:rPr>
              <w:t xml:space="preserve">Cuenta regresiva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D">
            <w:pPr>
              <w:widowControl w:val="1"/>
              <w:jc w:val="left"/>
              <w:rPr/>
            </w:pPr>
            <w:r w:rsidDel="00000000" w:rsidR="00000000" w:rsidRPr="00000000">
              <w:rPr>
                <w:rtl w:val="0"/>
              </w:rPr>
              <w:t xml:space="preserve">Unidad de medida: 1 segundo; rango de cuenta regresiva: 60 minutos; rango de configuración del tiempo de inicio de la cuenta regresiva: 1 a 60 minutos (incrementos de 1 minuto)</w:t>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E">
            <w:pPr>
              <w:widowControl w:val="1"/>
              <w:jc w:val="left"/>
              <w:rPr/>
            </w:pPr>
            <w:r w:rsidDel="00000000" w:rsidR="00000000" w:rsidRPr="00000000">
              <w:rPr>
                <w:rtl w:val="0"/>
              </w:rPr>
              <w:t xml:space="preserve">Alarma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F">
            <w:pPr>
              <w:widowControl w:val="1"/>
              <w:jc w:val="left"/>
              <w:rPr/>
            </w:pPr>
            <w:r w:rsidDel="00000000" w:rsidR="00000000" w:rsidRPr="00000000">
              <w:rPr>
                <w:rtl w:val="0"/>
              </w:rPr>
              <w:t xml:space="preserve">Cinco alarmas diarias independientes; señal horaria</w:t>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0">
            <w:pPr>
              <w:widowControl w:val="1"/>
              <w:jc w:val="left"/>
              <w:rPr/>
            </w:pPr>
            <w:r w:rsidDel="00000000" w:rsidR="00000000" w:rsidRPr="00000000">
              <w:rPr>
                <w:rtl w:val="0"/>
              </w:rPr>
              <w:t xml:space="preserve">Otras funciones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1">
            <w:pPr>
              <w:widowControl w:val="1"/>
              <w:jc w:val="left"/>
              <w:rPr/>
            </w:pPr>
            <w:r w:rsidDel="00000000" w:rsidR="00000000" w:rsidRPr="00000000">
              <w:rPr>
                <w:rtl w:val="0"/>
              </w:rPr>
              <w:t xml:space="preserve">Corrección automática de la posición inicial de la mano; función de cambio manual (manual o automático [durante la medición de altitud, presión barométrica y temperatura]); indicador de nivel de batería; ahorro de energía; calendario automático completo; formato de 12/24 horas; encendido/apagado del tono de operación de los botones; Luz LED doble totalmente automática (Super Iluminador) con brillo posterior: 1,5 o 3,0 segundos</w:t>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2">
            <w:pPr>
              <w:widowControl w:val="1"/>
              <w:jc w:val="left"/>
              <w:rPr/>
            </w:pPr>
            <w:r w:rsidDel="00000000" w:rsidR="00000000" w:rsidRPr="00000000">
              <w:rPr>
                <w:rtl w:val="0"/>
              </w:rPr>
              <w:t xml:space="preserve">Fuente de alimentación</w:t>
            </w:r>
          </w:p>
        </w:tc>
        <w:tc>
          <w:tcPr/>
          <w:p w:rsidR="00000000" w:rsidDel="00000000" w:rsidP="00000000" w:rsidRDefault="00000000" w:rsidRPr="00000000" w14:paraId="00000073">
            <w:pPr>
              <w:jc w:val="left"/>
              <w:rPr/>
            </w:pPr>
            <w:r w:rsidDel="00000000" w:rsidR="00000000" w:rsidRPr="00000000">
              <w:rPr>
                <w:rtl w:val="0"/>
              </w:rPr>
              <w:t xml:space="preserve">Sistema de energía solar resistente (sistema de carga solar)</w:t>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4">
            <w:pPr>
              <w:widowControl w:val="1"/>
              <w:jc w:val="left"/>
              <w:rPr/>
            </w:pPr>
            <w:r w:rsidDel="00000000" w:rsidR="00000000" w:rsidRPr="00000000">
              <w:rPr>
                <w:rtl w:val="0"/>
              </w:rPr>
              <w:t xml:space="preserve">Operación continua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5">
            <w:pPr>
              <w:widowControl w:val="1"/>
              <w:jc w:val="left"/>
              <w:rPr>
                <w:color w:val="222222"/>
                <w:highlight w:val="white"/>
              </w:rPr>
            </w:pPr>
            <w:r w:rsidDel="00000000" w:rsidR="00000000" w:rsidRPr="00000000">
              <w:rPr>
                <w:color w:val="222222"/>
                <w:highlight w:val="white"/>
                <w:rtl w:val="0"/>
              </w:rPr>
              <w:t xml:space="preserve">Aproximadamente 6 meses después de la carga completa, usando todas las funciones pero sin carga solar</w:t>
            </w:r>
          </w:p>
          <w:p w:rsidR="00000000" w:rsidDel="00000000" w:rsidP="00000000" w:rsidRDefault="00000000" w:rsidRPr="00000000" w14:paraId="00000076">
            <w:pPr>
              <w:widowControl w:val="1"/>
              <w:jc w:val="left"/>
              <w:rPr>
                <w:color w:val="222222"/>
                <w:highlight w:val="white"/>
              </w:rPr>
            </w:pPr>
            <w:r w:rsidDel="00000000" w:rsidR="00000000" w:rsidRPr="00000000">
              <w:rPr>
                <w:color w:val="222222"/>
                <w:highlight w:val="white"/>
                <w:rtl w:val="0"/>
              </w:rPr>
              <w:t xml:space="preserve">Aproximadamente 25 meses con la función de ahorro de energía activada después de la carga completa</w:t>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7">
            <w:pPr>
              <w:widowControl w:val="1"/>
              <w:jc w:val="left"/>
              <w:rPr/>
            </w:pPr>
            <w:r w:rsidDel="00000000" w:rsidR="00000000" w:rsidRPr="00000000">
              <w:rPr>
                <w:rtl w:val="0"/>
              </w:rPr>
              <w:t xml:space="preserve">Tamaño de la caja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8">
            <w:pPr>
              <w:widowControl w:val="1"/>
              <w:jc w:val="left"/>
              <w:rPr/>
            </w:pPr>
            <w:r w:rsidDel="00000000" w:rsidR="00000000" w:rsidRPr="00000000">
              <w:rPr>
                <w:rtl w:val="0"/>
              </w:rPr>
              <w:t xml:space="preserve">61.2 × 54.4 × 16.1 mm</w:t>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9">
            <w:pPr>
              <w:widowControl w:val="1"/>
              <w:jc w:val="left"/>
              <w:rPr/>
            </w:pPr>
            <w:r w:rsidDel="00000000" w:rsidR="00000000" w:rsidRPr="00000000">
              <w:rPr>
                <w:rtl w:val="0"/>
              </w:rPr>
              <w:t xml:space="preserve">Peso total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A">
            <w:pPr>
              <w:widowControl w:val="1"/>
              <w:jc w:val="left"/>
              <w:rPr/>
            </w:pPr>
            <w:r w:rsidDel="00000000" w:rsidR="00000000" w:rsidRPr="00000000">
              <w:rPr>
                <w:rtl w:val="0"/>
              </w:rPr>
              <w:t xml:space="preserve">112 g </w:t>
            </w:r>
            <w:r w:rsidDel="00000000" w:rsidR="00000000" w:rsidRPr="00000000">
              <w:rPr>
                <w:rtl w:val="0"/>
              </w:rPr>
              <w:t xml:space="preserve">aproximadamente</w:t>
            </w:r>
            <w:r w:rsidDel="00000000" w:rsidR="00000000" w:rsidRPr="00000000">
              <w:rPr>
                <w:rtl w:val="0"/>
              </w:rPr>
            </w:r>
          </w:p>
        </w:tc>
      </w:tr>
    </w:tbl>
    <w:p w:rsidR="00000000" w:rsidDel="00000000" w:rsidP="00000000" w:rsidRDefault="00000000" w:rsidRPr="00000000" w14:paraId="0000007B">
      <w:pPr>
        <w:spacing w:line="276" w:lineRule="auto"/>
        <w:ind w:right="-2"/>
        <w:jc w:val="left"/>
        <w:rPr>
          <w:sz w:val="21"/>
          <w:szCs w:val="21"/>
        </w:rPr>
      </w:pPr>
      <w:r w:rsidDel="00000000" w:rsidR="00000000" w:rsidRPr="00000000">
        <w:rPr>
          <w:rtl w:val="0"/>
        </w:rPr>
      </w:r>
    </w:p>
    <w:p w:rsidR="00000000" w:rsidDel="00000000" w:rsidP="00000000" w:rsidRDefault="00000000" w:rsidRPr="00000000" w14:paraId="0000007C">
      <w:pPr>
        <w:spacing w:line="276" w:lineRule="auto"/>
        <w:ind w:right="-2"/>
        <w:jc w:val="left"/>
        <w:rPr>
          <w:sz w:val="21"/>
          <w:szCs w:val="21"/>
          <w:highlight w:val="lightGray"/>
        </w:rPr>
      </w:pPr>
      <w:r w:rsidDel="00000000" w:rsidR="00000000" w:rsidRPr="00000000">
        <w:rPr>
          <w:sz w:val="21"/>
          <w:szCs w:val="21"/>
          <w:rtl w:val="0"/>
        </w:rPr>
        <w:t xml:space="preserve">Todos los productos pueden encontrarse en </w:t>
      </w:r>
      <w:r w:rsidDel="00000000" w:rsidR="00000000" w:rsidRPr="00000000">
        <w:rPr>
          <w:color w:val="222222"/>
          <w:highlight w:val="white"/>
          <w:rtl w:val="0"/>
        </w:rPr>
        <w:t xml:space="preserve"> </w:t>
      </w:r>
      <w:hyperlink r:id="rId16">
        <w:r w:rsidDel="00000000" w:rsidR="00000000" w:rsidRPr="00000000">
          <w:rPr>
            <w:color w:val="1155cc"/>
            <w:highlight w:val="white"/>
            <w:u w:val="single"/>
            <w:rtl w:val="0"/>
          </w:rPr>
          <w:t xml:space="preserve">www.casioshop.mx</w:t>
        </w:r>
      </w:hyperlink>
      <w:r w:rsidDel="00000000" w:rsidR="00000000" w:rsidRPr="00000000">
        <w:rPr>
          <w:color w:val="222222"/>
          <w:highlight w:val="white"/>
          <w:rtl w:val="0"/>
        </w:rPr>
        <w:t xml:space="preserve"> </w:t>
      </w:r>
      <w:r w:rsidDel="00000000" w:rsidR="00000000" w:rsidRPr="00000000">
        <w:rPr>
          <w:rtl w:val="0"/>
        </w:rPr>
      </w:r>
    </w:p>
    <w:p w:rsidR="00000000" w:rsidDel="00000000" w:rsidP="00000000" w:rsidRDefault="00000000" w:rsidRPr="00000000" w14:paraId="0000007D">
      <w:pPr>
        <w:rPr>
          <w:sz w:val="16"/>
          <w:szCs w:val="16"/>
        </w:rPr>
      </w:pPr>
      <w:r w:rsidDel="00000000" w:rsidR="00000000" w:rsidRPr="00000000">
        <w:rPr>
          <w:rtl w:val="0"/>
        </w:rPr>
      </w:r>
    </w:p>
    <w:p w:rsidR="00000000" w:rsidDel="00000000" w:rsidP="00000000" w:rsidRDefault="00000000" w:rsidRPr="00000000" w14:paraId="0000007E">
      <w:pPr>
        <w:widowControl w:val="1"/>
        <w:rPr>
          <w:highlight w:val="lightGray"/>
          <w:u w:val="single"/>
        </w:rPr>
      </w:pPr>
      <w:r w:rsidDel="00000000" w:rsidR="00000000" w:rsidRPr="00000000">
        <w:rPr>
          <w:rtl w:val="0"/>
        </w:rPr>
      </w:r>
    </w:p>
    <w:p w:rsidR="00000000" w:rsidDel="00000000" w:rsidP="00000000" w:rsidRDefault="00000000" w:rsidRPr="00000000" w14:paraId="0000007F">
      <w:pPr>
        <w:rPr>
          <w:sz w:val="20"/>
          <w:szCs w:val="20"/>
        </w:rPr>
      </w:pPr>
      <w:r w:rsidDel="00000000" w:rsidR="00000000" w:rsidRPr="00000000">
        <w:rPr>
          <w:rtl w:val="0"/>
        </w:rPr>
      </w:r>
    </w:p>
    <w:sectPr>
      <w:headerReference r:id="rId17" w:type="first"/>
      <w:footerReference r:id="rId18" w:type="default"/>
      <w:footerReference r:id="rId19" w:type="first"/>
      <w:footerReference r:id="rId20" w:type="even"/>
      <w:pgSz w:h="16838" w:w="11906" w:orient="portrait"/>
      <w:pgMar w:bottom="567" w:top="1021" w:left="1418" w:right="1418" w:header="567" w:footer="56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Arial Unicode MS"/>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incho"/>
  <w:font w:name="Century"/>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Mincho" w:cs="Mincho" w:eastAsia="Mincho" w:hAnsi="Mincho"/>
        <w:b w:val="0"/>
        <w:i w:val="0"/>
        <w:smallCaps w:val="0"/>
        <w:strike w:val="0"/>
        <w:color w:val="000000"/>
        <w:sz w:val="20"/>
        <w:szCs w:val="20"/>
        <w:u w:val="none"/>
        <w:shd w:fill="auto" w:val="clear"/>
        <w:vertAlign w:val="baseline"/>
      </w:rPr>
    </w:pPr>
    <w:r w:rsidDel="00000000" w:rsidR="00000000" w:rsidRPr="00000000">
      <w:rPr>
        <w:rFonts w:ascii="Mincho" w:cs="Mincho" w:eastAsia="Mincho" w:hAnsi="Mincho"/>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Century" w:cs="Century" w:eastAsia="Century" w:hAnsi="Century"/>
        <w:b w:val="0"/>
        <w:i w:val="0"/>
        <w:smallCaps w:val="0"/>
        <w:strike w:val="0"/>
        <w:color w:val="000000"/>
        <w:sz w:val="22"/>
        <w:szCs w:val="22"/>
        <w:u w:val="none"/>
        <w:shd w:fill="auto" w:val="clear"/>
        <w:vertAlign w:val="baseline"/>
      </w:rPr>
    </w:pPr>
    <w:r w:rsidDel="00000000" w:rsidR="00000000" w:rsidRPr="00000000">
      <w:rPr>
        <w:rFonts w:ascii="Century" w:cs="Century" w:eastAsia="Century" w:hAnsi="Century"/>
        <w:rtl w:val="0"/>
      </w:rPr>
      <w:t xml:space="preserve">1</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z w:val="44"/>
        <w:szCs w:val="44"/>
        <w:rtl w:val="0"/>
      </w:rPr>
      <w:t xml:space="preserve">COMUNICADO DE PR</w:t>
    </w:r>
    <w:r w:rsidDel="00000000" w:rsidR="00000000" w:rsidRPr="00000000">
      <w:rPr>
        <w:rFonts w:ascii="Arial Narrow" w:cs="Arial Narrow" w:eastAsia="Arial Narrow" w:hAnsi="Arial Narrow"/>
        <w:b w:val="1"/>
        <w:i w:val="1"/>
        <w:smallCaps w:val="0"/>
        <w:strike w:val="0"/>
        <w:color w:val="000000"/>
        <w:sz w:val="44"/>
        <w:szCs w:val="44"/>
        <w:u w:val="none"/>
        <w:shd w:fill="auto" w:val="clear"/>
        <w:vertAlign w:val="baseline"/>
        <w:rtl w:val="0"/>
      </w:rPr>
      <w:t xml:space="preserve">ENSA</w:t>
    </w:r>
    <w:sdt>
      <w:sdtPr>
        <w:tag w:val="goog_rdk_2"/>
      </w:sdtPr>
      <w:sdtContent>
        <w:r w:rsidDel="00000000" w:rsidR="00000000" w:rsidRPr="00000000">
          <w:rPr>
            <w:rFonts w:ascii="Arial Unicode MS" w:cs="Arial Unicode MS" w:eastAsia="Arial Unicode MS" w:hAnsi="Arial Unicode MS"/>
            <w:b w:val="0"/>
            <w:i w:val="0"/>
            <w:smallCaps w:val="0"/>
            <w:strike w:val="0"/>
            <w:color w:val="000000"/>
            <w:sz w:val="26.666666666666668"/>
            <w:szCs w:val="26.666666666666668"/>
            <w:u w:val="none"/>
            <w:shd w:fill="auto" w:val="clear"/>
            <w:vertAlign w:val="superscript"/>
            <w:rtl w:val="0"/>
          </w:rPr>
          <w:t xml:space="preserve">    　　　　　　　　　　　　　　　　　　　　                    </w:t>
        </w:r>
      </w:sdtContent>
    </w:sdt>
    <w:r w:rsidDel="00000000" w:rsidR="00000000" w:rsidRPr="00000000">
      <w:rPr>
        <w:rFonts w:ascii="Arial Narrow" w:cs="Arial Narrow" w:eastAsia="Arial Narrow" w:hAnsi="Arial Narrow"/>
        <w:b w:val="0"/>
        <w:i w:val="0"/>
        <w:smallCaps w:val="0"/>
        <w:strike w:val="0"/>
        <w:color w:val="000000"/>
        <w:sz w:val="16"/>
        <w:szCs w:val="16"/>
        <w:u w:val="none"/>
        <w:shd w:fill="auto" w:val="clear"/>
        <w:vertAlign w:val="baselin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4121150</wp:posOffset>
          </wp:positionH>
          <wp:positionV relativeFrom="paragraph">
            <wp:posOffset>-41274</wp:posOffset>
          </wp:positionV>
          <wp:extent cx="1638300" cy="327660"/>
          <wp:effectExtent b="0" l="0" r="0" t="0"/>
          <wp:wrapNone/>
          <wp:docPr id="30"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1638300" cy="327660"/>
                  </a:xfrm>
                  <a:prstGeom prst="rect"/>
                  <a:ln/>
                </pic:spPr>
              </pic:pic>
            </a:graphicData>
          </a:graphic>
        </wp:anchor>
      </w:drawing>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mc:AlternateContent>
        <mc:Choice Requires="wps">
          <w:drawing>
            <wp:anchor allowOverlap="1" behindDoc="0" distB="0" distT="0" distL="114300" distR="114300" hidden="0" layoutInCell="1" locked="0" relativeHeight="0" simplePos="0">
              <wp:simplePos x="0" y="0"/>
              <wp:positionH relativeFrom="margin">
                <wp:align>left</wp:align>
              </wp:positionH>
              <wp:positionV relativeFrom="page">
                <wp:posOffset>737870</wp:posOffset>
              </wp:positionV>
              <wp:extent cx="0" cy="19050"/>
              <wp:effectExtent b="0" l="0" r="0" t="0"/>
              <wp:wrapNone/>
              <wp:docPr id="24" name=""/>
              <a:graphic>
                <a:graphicData uri="http://schemas.microsoft.com/office/word/2010/wordprocessingShape">
                  <wps:wsp>
                    <wps:cNvCnPr/>
                    <wps:spPr>
                      <a:xfrm>
                        <a:off x="2465958" y="3780000"/>
                        <a:ext cx="5760085" cy="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margin">
                <wp:align>left</wp:align>
              </wp:positionH>
              <wp:positionV relativeFrom="page">
                <wp:posOffset>737870</wp:posOffset>
              </wp:positionV>
              <wp:extent cx="0" cy="19050"/>
              <wp:effectExtent b="0" l="0" r="0" t="0"/>
              <wp:wrapNone/>
              <wp:docPr id="24" name="image9.png"/>
              <a:graphic>
                <a:graphicData uri="http://schemas.openxmlformats.org/drawingml/2006/picture">
                  <pic:pic>
                    <pic:nvPicPr>
                      <pic:cNvPr id="0" name="image9.png"/>
                      <pic:cNvPicPr preferRelativeResize="0"/>
                    </pic:nvPicPr>
                    <pic:blipFill>
                      <a:blip r:embed="rId2"/>
                      <a:srcRect/>
                      <a:stretch>
                        <a:fillRect/>
                      </a:stretch>
                    </pic:blipFill>
                    <pic:spPr>
                      <a:xfrm>
                        <a:off x="0" y="0"/>
                        <a:ext cx="0" cy="1905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Times New Roman" w:cs="Times New Roman" w:eastAsia="Times New Roman" w:hAnsi="Times New Roman"/>
      <w:b w:val="1"/>
      <w:i w:val="1"/>
      <w:sz w:val="32"/>
      <w:szCs w:val="32"/>
    </w:rPr>
  </w:style>
  <w:style w:type="paragraph" w:styleId="Heading2">
    <w:name w:val="heading 2"/>
    <w:basedOn w:val="Normal"/>
    <w:next w:val="Normal"/>
    <w:pPr>
      <w:keepNext w:val="1"/>
    </w:pPr>
    <w:rPr>
      <w:rFonts w:ascii="Times New Roman" w:cs="Times New Roman" w:eastAsia="Times New Roman" w:hAnsi="Times New Roman"/>
      <w:b w:val="1"/>
      <w:i w:val="1"/>
      <w:sz w:val="36"/>
      <w:szCs w:val="36"/>
    </w:rPr>
  </w:style>
  <w:style w:type="paragraph" w:styleId="Heading3">
    <w:name w:val="heading 3"/>
    <w:basedOn w:val="Normal"/>
    <w:next w:val="Normal"/>
    <w:pPr>
      <w:keepNext w:val="1"/>
      <w:spacing w:line="200" w:lineRule="auto"/>
      <w:ind w:left="-98" w:right="-98"/>
      <w:jc w:val="center"/>
    </w:pPr>
    <w:rPr>
      <w:b w:val="1"/>
      <w:color w:val="ffffff"/>
      <w:sz w:val="18"/>
      <w:szCs w:val="18"/>
    </w:rPr>
  </w:style>
  <w:style w:type="paragraph" w:styleId="Heading4">
    <w:name w:val="heading 4"/>
    <w:basedOn w:val="Normal"/>
    <w:next w:val="Normal"/>
    <w:pPr>
      <w:keepNext w:val="1"/>
      <w:spacing w:line="160" w:lineRule="auto"/>
      <w:ind w:left="-98" w:right="-98"/>
      <w:jc w:val="center"/>
    </w:pPr>
    <w:rPr>
      <w:b w:val="1"/>
      <w:color w:val="ffffff"/>
      <w:sz w:val="16"/>
      <w:szCs w:val="16"/>
    </w:rPr>
  </w:style>
  <w:style w:type="paragraph" w:styleId="Heading5">
    <w:name w:val="heading 5"/>
    <w:basedOn w:val="Normal"/>
    <w:next w:val="Normal"/>
    <w:pPr>
      <w:keepNext w:val="1"/>
      <w:spacing w:line="154.00000000000003" w:lineRule="auto"/>
      <w:ind w:left="-98" w:right="-98"/>
      <w:jc w:val="center"/>
    </w:pPr>
    <w:rPr>
      <w:b w:val="1"/>
      <w:color w:val="ffffff"/>
      <w:sz w:val="15"/>
      <w:szCs w:val="15"/>
    </w:rPr>
  </w:style>
  <w:style w:type="paragraph" w:styleId="Heading6">
    <w:name w:val="heading 6"/>
    <w:basedOn w:val="Normal"/>
    <w:next w:val="Normal"/>
    <w:pPr>
      <w:keepNext w:val="1"/>
      <w:spacing w:line="220" w:lineRule="auto"/>
      <w:jc w:val="center"/>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pPr>
      <w:widowControl w:val="0"/>
      <w:autoSpaceDE w:val="0"/>
      <w:autoSpaceDN w:val="0"/>
      <w:adjustRightInd w:val="0"/>
      <w:jc w:val="both"/>
      <w:textAlignment w:val="baseline"/>
    </w:pPr>
  </w:style>
  <w:style w:type="paragraph" w:styleId="1">
    <w:name w:val="heading 1"/>
    <w:basedOn w:val="a"/>
    <w:next w:val="a"/>
    <w:qFormat w:val="1"/>
    <w:pPr>
      <w:keepNext w:val="1"/>
      <w:outlineLvl w:val="0"/>
    </w:pPr>
    <w:rPr>
      <w:rFonts w:ascii="Times New Roman"/>
      <w:b w:val="1"/>
      <w:bCs w:val="1"/>
      <w:i w:val="1"/>
      <w:iCs w:val="1"/>
      <w:sz w:val="32"/>
    </w:rPr>
  </w:style>
  <w:style w:type="paragraph" w:styleId="2">
    <w:name w:val="heading 2"/>
    <w:basedOn w:val="a"/>
    <w:next w:val="a"/>
    <w:qFormat w:val="1"/>
    <w:pPr>
      <w:keepNext w:val="1"/>
      <w:outlineLvl w:val="1"/>
    </w:pPr>
    <w:rPr>
      <w:rFonts w:ascii="Times New Roman"/>
      <w:b w:val="1"/>
      <w:bCs w:val="1"/>
      <w:i w:val="1"/>
      <w:iCs w:val="1"/>
      <w:sz w:val="36"/>
    </w:rPr>
  </w:style>
  <w:style w:type="paragraph" w:styleId="3">
    <w:name w:val="heading 3"/>
    <w:basedOn w:val="a"/>
    <w:next w:val="a"/>
    <w:qFormat w:val="1"/>
    <w:pPr>
      <w:keepNext w:val="1"/>
      <w:spacing w:line="200" w:lineRule="exact"/>
      <w:ind w:left="-98" w:right="-98" w:leftChars="-43" w:rightChars="-43"/>
      <w:jc w:val="center"/>
      <w:outlineLvl w:val="2"/>
    </w:pPr>
    <w:rPr>
      <w:b w:val="1"/>
      <w:bCs w:val="1"/>
      <w:color w:val="ffffff"/>
      <w:spacing w:val="110"/>
      <w:sz w:val="18"/>
    </w:rPr>
  </w:style>
  <w:style w:type="paragraph" w:styleId="4">
    <w:name w:val="heading 4"/>
    <w:basedOn w:val="a"/>
    <w:next w:val="a"/>
    <w:qFormat w:val="1"/>
    <w:pPr>
      <w:keepNext w:val="1"/>
      <w:spacing w:line="160" w:lineRule="exact"/>
      <w:ind w:left="-98" w:right="-98" w:leftChars="-43" w:rightChars="-43"/>
      <w:jc w:val="center"/>
      <w:outlineLvl w:val="3"/>
    </w:pPr>
    <w:rPr>
      <w:rFonts w:eastAsia="ＭＳ ゴシック"/>
      <w:b w:val="1"/>
      <w:bCs w:val="1"/>
      <w:color w:val="ffffff"/>
      <w:spacing w:val="-5"/>
      <w:sz w:val="16"/>
    </w:rPr>
  </w:style>
  <w:style w:type="paragraph" w:styleId="5">
    <w:name w:val="heading 5"/>
    <w:basedOn w:val="a"/>
    <w:next w:val="a"/>
    <w:qFormat w:val="1"/>
    <w:pPr>
      <w:keepNext w:val="1"/>
      <w:spacing w:line="154" w:lineRule="exact"/>
      <w:ind w:left="-98" w:right="-98" w:leftChars="-43" w:rightChars="-43"/>
      <w:jc w:val="center"/>
      <w:outlineLvl w:val="4"/>
    </w:pPr>
    <w:rPr>
      <w:rFonts w:eastAsia="ＭＳ ゴシック"/>
      <w:b w:val="1"/>
      <w:bCs w:val="1"/>
      <w:color w:val="ffffff"/>
      <w:spacing w:val="-5"/>
      <w:sz w:val="15"/>
    </w:rPr>
  </w:style>
  <w:style w:type="paragraph" w:styleId="6">
    <w:name w:val="heading 6"/>
    <w:basedOn w:val="a"/>
    <w:next w:val="a"/>
    <w:qFormat w:val="1"/>
    <w:pPr>
      <w:keepNext w:val="1"/>
      <w:spacing w:line="220" w:lineRule="exact"/>
      <w:jc w:val="center"/>
      <w:outlineLvl w:val="5"/>
    </w:pPr>
    <w:rPr>
      <w:b w:val="1"/>
      <w:bCs w:val="1"/>
      <w:sz w:val="20"/>
    </w:rPr>
  </w:style>
  <w:style w:type="paragraph" w:styleId="7">
    <w:name w:val="heading 7"/>
    <w:basedOn w:val="a"/>
    <w:next w:val="a"/>
    <w:qFormat w:val="1"/>
    <w:pPr>
      <w:keepNext w:val="1"/>
      <w:textAlignment w:val="auto"/>
      <w:outlineLvl w:val="6"/>
    </w:pPr>
    <w:rPr>
      <w:b w:val="1"/>
      <w:bCs w:val="1"/>
      <w:sz w:val="20"/>
    </w:rPr>
  </w:style>
  <w:style w:type="paragraph" w:styleId="8">
    <w:name w:val="heading 8"/>
    <w:basedOn w:val="a"/>
    <w:next w:val="a"/>
    <w:qFormat w:val="1"/>
    <w:pPr>
      <w:keepNext w:val="1"/>
      <w:ind w:right="-8" w:rightChars="-4"/>
      <w:jc w:val="center"/>
      <w:textAlignment w:val="auto"/>
      <w:outlineLvl w:val="7"/>
    </w:pPr>
    <w:rPr>
      <w:b w:val="1"/>
      <w:bCs w:val="1"/>
      <w:sz w:val="24"/>
    </w:rPr>
  </w:style>
  <w:style w:type="paragraph" w:styleId="9">
    <w:name w:val="heading 9"/>
    <w:basedOn w:val="a"/>
    <w:next w:val="a"/>
    <w:qFormat w:val="1"/>
    <w:pPr>
      <w:keepNext w:val="1"/>
      <w:ind w:right="-8" w:rightChars="-4"/>
      <w:jc w:val="center"/>
      <w:textAlignment w:val="auto"/>
      <w:outlineLvl w:val="8"/>
    </w:pPr>
    <w:rPr>
      <w:rFonts w:hAnsi="ＭＳ Ｐゴシック"/>
      <w:b w:val="1"/>
      <w:bCs w:val="1"/>
      <w:spacing w:val="-8"/>
      <w:sz w:val="16"/>
      <w:szCs w:val="16"/>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footer"/>
    <w:basedOn w:val="a"/>
    <w:pPr>
      <w:tabs>
        <w:tab w:val="center" w:pos="4252"/>
        <w:tab w:val="right" w:pos="8504"/>
      </w:tabs>
    </w:pPr>
  </w:style>
  <w:style w:type="paragraph" w:styleId="a4">
    <w:name w:val="header"/>
    <w:basedOn w:val="a"/>
    <w:pPr>
      <w:tabs>
        <w:tab w:val="center" w:pos="4252"/>
        <w:tab w:val="right" w:pos="8504"/>
      </w:tabs>
    </w:pPr>
  </w:style>
  <w:style w:type="character" w:styleId="a5">
    <w:name w:val="page number"/>
    <w:rPr>
      <w:rFonts w:ascii="Mincho" w:eastAsia="Mincho" w:hAnsi="Mincho"/>
      <w:sz w:val="20"/>
    </w:rPr>
  </w:style>
  <w:style w:type="paragraph" w:styleId="BodyText22" w:customStyle="1">
    <w:name w:val="Body Text 22"/>
    <w:basedOn w:val="a"/>
    <w:pPr>
      <w:ind w:left="420"/>
    </w:pPr>
    <w:rPr>
      <w:rFonts w:ascii="Century" w:eastAsia="Mincho" w:hAnsi="Century"/>
      <w:kern w:val="2"/>
    </w:rPr>
  </w:style>
  <w:style w:type="paragraph" w:styleId="a6">
    <w:name w:val="Body Text"/>
    <w:basedOn w:val="a"/>
    <w:rPr>
      <w:rFonts w:ascii="Century" w:eastAsia="Mincho" w:hAnsi="Century"/>
      <w:kern w:val="2"/>
    </w:rPr>
  </w:style>
  <w:style w:type="paragraph" w:styleId="BodyText21" w:customStyle="1">
    <w:name w:val="Body Text 21"/>
    <w:basedOn w:val="a"/>
    <w:pPr>
      <w:ind w:left="221"/>
    </w:pPr>
  </w:style>
  <w:style w:type="paragraph" w:styleId="a7" w:customStyle="1">
    <w:name w:val="ｽﾀﾝﾌﾟ"/>
    <w:basedOn w:val="a"/>
    <w:pPr>
      <w:spacing w:line="240" w:lineRule="atLeast"/>
    </w:pPr>
  </w:style>
  <w:style w:type="character" w:styleId="a8">
    <w:name w:val="annotation reference"/>
    <w:uiPriority w:val="99"/>
    <w:semiHidden w:val="1"/>
    <w:rPr>
      <w:rFonts w:ascii="Mincho" w:eastAsia="Mincho" w:hAnsi="Mincho"/>
      <w:sz w:val="18"/>
    </w:rPr>
  </w:style>
  <w:style w:type="paragraph" w:styleId="a9">
    <w:name w:val="annotation text"/>
    <w:basedOn w:val="a"/>
    <w:link w:val="aa"/>
    <w:uiPriority w:val="99"/>
    <w:semiHidden w:val="1"/>
    <w:pPr>
      <w:jc w:val="left"/>
    </w:pPr>
  </w:style>
  <w:style w:type="paragraph" w:styleId="DocumentMap1" w:customStyle="1">
    <w:name w:val="Document Map1"/>
    <w:basedOn w:val="a"/>
    <w:pPr>
      <w:shd w:color="auto" w:fill="000080" w:val="clear"/>
    </w:pPr>
    <w:rPr>
      <w:rFonts w:eastAsia="ＭＳ ゴシック"/>
    </w:rPr>
  </w:style>
  <w:style w:type="character" w:styleId="ab">
    <w:name w:val="Hyperlink"/>
    <w:rPr>
      <w:color w:val="0000ff"/>
      <w:u w:val="single"/>
    </w:rPr>
  </w:style>
  <w:style w:type="character" w:styleId="ac">
    <w:name w:val="FollowedHyperlink"/>
    <w:rPr>
      <w:color w:val="800080"/>
      <w:u w:val="single"/>
    </w:rPr>
  </w:style>
  <w:style w:type="paragraph" w:styleId="ad">
    <w:name w:val="Body Text Indent"/>
    <w:basedOn w:val="a"/>
    <w:pPr>
      <w:numPr>
        <w:ilvl w:val="12"/>
      </w:numPr>
      <w:spacing w:line="260" w:lineRule="exact"/>
      <w:ind w:left="809" w:leftChars="270" w:hanging="197" w:hangingChars="100"/>
    </w:pPr>
    <w:rPr>
      <w:rFonts w:hAnsi="Symbol"/>
      <w:sz w:val="18"/>
    </w:rPr>
  </w:style>
  <w:style w:type="paragraph" w:styleId="20">
    <w:name w:val="Body Text 2"/>
    <w:basedOn w:val="a"/>
    <w:rPr>
      <w:sz w:val="20"/>
    </w:rPr>
  </w:style>
  <w:style w:type="paragraph" w:styleId="ae">
    <w:name w:val="Salutation"/>
    <w:basedOn w:val="a"/>
    <w:next w:val="a"/>
    <w:pPr>
      <w:autoSpaceDE w:val="1"/>
      <w:autoSpaceDN w:val="1"/>
    </w:pPr>
    <w:rPr>
      <w:rFonts w:hAnsi="Century"/>
    </w:rPr>
  </w:style>
  <w:style w:type="paragraph" w:styleId="Web">
    <w:name w:val="Normal (Web)"/>
    <w:basedOn w:val="a"/>
    <w:pPr>
      <w:widowControl w:val="1"/>
      <w:autoSpaceDE w:val="1"/>
      <w:autoSpaceDN w:val="1"/>
      <w:adjustRightInd w:val="1"/>
      <w:spacing w:after="100" w:afterAutospacing="1" w:before="100" w:beforeAutospacing="1"/>
      <w:jc w:val="left"/>
      <w:textAlignment w:val="auto"/>
    </w:pPr>
    <w:rPr>
      <w:rFonts w:hAnsi="ＭＳ 明朝"/>
      <w:color w:val="000000"/>
      <w:sz w:val="24"/>
      <w:szCs w:val="24"/>
    </w:rPr>
  </w:style>
  <w:style w:type="paragraph" w:styleId="30">
    <w:name w:val="Body Text 3"/>
    <w:basedOn w:val="a"/>
    <w:rPr>
      <w:sz w:val="16"/>
    </w:rPr>
  </w:style>
  <w:style w:type="paragraph" w:styleId="21">
    <w:name w:val="Body Text Indent 2"/>
    <w:basedOn w:val="a"/>
    <w:pPr>
      <w:autoSpaceDE w:val="1"/>
      <w:autoSpaceDN w:val="1"/>
      <w:adjustRightInd w:val="1"/>
      <w:ind w:left="2160" w:leftChars="1028" w:hanging="1"/>
      <w:textAlignment w:val="auto"/>
    </w:pPr>
    <w:rPr>
      <w:rFonts w:ascii="Century" w:hAnsi="Century"/>
      <w:szCs w:val="24"/>
    </w:rPr>
  </w:style>
  <w:style w:type="paragraph" w:styleId="31">
    <w:name w:val="Body Text Indent 3"/>
    <w:basedOn w:val="a"/>
    <w:pPr>
      <w:ind w:left="227" w:leftChars="100"/>
    </w:pPr>
    <w:rPr>
      <w:rFonts w:ascii="Century" w:hAnsi="Century"/>
    </w:rPr>
  </w:style>
  <w:style w:type="character" w:styleId="serif1" w:customStyle="1">
    <w:name w:val="serif1"/>
    <w:rPr>
      <w:rFonts w:ascii="Times" w:hAnsi="Times" w:hint="default"/>
      <w:sz w:val="24"/>
      <w:szCs w:val="24"/>
    </w:rPr>
  </w:style>
  <w:style w:type="paragraph" w:styleId="z-">
    <w:name w:val="HTML Top of Form"/>
    <w:basedOn w:val="a"/>
    <w:next w:val="a"/>
    <w:hidden w:val="1"/>
    <w:pPr>
      <w:widowControl w:val="1"/>
      <w:pBdr>
        <w:bottom w:color="auto" w:space="1" w:sz="6" w:val="single"/>
      </w:pBdr>
      <w:autoSpaceDE w:val="1"/>
      <w:autoSpaceDN w:val="1"/>
      <w:adjustRightInd w:val="1"/>
      <w:jc w:val="center"/>
      <w:textAlignment w:val="auto"/>
    </w:pPr>
    <w:rPr>
      <w:vanish w:val="1"/>
      <w:color w:val="000000"/>
      <w:sz w:val="16"/>
      <w:szCs w:val="16"/>
    </w:rPr>
  </w:style>
  <w:style w:type="paragraph" w:styleId="z-0">
    <w:name w:val="HTML Bottom of Form"/>
    <w:basedOn w:val="a"/>
    <w:next w:val="a"/>
    <w:hidden w:val="1"/>
    <w:pPr>
      <w:widowControl w:val="1"/>
      <w:pBdr>
        <w:top w:color="auto" w:space="1" w:sz="6" w:val="single"/>
      </w:pBdr>
      <w:autoSpaceDE w:val="1"/>
      <w:autoSpaceDN w:val="1"/>
      <w:adjustRightInd w:val="1"/>
      <w:jc w:val="center"/>
      <w:textAlignment w:val="auto"/>
    </w:pPr>
    <w:rPr>
      <w:vanish w:val="1"/>
      <w:color w:val="000000"/>
      <w:sz w:val="16"/>
      <w:szCs w:val="16"/>
    </w:rPr>
  </w:style>
  <w:style w:type="character" w:styleId="small1" w:customStyle="1">
    <w:name w:val="small1"/>
    <w:rPr>
      <w:rFonts w:ascii="Arial" w:cs="Arial" w:hAnsi="Arial" w:hint="default"/>
      <w:sz w:val="20"/>
      <w:szCs w:val="20"/>
    </w:rPr>
  </w:style>
  <w:style w:type="paragraph" w:styleId="10" w:customStyle="1">
    <w:name w:val="吹き出し1"/>
    <w:basedOn w:val="a"/>
    <w:semiHidden w:val="1"/>
    <w:rPr>
      <w:rFonts w:eastAsia="ＭＳ ゴシック"/>
      <w:sz w:val="18"/>
      <w:szCs w:val="18"/>
    </w:rPr>
  </w:style>
  <w:style w:type="character" w:styleId="af">
    <w:name w:val="Strong"/>
    <w:qFormat w:val="1"/>
    <w:rPr>
      <w:b w:val="1"/>
      <w:bCs w:val="1"/>
    </w:rPr>
  </w:style>
  <w:style w:type="paragraph" w:styleId="BalloonText2" w:customStyle="1">
    <w:name w:val="Balloon Text2"/>
    <w:basedOn w:val="a"/>
    <w:semiHidden w:val="1"/>
    <w:rPr>
      <w:rFonts w:ascii="Tahoma" w:cs="Tahoma" w:hAnsi="Tahoma"/>
      <w:sz w:val="16"/>
      <w:szCs w:val="16"/>
    </w:rPr>
  </w:style>
  <w:style w:type="character" w:styleId="d1" w:customStyle="1">
    <w:name w:val="d1"/>
    <w:rPr>
      <w:sz w:val="18"/>
      <w:szCs w:val="18"/>
    </w:rPr>
  </w:style>
  <w:style w:type="paragraph" w:styleId="af0">
    <w:name w:val="Date"/>
    <w:basedOn w:val="a"/>
    <w:next w:val="a"/>
    <w:pPr>
      <w:autoSpaceDE w:val="1"/>
      <w:autoSpaceDN w:val="1"/>
      <w:adjustRightInd w:val="1"/>
      <w:textAlignment w:val="auto"/>
    </w:pPr>
    <w:rPr>
      <w:rFonts w:ascii="Century" w:hAnsi="Century"/>
      <w:kern w:val="2"/>
      <w:szCs w:val="24"/>
    </w:rPr>
  </w:style>
  <w:style w:type="paragraph" w:styleId="af1">
    <w:name w:val="Closing"/>
    <w:basedOn w:val="a"/>
    <w:pPr>
      <w:autoSpaceDE w:val="1"/>
      <w:autoSpaceDN w:val="1"/>
      <w:adjustRightInd w:val="1"/>
      <w:jc w:val="right"/>
      <w:textAlignment w:val="auto"/>
    </w:pPr>
    <w:rPr>
      <w:rFonts w:ascii="ＭＳ Ｐ明朝" w:eastAsia="ＭＳ Ｐ明朝" w:hAnsi="ＭＳ Ｐ明朝"/>
      <w:kern w:val="2"/>
      <w:szCs w:val="24"/>
    </w:rPr>
  </w:style>
  <w:style w:type="character" w:styleId="b011" w:customStyle="1">
    <w:name w:val="b011"/>
    <w:rPr>
      <w:sz w:val="18"/>
      <w:szCs w:val="18"/>
    </w:rPr>
  </w:style>
  <w:style w:type="character" w:styleId="af2">
    <w:name w:val="Emphasis"/>
    <w:qFormat w:val="1"/>
    <w:rPr>
      <w:b w:val="1"/>
      <w:bCs w:val="1"/>
      <w:i w:val="0"/>
      <w:iCs w:val="0"/>
    </w:rPr>
  </w:style>
  <w:style w:type="paragraph" w:styleId="af3">
    <w:name w:val="Document Map"/>
    <w:basedOn w:val="a"/>
    <w:semiHidden w:val="1"/>
    <w:pPr>
      <w:shd w:color="auto" w:fill="000080" w:val="clear"/>
    </w:pPr>
    <w:rPr>
      <w:rFonts w:eastAsia="ＭＳ ゴシック"/>
    </w:rPr>
  </w:style>
  <w:style w:type="character" w:styleId="title1" w:customStyle="1">
    <w:name w:val="title1"/>
    <w:rPr>
      <w:rFonts w:ascii="fixed" w:hAnsi="fixed" w:hint="default"/>
      <w:b w:val="1"/>
      <w:bCs w:val="1"/>
      <w:i w:val="0"/>
      <w:iCs w:val="0"/>
      <w:color w:val="ffffff"/>
      <w:sz w:val="36"/>
      <w:szCs w:val="36"/>
    </w:rPr>
  </w:style>
  <w:style w:type="paragraph" w:styleId="11" w:customStyle="1">
    <w:name w:val="コメント内容1"/>
    <w:basedOn w:val="a9"/>
    <w:next w:val="a9"/>
    <w:semiHidden w:val="1"/>
    <w:rPr>
      <w:b w:val="1"/>
      <w:bCs w:val="1"/>
    </w:rPr>
  </w:style>
  <w:style w:type="character" w:styleId="txt-df1" w:customStyle="1">
    <w:name w:val="txt-df1"/>
    <w:rPr>
      <w:sz w:val="18"/>
      <w:szCs w:val="18"/>
    </w:rPr>
  </w:style>
  <w:style w:type="paragraph" w:styleId="22">
    <w:name w:val="List 2"/>
    <w:basedOn w:val="a"/>
    <w:pPr>
      <w:ind w:left="100" w:leftChars="200" w:hanging="200" w:hangingChars="200"/>
    </w:pPr>
  </w:style>
  <w:style w:type="paragraph" w:styleId="CommentSubject2" w:customStyle="1">
    <w:name w:val="Comment Subject2"/>
    <w:basedOn w:val="a9"/>
    <w:next w:val="a9"/>
    <w:semiHidden w:val="1"/>
    <w:pPr>
      <w:jc w:val="both"/>
    </w:pPr>
    <w:rPr>
      <w:b w:val="1"/>
      <w:bCs w:val="1"/>
      <w:sz w:val="20"/>
    </w:rPr>
  </w:style>
  <w:style w:type="paragraph" w:styleId="Revision1" w:customStyle="1">
    <w:name w:val="Revision1"/>
    <w:hidden w:val="1"/>
    <w:semiHidden w:val="1"/>
    <w:rPr>
      <w:rFonts w:ascii="ＭＳ 明朝" w:hAnsi="Times New Roman"/>
      <w:spacing w:val="5"/>
      <w:sz w:val="21"/>
    </w:rPr>
  </w:style>
  <w:style w:type="paragraph" w:styleId="BalloonText1" w:customStyle="1">
    <w:name w:val="Balloon Text1"/>
    <w:basedOn w:val="a"/>
    <w:semiHidden w:val="1"/>
    <w:rPr>
      <w:rFonts w:ascii="Tahoma" w:cs="Tahoma" w:hAnsi="Tahoma"/>
      <w:sz w:val="16"/>
      <w:szCs w:val="16"/>
    </w:rPr>
  </w:style>
  <w:style w:type="paragraph" w:styleId="CommentSubject1" w:customStyle="1">
    <w:name w:val="Comment Subject1"/>
    <w:basedOn w:val="a9"/>
    <w:next w:val="a9"/>
    <w:semiHidden w:val="1"/>
    <w:pPr>
      <w:jc w:val="both"/>
    </w:pPr>
    <w:rPr>
      <w:b w:val="1"/>
      <w:bCs w:val="1"/>
      <w:sz w:val="20"/>
    </w:rPr>
  </w:style>
  <w:style w:type="character" w:styleId="apple-style-span" w:customStyle="1">
    <w:name w:val="apple-style-span"/>
  </w:style>
  <w:style w:type="paragraph" w:styleId="af4">
    <w:name w:val="Balloon Text"/>
    <w:basedOn w:val="a"/>
    <w:semiHidden w:val="1"/>
    <w:rPr>
      <w:rFonts w:eastAsia="ＭＳ ゴシック"/>
      <w:sz w:val="18"/>
      <w:szCs w:val="18"/>
    </w:rPr>
  </w:style>
  <w:style w:type="paragraph" w:styleId="af5">
    <w:name w:val="annotation subject"/>
    <w:basedOn w:val="a9"/>
    <w:next w:val="a9"/>
    <w:semiHidden w:val="1"/>
    <w:rPr>
      <w:b w:val="1"/>
      <w:bCs w:val="1"/>
    </w:rPr>
  </w:style>
  <w:style w:type="character" w:styleId="st1" w:customStyle="1">
    <w:name w:val="st1"/>
    <w:basedOn w:val="a0"/>
  </w:style>
  <w:style w:type="character" w:styleId="asciithin" w:customStyle="1">
    <w:name w:val="ascii thin"/>
    <w:basedOn w:val="a0"/>
  </w:style>
  <w:style w:type="paragraph" w:styleId="af6">
    <w:name w:val="Revision"/>
    <w:hidden w:val="1"/>
    <w:uiPriority w:val="99"/>
    <w:semiHidden w:val="1"/>
    <w:rPr>
      <w:rFonts w:ascii="ＭＳ 明朝" w:hAnsi="Times New Roman"/>
      <w:spacing w:val="5"/>
      <w:sz w:val="21"/>
    </w:rPr>
  </w:style>
  <w:style w:type="character" w:styleId="shorttext" w:customStyle="1">
    <w:name w:val="short_text"/>
    <w:basedOn w:val="a0"/>
  </w:style>
  <w:style w:type="character" w:styleId="hps" w:customStyle="1">
    <w:name w:val="hps"/>
    <w:basedOn w:val="a0"/>
  </w:style>
  <w:style w:type="table" w:styleId="af7">
    <w:name w:val="Table Grid"/>
    <w:basedOn w:val="a1"/>
    <w:pPr>
      <w:widowControl w:val="0"/>
      <w:autoSpaceDE w:val="0"/>
      <w:autoSpaceDN w:val="0"/>
      <w:adjustRightInd w:val="0"/>
      <w:jc w:val="both"/>
      <w:textAlignment w:val="baseline"/>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TML">
    <w:name w:val="HTML Preformatted"/>
    <w:basedOn w:val="a"/>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1"/>
      <w:autoSpaceDN w:val="1"/>
      <w:adjustRightInd w:val="1"/>
      <w:jc w:val="left"/>
      <w:textAlignment w:val="auto"/>
    </w:pPr>
    <w:rPr>
      <w:rFonts w:ascii="ＭＳ ゴシック" w:cs="ＭＳ ゴシック" w:eastAsia="ＭＳ ゴシック" w:hAnsi="ＭＳ ゴシック"/>
      <w:sz w:val="24"/>
      <w:szCs w:val="24"/>
    </w:rPr>
  </w:style>
  <w:style w:type="character" w:styleId="apple-converted-space" w:customStyle="1">
    <w:name w:val="apple-converted-space"/>
    <w:basedOn w:val="a0"/>
  </w:style>
  <w:style w:type="paragraph" w:styleId="af8">
    <w:name w:val="Note Heading"/>
    <w:basedOn w:val="a"/>
    <w:next w:val="a"/>
    <w:pPr>
      <w:jc w:val="center"/>
    </w:pPr>
    <w:rPr>
      <w:rFonts w:cs="ＭＳ Ｐゴシック"/>
      <w:szCs w:val="21"/>
      <w:lang w:val="ja-JP"/>
    </w:rPr>
  </w:style>
  <w:style w:type="character" w:styleId="noteb" w:customStyle="1">
    <w:name w:val="noteb"/>
  </w:style>
  <w:style w:type="paragraph" w:styleId="af9">
    <w:name w:val="caption"/>
    <w:basedOn w:val="a"/>
    <w:next w:val="a"/>
    <w:semiHidden w:val="1"/>
    <w:unhideWhenUsed w:val="1"/>
    <w:qFormat w:val="1"/>
    <w:rPr>
      <w:b w:val="1"/>
      <w:bCs w:val="1"/>
      <w:szCs w:val="21"/>
    </w:rPr>
  </w:style>
  <w:style w:type="character" w:styleId="UnresolvedMention1" w:customStyle="1">
    <w:name w:val="Unresolved Mention1"/>
    <w:basedOn w:val="a0"/>
    <w:uiPriority w:val="99"/>
    <w:semiHidden w:val="1"/>
    <w:unhideWhenUsed w:val="1"/>
    <w:rPr>
      <w:color w:val="605e5c"/>
      <w:shd w:color="auto" w:fill="e1dfdd" w:val="clear"/>
    </w:rPr>
  </w:style>
  <w:style w:type="character" w:styleId="aa" w:customStyle="1">
    <w:name w:val="コメント文字列 (文字)"/>
    <w:basedOn w:val="a0"/>
    <w:link w:val="a9"/>
    <w:uiPriority w:val="99"/>
    <w:semiHidden w:val="1"/>
    <w:rPr>
      <w:rFonts w:ascii="ＭＳ 明朝" w:hAnsi="Times New Roman"/>
      <w:spacing w:val="5"/>
      <w:sz w:val="2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4.jpg"/><Relationship Id="rId10" Type="http://schemas.openxmlformats.org/officeDocument/2006/relationships/image" Target="media/image6.jpg"/><Relationship Id="rId13" Type="http://schemas.openxmlformats.org/officeDocument/2006/relationships/image" Target="media/image2.jpg"/><Relationship Id="rId12"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7.jpg"/><Relationship Id="rId14" Type="http://schemas.openxmlformats.org/officeDocument/2006/relationships/image" Target="media/image5.jpg"/><Relationship Id="rId17" Type="http://schemas.openxmlformats.org/officeDocument/2006/relationships/header" Target="header1.xml"/><Relationship Id="rId16" Type="http://schemas.openxmlformats.org/officeDocument/2006/relationships/hyperlink" Target="http://www.casioshop.mx/" TargetMode="Externa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image" Target="media/image11.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pbTGkl+3DnAIcFTFGpANtFE0XQ==">AMUW2mWwya+T0fgJWzBHKU6BPKwL9XvEKRVh5q1im/94oBqF0c9/5k1Zs4Of/ATVbB+x79joSbv13QaOSFxmGujkwweYqC2B6VHrgeQ6M4RQgRMfZbgiwjATcHKuQoPr083OTeJuzxd3YsvdAOCbcC+9JZN5ZUwbGM7wD6LHR6l1Hr2A9swtFC/a9dduVsZp/WoZTsfGoHQAT+g6Wp24UjV/J1++iBGTY6FhzesBpPKOsPcCYXB2Aej3xwqm1SriKfk7RhJUFKh2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2022-10-06T05:10:00Z</dcterms:created>
  <dc:creator>ＦＬＯＲＡユーザー</dc:creator>
</cp:coreProperties>
</file>