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ProducePay elige a another como su agencia de comunicación para servicios de PR en México, Colombia, Perú y Chile</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ProducePay</w:t>
      </w:r>
      <w:r w:rsidDel="00000000" w:rsidR="00000000" w:rsidRPr="00000000">
        <w:rPr>
          <w:rtl w:val="0"/>
        </w:rPr>
        <w:t xml:space="preserve">, la plataforma digital que está innovando el sector agrícola con sus soluciones </w:t>
      </w:r>
      <w:r w:rsidDel="00000000" w:rsidR="00000000" w:rsidRPr="00000000">
        <w:rPr>
          <w:rtl w:val="0"/>
        </w:rPr>
        <w:t xml:space="preserve">tecnológicas</w:t>
      </w:r>
      <w:r w:rsidDel="00000000" w:rsidR="00000000" w:rsidRPr="00000000">
        <w:rPr>
          <w:rtl w:val="0"/>
        </w:rPr>
        <w:t xml:space="preserve"> de financiamiento y comercialización para los productores de Latinoamérica, eligió a </w:t>
      </w:r>
      <w:hyperlink r:id="rId6">
        <w:r w:rsidDel="00000000" w:rsidR="00000000" w:rsidRPr="00000000">
          <w:rPr>
            <w:b w:val="1"/>
            <w:color w:val="1155cc"/>
            <w:u w:val="single"/>
            <w:rtl w:val="0"/>
          </w:rPr>
          <w:t xml:space="preserve">another</w:t>
        </w:r>
      </w:hyperlink>
      <w:r w:rsidDel="00000000" w:rsidR="00000000" w:rsidRPr="00000000">
        <w:rPr>
          <w:b w:val="1"/>
          <w:rtl w:val="0"/>
        </w:rPr>
        <w:t xml:space="preserve">, </w:t>
      </w:r>
      <w:r w:rsidDel="00000000" w:rsidR="00000000" w:rsidRPr="00000000">
        <w:rPr>
          <w:rtl w:val="0"/>
        </w:rPr>
        <w:t xml:space="preserve">la agencia global con la oferta más grande en el mercado de la región de América Latina, para posicionar desde las </w:t>
      </w:r>
      <w:r w:rsidDel="00000000" w:rsidR="00000000" w:rsidRPr="00000000">
        <w:rPr>
          <w:b w:val="1"/>
          <w:rtl w:val="0"/>
        </w:rPr>
        <w:t xml:space="preserve">relaciones públicas</w:t>
      </w:r>
      <w:r w:rsidDel="00000000" w:rsidR="00000000" w:rsidRPr="00000000">
        <w:rPr>
          <w:rtl w:val="0"/>
        </w:rPr>
        <w:t xml:space="preserve"> los mensajes de sustentabilidad y tecnología en la industria del campo en </w:t>
      </w:r>
      <w:r w:rsidDel="00000000" w:rsidR="00000000" w:rsidRPr="00000000">
        <w:rPr>
          <w:b w:val="1"/>
          <w:rtl w:val="0"/>
        </w:rPr>
        <w:t xml:space="preserve">México, Colombia, Perú y Chile.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Con el objetivo de generar estrategias de comunicación eficientes que enaltezcan las características de la marca ante sus audiencias clave, ProducePay comienza una cosecha con </w:t>
      </w:r>
      <w:r w:rsidDel="00000000" w:rsidR="00000000" w:rsidRPr="00000000">
        <w:rPr>
          <w:b w:val="1"/>
          <w:rtl w:val="0"/>
        </w:rPr>
        <w:t xml:space="preserve">another</w:t>
      </w:r>
      <w:r w:rsidDel="00000000" w:rsidR="00000000" w:rsidRPr="00000000">
        <w:rPr>
          <w:rtl w:val="0"/>
        </w:rPr>
        <w:t xml:space="preserve"> para que de manera estratégica anuncien los mensajes del primer mercado digital para la agroindustria, donde se conectan a productores de Latinoamérica con compradores de fruta y verdura fresca en México, Estados Unidos, Canadá y Europa.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Pablo Borquez, fundador y Director de la Junta de ProducePay, proviene de una familia de agricultores de cuarta generación y ha trabajado en el campo toda su vida. Inició la empresa con la idea de ayudar a mejorar la cadena de suministro de productos agrícolas perecederos y evitar el desperdicio económico y de alimentos. Borquez conoce de primera mano lo fragmentada que está la industria a nivel global, además de las desventajas que esto representa para los agricultores. Es por esto que emprendió un negocio comprometido en crear una sólida red de servicios sustentables, opciones de financiamiento, conexión, información y acceso al mercado.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ProducePay tiene presencia en más de 12 países, suma más de 1.000 productores y vendedores en su Marketplace, tiene más de 250 empleados enfocados en dar soluciones a los agricultores y ha comercializado más de 4 mil millones de dólares a través de su plataforma.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empresa cuenta con un portafolio de soluciones integrales que está revolucionando el campo latinoamericano. Marketplace, donde se encuentra la primera plataforma de comercio digital de frutas y hortalizas, financiamiento Pre-Cosecha, servicio de factoraje Quick-Pay, y su plataforma de Información de Mercado. En esta última los exportadores de frutas y verduras reciben actualizaciones diarias de precios, movimiento y tendencias de sus productos.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Con la anterior variedad de servicios tecnológicos, la empresa continuará conectando al mercado agrícola de manera más sustentable de la mano de another, agencia que se distingue por centralizar a sus equipos y trabajo para obtener resultados de alto impacto en función a las necesidades del cliente.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Los equipos especializados de another instalados en cada uno de los países en donde ProducePay requiere servicios de PR, permite satisfacer </w:t>
      </w:r>
      <w:r w:rsidDel="00000000" w:rsidR="00000000" w:rsidRPr="00000000">
        <w:rPr>
          <w:rtl w:val="0"/>
        </w:rPr>
        <w:t xml:space="preserve">todas las necesidades de los clientes en una misma agencia y con los mejores profesionales.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-o0o-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widowControl w:val="0"/>
        <w:jc w:val="both"/>
        <w:rPr>
          <w:b w:val="1"/>
          <w:sz w:val="18"/>
          <w:szCs w:val="18"/>
        </w:rPr>
      </w:pPr>
      <w:r w:rsidDel="00000000" w:rsidR="00000000" w:rsidRPr="00000000">
        <w:rPr>
          <w:rtl w:val="0"/>
        </w:rPr>
      </w:r>
    </w:p>
    <w:p w:rsidR="00000000" w:rsidDel="00000000" w:rsidP="00000000" w:rsidRDefault="00000000" w:rsidRPr="00000000" w14:paraId="00000014">
      <w:pPr>
        <w:widowControl w:val="0"/>
        <w:jc w:val="both"/>
        <w:rPr>
          <w:b w:val="1"/>
          <w:sz w:val="18"/>
          <w:szCs w:val="18"/>
        </w:rPr>
      </w:pPr>
      <w:r w:rsidDel="00000000" w:rsidR="00000000" w:rsidRPr="00000000">
        <w:rPr>
          <w:rtl w:val="0"/>
        </w:rPr>
      </w:r>
    </w:p>
    <w:p w:rsidR="00000000" w:rsidDel="00000000" w:rsidP="00000000" w:rsidRDefault="00000000" w:rsidRPr="00000000" w14:paraId="00000015">
      <w:pPr>
        <w:widowControl w:val="0"/>
        <w:jc w:val="both"/>
        <w:rPr>
          <w:b w:val="1"/>
          <w:sz w:val="18"/>
          <w:szCs w:val="18"/>
        </w:rPr>
      </w:pPr>
      <w:r w:rsidDel="00000000" w:rsidR="00000000" w:rsidRPr="00000000">
        <w:rPr>
          <w:rtl w:val="0"/>
        </w:rPr>
      </w:r>
    </w:p>
    <w:p w:rsidR="00000000" w:rsidDel="00000000" w:rsidP="00000000" w:rsidRDefault="00000000" w:rsidRPr="00000000" w14:paraId="00000016">
      <w:pPr>
        <w:widowControl w:val="0"/>
        <w:jc w:val="both"/>
        <w:rPr>
          <w:b w:val="1"/>
          <w:sz w:val="18"/>
          <w:szCs w:val="18"/>
        </w:rPr>
      </w:pPr>
      <w:r w:rsidDel="00000000" w:rsidR="00000000" w:rsidRPr="00000000">
        <w:rPr>
          <w:rtl w:val="0"/>
        </w:rPr>
      </w:r>
    </w:p>
    <w:p w:rsidR="00000000" w:rsidDel="00000000" w:rsidP="00000000" w:rsidRDefault="00000000" w:rsidRPr="00000000" w14:paraId="00000017">
      <w:pPr>
        <w:widowControl w:val="0"/>
        <w:jc w:val="both"/>
        <w:rPr/>
      </w:pPr>
      <w:r w:rsidDel="00000000" w:rsidR="00000000" w:rsidRPr="00000000">
        <w:rPr>
          <w:b w:val="1"/>
          <w:sz w:val="18"/>
          <w:szCs w:val="18"/>
          <w:rtl w:val="0"/>
        </w:rPr>
        <w:t xml:space="preserve">Sobre another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widowControl w:val="0"/>
        <w:spacing w:line="276" w:lineRule="auto"/>
        <w:jc w:val="both"/>
        <w:rPr>
          <w:sz w:val="18"/>
          <w:szCs w:val="18"/>
        </w:rPr>
      </w:pPr>
      <w:r w:rsidDel="00000000" w:rsidR="00000000" w:rsidRPr="00000000">
        <w:rPr>
          <w:sz w:val="18"/>
          <w:szCs w:val="18"/>
          <w:rtl w:val="0"/>
        </w:rPr>
        <w:t xml:space="preserve">Fundada en 2004 por Jaspar Eyears y Rodrigo Peñafiel, </w:t>
      </w:r>
      <w:r w:rsidDel="00000000" w:rsidR="00000000" w:rsidRPr="00000000">
        <w:rPr>
          <w:b w:val="1"/>
          <w:sz w:val="18"/>
          <w:szCs w:val="18"/>
          <w:rtl w:val="0"/>
        </w:rPr>
        <w:t xml:space="preserve">another</w:t>
      </w:r>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1A">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1B">
      <w:pPr>
        <w:widowControl w:val="0"/>
        <w:spacing w:line="276" w:lineRule="auto"/>
        <w:jc w:val="both"/>
        <w:rPr>
          <w:b w:val="1"/>
          <w:sz w:val="18"/>
          <w:szCs w:val="18"/>
        </w:rPr>
      </w:pPr>
      <w:r w:rsidDel="00000000" w:rsidR="00000000" w:rsidRPr="00000000">
        <w:rPr>
          <w:sz w:val="18"/>
          <w:szCs w:val="18"/>
          <w:rtl w:val="0"/>
        </w:rPr>
        <w:t xml:space="preserve">Para más información visita </w:t>
      </w:r>
      <w:hyperlink r:id="rId7">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8">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9">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0">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1">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3857625</wp:posOffset>
          </wp:positionH>
          <wp:positionV relativeFrom="paragraph">
            <wp:posOffset>-142874</wp:posOffset>
          </wp:positionV>
          <wp:extent cx="1685192" cy="547688"/>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85192" cy="5476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-38099</wp:posOffset>
          </wp:positionV>
          <wp:extent cx="1624013" cy="34277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24013" cy="34277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2" Type="http://schemas.openxmlformats.org/officeDocument/2006/relationships/header" Target="header1.xml"/><Relationship Id="rId9" Type="http://schemas.openxmlformats.org/officeDocument/2006/relationships/hyperlink" Target="https://twitter.com/anotherco?lang=en" TargetMode="External"/><Relationship Id="rId5" Type="http://schemas.openxmlformats.org/officeDocument/2006/relationships/styles" Target="styles.xml"/><Relationship Id="rId6" Type="http://schemas.openxmlformats.org/officeDocument/2006/relationships/hyperlink" Target="https://another.co/?utm_source=M%C3%A9xico+ProducePay&amp;utm_medium=M%C3%A9xico+ProducePay&amp;utm_campaign=M%C3%A9xico+ProducePay&amp;utm_id=PR+M%C3%A9xico+Redes+Sociales" TargetMode="External"/><Relationship Id="rId7" Type="http://schemas.openxmlformats.org/officeDocument/2006/relationships/hyperlink" Target="https://another.co/" TargetMode="External"/><Relationship Id="rId8"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