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B66" w:rsidRDefault="00092B66" w:rsidP="00092B66">
      <w:pPr>
        <w:spacing w:line="240" w:lineRule="atLeast"/>
        <w:jc w:val="center"/>
        <w:rPr>
          <w:rFonts w:asciiTheme="minorHAnsi" w:hAnsiTheme="minorHAnsi" w:cs="Arial"/>
          <w:sz w:val="20"/>
          <w:szCs w:val="20"/>
          <w:lang w:val="nl-BE"/>
        </w:rPr>
      </w:pPr>
      <w:r>
        <w:rPr>
          <w:noProof/>
          <w:lang w:val="nl-BE" w:eastAsia="nl-BE"/>
        </w:rPr>
        <w:drawing>
          <wp:inline distT="0" distB="0" distL="0" distR="0" wp14:anchorId="475B01B0" wp14:editId="095C853F">
            <wp:extent cx="933450" cy="371475"/>
            <wp:effectExtent l="0" t="0" r="0" b="9525"/>
            <wp:docPr id="1" name="Afbeelding 2" descr="spa_standaard_logo_klein.jpg"/>
            <wp:cNvGraphicFramePr/>
            <a:graphic xmlns:a="http://schemas.openxmlformats.org/drawingml/2006/main">
              <a:graphicData uri="http://schemas.openxmlformats.org/drawingml/2006/picture">
                <pic:pic xmlns:pic="http://schemas.openxmlformats.org/drawingml/2006/picture">
                  <pic:nvPicPr>
                    <pic:cNvPr id="1" name="Afbeelding 2" descr="spa_standaard_logo_klein.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371475"/>
                    </a:xfrm>
                    <a:prstGeom prst="rect">
                      <a:avLst/>
                    </a:prstGeom>
                    <a:noFill/>
                    <a:ln>
                      <a:noFill/>
                    </a:ln>
                  </pic:spPr>
                </pic:pic>
              </a:graphicData>
            </a:graphic>
          </wp:inline>
        </w:drawing>
      </w:r>
    </w:p>
    <w:p w:rsidR="00092B66" w:rsidRDefault="00092B66" w:rsidP="00092B66">
      <w:pPr>
        <w:spacing w:line="240" w:lineRule="atLeast"/>
        <w:rPr>
          <w:rFonts w:asciiTheme="minorHAnsi" w:hAnsiTheme="minorHAnsi" w:cs="Arial"/>
          <w:sz w:val="20"/>
          <w:szCs w:val="20"/>
          <w:lang w:val="nl-BE"/>
        </w:rPr>
      </w:pPr>
    </w:p>
    <w:p w:rsidR="00AF138A" w:rsidRPr="00AF138A" w:rsidRDefault="00AF138A" w:rsidP="00A50225">
      <w:pPr>
        <w:jc w:val="center"/>
        <w:rPr>
          <w:b/>
          <w:bCs/>
          <w:sz w:val="32"/>
          <w:szCs w:val="32"/>
        </w:rPr>
      </w:pPr>
      <w:r w:rsidRPr="00AF138A">
        <w:rPr>
          <w:b/>
          <w:bCs/>
          <w:sz w:val="32"/>
          <w:szCs w:val="32"/>
        </w:rPr>
        <w:t xml:space="preserve">Poging minister Van Overtveldt om zwart geld via deal met de fiscus te regulariseren botst op njet </w:t>
      </w:r>
    </w:p>
    <w:p w:rsidR="00AF138A" w:rsidRDefault="00AF138A" w:rsidP="00A50225">
      <w:pPr>
        <w:jc w:val="center"/>
        <w:rPr>
          <w:b/>
          <w:bCs/>
          <w:sz w:val="28"/>
          <w:szCs w:val="28"/>
        </w:rPr>
      </w:pPr>
    </w:p>
    <w:p w:rsidR="00092B66" w:rsidRPr="00092B66" w:rsidRDefault="00092B66" w:rsidP="00092B66">
      <w:pPr>
        <w:spacing w:line="240" w:lineRule="atLeast"/>
        <w:rPr>
          <w:rFonts w:asciiTheme="minorHAnsi" w:hAnsiTheme="minorHAnsi" w:cs="Arial"/>
          <w:sz w:val="20"/>
          <w:szCs w:val="20"/>
          <w:lang w:val="nl-BE"/>
        </w:rPr>
      </w:pPr>
      <w:bookmarkStart w:id="0" w:name="_GoBack"/>
      <w:bookmarkEnd w:id="0"/>
    </w:p>
    <w:p w:rsidR="004B7C23" w:rsidRPr="00B331F1" w:rsidRDefault="004B7C23" w:rsidP="00B331F1">
      <w:pPr>
        <w:pStyle w:val="Lijstalinea"/>
        <w:numPr>
          <w:ilvl w:val="0"/>
          <w:numId w:val="1"/>
        </w:numPr>
        <w:spacing w:line="240" w:lineRule="atLeast"/>
        <w:jc w:val="both"/>
        <w:rPr>
          <w:rFonts w:asciiTheme="minorHAnsi" w:hAnsiTheme="minorHAnsi" w:cs="Arial"/>
          <w:b/>
          <w:sz w:val="22"/>
          <w:szCs w:val="22"/>
          <w:u w:val="single"/>
          <w:lang w:val="nl-BE"/>
        </w:rPr>
      </w:pPr>
      <w:r w:rsidRPr="00B331F1">
        <w:rPr>
          <w:rFonts w:asciiTheme="minorHAnsi" w:hAnsiTheme="minorHAnsi" w:cs="Arial"/>
          <w:b/>
          <w:sz w:val="22"/>
          <w:szCs w:val="22"/>
          <w:u w:val="single"/>
          <w:lang w:val="nl-BE"/>
        </w:rPr>
        <w:t>Historiek van het dossier</w:t>
      </w:r>
    </w:p>
    <w:p w:rsidR="008D711F" w:rsidRPr="00B331F1" w:rsidRDefault="008D711F" w:rsidP="00B331F1">
      <w:pPr>
        <w:pStyle w:val="Lijstalinea"/>
        <w:spacing w:line="240" w:lineRule="atLeast"/>
        <w:ind w:left="1080"/>
        <w:jc w:val="both"/>
        <w:rPr>
          <w:rFonts w:asciiTheme="minorHAnsi" w:hAnsiTheme="minorHAnsi" w:cs="Arial"/>
          <w:sz w:val="22"/>
          <w:szCs w:val="22"/>
          <w:lang w:val="nl-BE"/>
        </w:rPr>
      </w:pPr>
    </w:p>
    <w:p w:rsidR="008D711F" w:rsidRPr="00B331F1" w:rsidRDefault="004B7C23" w:rsidP="00B331F1">
      <w:pPr>
        <w:pStyle w:val="Lijstalinea"/>
        <w:numPr>
          <w:ilvl w:val="1"/>
          <w:numId w:val="3"/>
        </w:numPr>
        <w:spacing w:line="240" w:lineRule="atLeast"/>
        <w:jc w:val="both"/>
        <w:rPr>
          <w:rFonts w:asciiTheme="minorHAnsi" w:hAnsiTheme="minorHAnsi" w:cs="Arial"/>
          <w:i/>
          <w:sz w:val="22"/>
          <w:szCs w:val="22"/>
          <w:u w:val="single"/>
          <w:lang w:val="nl-BE"/>
        </w:rPr>
      </w:pPr>
      <w:r w:rsidRPr="00B331F1">
        <w:rPr>
          <w:rFonts w:asciiTheme="minorHAnsi" w:hAnsiTheme="minorHAnsi" w:cs="Arial"/>
          <w:i/>
          <w:sz w:val="22"/>
          <w:szCs w:val="22"/>
          <w:u w:val="single"/>
          <w:lang w:val="nl-BE"/>
        </w:rPr>
        <w:t>Waarom startte sp.a een procedure bij de Raad van State?</w:t>
      </w:r>
    </w:p>
    <w:p w:rsidR="008D711F" w:rsidRPr="00B331F1" w:rsidRDefault="008D711F" w:rsidP="00B331F1">
      <w:pPr>
        <w:spacing w:line="240" w:lineRule="atLeast"/>
        <w:jc w:val="both"/>
        <w:rPr>
          <w:rFonts w:asciiTheme="minorHAnsi" w:hAnsiTheme="minorHAnsi" w:cs="Arial"/>
          <w:sz w:val="22"/>
          <w:szCs w:val="22"/>
          <w:lang w:val="nl-BE"/>
        </w:rPr>
      </w:pPr>
    </w:p>
    <w:p w:rsidR="008D711F" w:rsidRPr="00B331F1" w:rsidRDefault="008D711F" w:rsidP="00B331F1">
      <w:pPr>
        <w:spacing w:line="240" w:lineRule="atLeast"/>
        <w:jc w:val="both"/>
        <w:rPr>
          <w:rFonts w:asciiTheme="minorHAnsi" w:hAnsiTheme="minorHAnsi" w:cs="Arial"/>
          <w:sz w:val="22"/>
          <w:szCs w:val="22"/>
          <w:lang w:val="nl-BE"/>
        </w:rPr>
      </w:pPr>
      <w:r w:rsidRPr="00B331F1">
        <w:rPr>
          <w:rFonts w:asciiTheme="minorHAnsi" w:hAnsiTheme="minorHAnsi" w:cs="Arial"/>
          <w:sz w:val="22"/>
          <w:szCs w:val="22"/>
          <w:lang w:val="nl-BE"/>
        </w:rPr>
        <w:t xml:space="preserve">Op 29 januari 2015 stelde de Bijzondere Belastinginspectie (BBI) een interne </w:t>
      </w:r>
      <w:r w:rsidR="001F638C" w:rsidRPr="00B331F1">
        <w:rPr>
          <w:rFonts w:asciiTheme="minorHAnsi" w:hAnsiTheme="minorHAnsi" w:cs="Arial"/>
          <w:sz w:val="22"/>
          <w:szCs w:val="22"/>
          <w:lang w:val="nl-BE"/>
        </w:rPr>
        <w:t xml:space="preserve">instructie of richtlijn </w:t>
      </w:r>
      <w:r w:rsidRPr="00B331F1">
        <w:rPr>
          <w:rFonts w:asciiTheme="minorHAnsi" w:hAnsiTheme="minorHAnsi" w:cs="Arial"/>
          <w:sz w:val="22"/>
          <w:szCs w:val="22"/>
          <w:lang w:val="nl-BE"/>
        </w:rPr>
        <w:t xml:space="preserve">op </w:t>
      </w:r>
      <w:r w:rsidRPr="00B331F1">
        <w:rPr>
          <w:rFonts w:asciiTheme="minorHAnsi" w:hAnsiTheme="minorHAnsi" w:cs="Arial"/>
          <w:i/>
          <w:sz w:val="22"/>
          <w:szCs w:val="22"/>
          <w:lang w:val="nl-BE"/>
        </w:rPr>
        <w:t>“betreffende de taxatie van niet tijdig aangegeven inkomsten”</w:t>
      </w:r>
      <w:r w:rsidRPr="00B331F1">
        <w:rPr>
          <w:rFonts w:asciiTheme="minorHAnsi" w:hAnsiTheme="minorHAnsi" w:cs="Arial"/>
          <w:sz w:val="22"/>
          <w:szCs w:val="22"/>
          <w:lang w:val="nl-BE"/>
        </w:rPr>
        <w:t xml:space="preserve">. De </w:t>
      </w:r>
      <w:r w:rsidR="001F638C" w:rsidRPr="00B331F1">
        <w:rPr>
          <w:rFonts w:asciiTheme="minorHAnsi" w:hAnsiTheme="minorHAnsi" w:cs="Arial"/>
          <w:sz w:val="22"/>
          <w:szCs w:val="22"/>
          <w:lang w:val="nl-BE"/>
        </w:rPr>
        <w:t xml:space="preserve">richtlijn </w:t>
      </w:r>
      <w:r w:rsidRPr="00B331F1">
        <w:rPr>
          <w:rFonts w:asciiTheme="minorHAnsi" w:hAnsiTheme="minorHAnsi" w:cs="Arial"/>
          <w:sz w:val="22"/>
          <w:szCs w:val="22"/>
          <w:lang w:val="nl-BE"/>
        </w:rPr>
        <w:t>geeft aan hoe de BBI belastingplichtigen moet taxeren indien zij zich spontaan melden met hun zwarte inkomsten of vermogens.</w:t>
      </w:r>
    </w:p>
    <w:p w:rsidR="001F638C" w:rsidRPr="00B331F1" w:rsidRDefault="001F638C" w:rsidP="00B331F1">
      <w:pPr>
        <w:spacing w:line="240" w:lineRule="atLeast"/>
        <w:jc w:val="both"/>
        <w:rPr>
          <w:rFonts w:asciiTheme="minorHAnsi" w:hAnsiTheme="minorHAnsi" w:cs="Arial"/>
          <w:sz w:val="22"/>
          <w:szCs w:val="22"/>
          <w:lang w:val="nl-BE"/>
        </w:rPr>
      </w:pPr>
    </w:p>
    <w:p w:rsidR="00D91143" w:rsidRPr="00B331F1" w:rsidRDefault="00D91143" w:rsidP="00B331F1">
      <w:pPr>
        <w:spacing w:line="240" w:lineRule="atLeast"/>
        <w:jc w:val="both"/>
        <w:rPr>
          <w:rFonts w:asciiTheme="minorHAnsi" w:hAnsiTheme="minorHAnsi" w:cs="Arial"/>
          <w:sz w:val="22"/>
          <w:szCs w:val="22"/>
          <w:lang w:val="nl-BE"/>
        </w:rPr>
      </w:pPr>
      <w:r w:rsidRPr="00B331F1">
        <w:rPr>
          <w:rFonts w:asciiTheme="minorHAnsi" w:hAnsiTheme="minorHAnsi" w:cs="Arial"/>
          <w:sz w:val="22"/>
          <w:szCs w:val="22"/>
          <w:lang w:val="nl-BE"/>
        </w:rPr>
        <w:t>Nochtans was er op 2 juli 2014 een eerdere instructie uitgevaardigd die duidelijk de wettelijke boetetarieven deed toepassen.</w:t>
      </w:r>
    </w:p>
    <w:p w:rsidR="008D711F" w:rsidRPr="00B331F1" w:rsidRDefault="008D711F" w:rsidP="00B331F1">
      <w:pPr>
        <w:spacing w:line="240" w:lineRule="atLeast"/>
        <w:jc w:val="both"/>
        <w:rPr>
          <w:rFonts w:asciiTheme="minorHAnsi" w:hAnsiTheme="minorHAnsi" w:cs="Arial"/>
          <w:sz w:val="22"/>
          <w:szCs w:val="22"/>
          <w:lang w:val="nl-BE"/>
        </w:rPr>
      </w:pPr>
    </w:p>
    <w:p w:rsidR="008D711F" w:rsidRPr="00B331F1" w:rsidRDefault="008D711F" w:rsidP="00B331F1">
      <w:pPr>
        <w:spacing w:line="240" w:lineRule="atLeast"/>
        <w:jc w:val="both"/>
        <w:rPr>
          <w:rFonts w:asciiTheme="minorHAnsi" w:hAnsiTheme="minorHAnsi" w:cs="Arial"/>
          <w:sz w:val="22"/>
          <w:szCs w:val="22"/>
          <w:lang w:val="nl-BE"/>
        </w:rPr>
      </w:pPr>
      <w:r w:rsidRPr="00B331F1">
        <w:rPr>
          <w:rFonts w:asciiTheme="minorHAnsi" w:hAnsiTheme="minorHAnsi" w:cs="Arial"/>
          <w:sz w:val="22"/>
          <w:szCs w:val="22"/>
          <w:lang w:val="nl-BE"/>
        </w:rPr>
        <w:t xml:space="preserve">Peter Vanvelthoven: </w:t>
      </w:r>
      <w:r w:rsidRPr="00B331F1">
        <w:rPr>
          <w:rFonts w:asciiTheme="minorHAnsi" w:hAnsiTheme="minorHAnsi" w:cs="Arial"/>
          <w:i/>
          <w:sz w:val="22"/>
          <w:szCs w:val="22"/>
          <w:lang w:val="nl-BE"/>
        </w:rPr>
        <w:t>“Toen we na lang aandringen e</w:t>
      </w:r>
      <w:r w:rsidR="007252CA" w:rsidRPr="00B331F1">
        <w:rPr>
          <w:rFonts w:asciiTheme="minorHAnsi" w:hAnsiTheme="minorHAnsi" w:cs="Arial"/>
          <w:i/>
          <w:sz w:val="22"/>
          <w:szCs w:val="22"/>
          <w:lang w:val="nl-BE"/>
        </w:rPr>
        <w:t xml:space="preserve">en kopie van de </w:t>
      </w:r>
      <w:r w:rsidR="00D91143" w:rsidRPr="00B331F1">
        <w:rPr>
          <w:rFonts w:asciiTheme="minorHAnsi" w:hAnsiTheme="minorHAnsi" w:cs="Arial"/>
          <w:i/>
          <w:sz w:val="22"/>
          <w:szCs w:val="22"/>
          <w:lang w:val="nl-BE"/>
        </w:rPr>
        <w:t>nieuwe</w:t>
      </w:r>
      <w:r w:rsidR="001F638C" w:rsidRPr="00B331F1">
        <w:rPr>
          <w:rFonts w:asciiTheme="minorHAnsi" w:hAnsiTheme="minorHAnsi" w:cs="Arial"/>
          <w:i/>
          <w:sz w:val="22"/>
          <w:szCs w:val="22"/>
          <w:lang w:val="nl-BE"/>
        </w:rPr>
        <w:t xml:space="preserve"> richtlijn</w:t>
      </w:r>
      <w:r w:rsidR="007252CA" w:rsidRPr="00B331F1">
        <w:rPr>
          <w:rFonts w:asciiTheme="minorHAnsi" w:hAnsiTheme="minorHAnsi" w:cs="Arial"/>
          <w:i/>
          <w:sz w:val="22"/>
          <w:szCs w:val="22"/>
          <w:lang w:val="nl-BE"/>
        </w:rPr>
        <w:t xml:space="preserve"> ontvi</w:t>
      </w:r>
      <w:r w:rsidRPr="00B331F1">
        <w:rPr>
          <w:rFonts w:asciiTheme="minorHAnsi" w:hAnsiTheme="minorHAnsi" w:cs="Arial"/>
          <w:i/>
          <w:sz w:val="22"/>
          <w:szCs w:val="22"/>
          <w:lang w:val="nl-BE"/>
        </w:rPr>
        <w:t>ngen, was het voor ons meteen duidelijk dat de</w:t>
      </w:r>
      <w:r w:rsidR="00C91F66" w:rsidRPr="00B331F1">
        <w:rPr>
          <w:rFonts w:asciiTheme="minorHAnsi" w:hAnsiTheme="minorHAnsi" w:cs="Arial"/>
          <w:i/>
          <w:sz w:val="22"/>
          <w:szCs w:val="22"/>
          <w:lang w:val="nl-BE"/>
        </w:rPr>
        <w:t xml:space="preserve"> richtlijn</w:t>
      </w:r>
      <w:r w:rsidR="007B2012">
        <w:rPr>
          <w:rFonts w:asciiTheme="minorHAnsi" w:hAnsiTheme="minorHAnsi" w:cs="Arial"/>
          <w:i/>
          <w:sz w:val="22"/>
          <w:szCs w:val="22"/>
          <w:lang w:val="nl-BE"/>
        </w:rPr>
        <w:t xml:space="preserve"> </w:t>
      </w:r>
      <w:r w:rsidRPr="00B331F1">
        <w:rPr>
          <w:rFonts w:asciiTheme="minorHAnsi" w:hAnsiTheme="minorHAnsi" w:cs="Arial"/>
          <w:i/>
          <w:sz w:val="22"/>
          <w:szCs w:val="22"/>
          <w:lang w:val="nl-BE"/>
        </w:rPr>
        <w:t xml:space="preserve">zich helemaal niet beperkte tot de toepassing van de wet. In </w:t>
      </w:r>
      <w:r w:rsidR="00D378E9" w:rsidRPr="00B331F1">
        <w:rPr>
          <w:rFonts w:asciiTheme="minorHAnsi" w:hAnsiTheme="minorHAnsi" w:cs="Arial"/>
          <w:i/>
          <w:sz w:val="22"/>
          <w:szCs w:val="22"/>
          <w:lang w:val="nl-BE"/>
        </w:rPr>
        <w:t>veel</w:t>
      </w:r>
      <w:r w:rsidRPr="00B331F1">
        <w:rPr>
          <w:rFonts w:asciiTheme="minorHAnsi" w:hAnsiTheme="minorHAnsi" w:cs="Arial"/>
          <w:i/>
          <w:sz w:val="22"/>
          <w:szCs w:val="22"/>
          <w:lang w:val="nl-BE"/>
        </w:rPr>
        <w:t xml:space="preserve"> gevallen </w:t>
      </w:r>
      <w:r w:rsidR="007252CA" w:rsidRPr="00B331F1">
        <w:rPr>
          <w:rFonts w:asciiTheme="minorHAnsi" w:hAnsiTheme="minorHAnsi" w:cs="Arial"/>
          <w:i/>
          <w:sz w:val="22"/>
          <w:szCs w:val="22"/>
          <w:lang w:val="nl-BE"/>
        </w:rPr>
        <w:t>ble</w:t>
      </w:r>
      <w:r w:rsidR="00D378E9" w:rsidRPr="00B331F1">
        <w:rPr>
          <w:rFonts w:asciiTheme="minorHAnsi" w:hAnsiTheme="minorHAnsi" w:cs="Arial"/>
          <w:i/>
          <w:sz w:val="22"/>
          <w:szCs w:val="22"/>
          <w:lang w:val="nl-BE"/>
        </w:rPr>
        <w:t>k</w:t>
      </w:r>
      <w:r w:rsidR="007252CA" w:rsidRPr="00B331F1">
        <w:rPr>
          <w:rFonts w:asciiTheme="minorHAnsi" w:hAnsiTheme="minorHAnsi" w:cs="Arial"/>
          <w:i/>
          <w:sz w:val="22"/>
          <w:szCs w:val="22"/>
          <w:lang w:val="nl-BE"/>
        </w:rPr>
        <w:t>en de boetetarieven</w:t>
      </w:r>
      <w:r w:rsidR="00D378E9" w:rsidRPr="00B331F1">
        <w:rPr>
          <w:rFonts w:asciiTheme="minorHAnsi" w:hAnsiTheme="minorHAnsi" w:cs="Arial"/>
          <w:i/>
          <w:sz w:val="22"/>
          <w:szCs w:val="22"/>
          <w:lang w:val="nl-BE"/>
        </w:rPr>
        <w:t xml:space="preserve"> duidelijk lager te liggen dan de wettelijke tarieven.</w:t>
      </w:r>
      <w:r w:rsidRPr="00B331F1">
        <w:rPr>
          <w:rFonts w:asciiTheme="minorHAnsi" w:hAnsiTheme="minorHAnsi" w:cs="Arial"/>
          <w:i/>
          <w:sz w:val="22"/>
          <w:szCs w:val="22"/>
          <w:lang w:val="nl-BE"/>
        </w:rPr>
        <w:t>”</w:t>
      </w:r>
    </w:p>
    <w:p w:rsidR="007252CA" w:rsidRPr="00B331F1" w:rsidRDefault="007252CA" w:rsidP="00B331F1">
      <w:pPr>
        <w:spacing w:line="240" w:lineRule="atLeast"/>
        <w:jc w:val="both"/>
        <w:rPr>
          <w:rFonts w:asciiTheme="minorHAnsi" w:hAnsiTheme="minorHAnsi" w:cs="Arial"/>
          <w:sz w:val="22"/>
          <w:szCs w:val="22"/>
          <w:lang w:val="nl-BE"/>
        </w:rPr>
      </w:pPr>
    </w:p>
    <w:p w:rsidR="007252CA" w:rsidRPr="00B331F1" w:rsidRDefault="007252CA" w:rsidP="00B331F1">
      <w:pPr>
        <w:spacing w:line="240" w:lineRule="atLeast"/>
        <w:jc w:val="both"/>
        <w:rPr>
          <w:rFonts w:asciiTheme="minorHAnsi" w:hAnsiTheme="minorHAnsi" w:cs="Arial"/>
          <w:sz w:val="22"/>
          <w:szCs w:val="22"/>
          <w:lang w:val="nl-BE"/>
        </w:rPr>
      </w:pPr>
      <w:r w:rsidRPr="00B331F1">
        <w:rPr>
          <w:rFonts w:asciiTheme="minorHAnsi" w:hAnsiTheme="minorHAnsi" w:cs="Arial"/>
          <w:sz w:val="22"/>
          <w:szCs w:val="22"/>
          <w:lang w:val="nl-BE"/>
        </w:rPr>
        <w:t>Daarnaast hield de instructie ook geen rekening met het al of niet opzettelijk karakter noch met een eventuele herhaling van de overtreding, waar de wet juist wel telkens een onderscheid in maakt.</w:t>
      </w:r>
    </w:p>
    <w:p w:rsidR="007252CA" w:rsidRPr="00B331F1" w:rsidRDefault="007252CA" w:rsidP="00B331F1">
      <w:pPr>
        <w:spacing w:line="240" w:lineRule="atLeast"/>
        <w:jc w:val="both"/>
        <w:rPr>
          <w:rFonts w:asciiTheme="minorHAnsi" w:hAnsiTheme="minorHAnsi" w:cs="Arial"/>
          <w:sz w:val="22"/>
          <w:szCs w:val="22"/>
          <w:lang w:val="nl-BE"/>
        </w:rPr>
      </w:pPr>
    </w:p>
    <w:p w:rsidR="007252CA" w:rsidRPr="00B331F1" w:rsidRDefault="007252CA" w:rsidP="00B331F1">
      <w:pPr>
        <w:spacing w:line="240" w:lineRule="atLeast"/>
        <w:jc w:val="both"/>
        <w:rPr>
          <w:rFonts w:asciiTheme="minorHAnsi" w:hAnsiTheme="minorHAnsi" w:cs="Arial"/>
          <w:sz w:val="22"/>
          <w:szCs w:val="22"/>
          <w:lang w:val="nl-BE"/>
        </w:rPr>
      </w:pPr>
      <w:r w:rsidRPr="00B331F1">
        <w:rPr>
          <w:rFonts w:asciiTheme="minorHAnsi" w:hAnsiTheme="minorHAnsi" w:cs="Arial"/>
          <w:sz w:val="22"/>
          <w:szCs w:val="22"/>
          <w:lang w:val="nl-BE"/>
        </w:rPr>
        <w:t xml:space="preserve">Karin Temmerman: </w:t>
      </w:r>
      <w:r w:rsidRPr="00B331F1">
        <w:rPr>
          <w:rFonts w:asciiTheme="minorHAnsi" w:hAnsiTheme="minorHAnsi" w:cs="Arial"/>
          <w:i/>
          <w:sz w:val="22"/>
          <w:szCs w:val="22"/>
          <w:lang w:val="nl-BE"/>
        </w:rPr>
        <w:t>“De vorige regering had heel duidelijk in de wet vastgelegd dat 31 december 2013 de ultieme einddatum was voor de fiscale regularisaties in een apart wettelijk kader. Vanaf dat moment moesten de gewone wettelijke tarieven worden toegepast. Als deze regering daarvan wilde afwijken en een fiscale amnestie starten, dan moest ze de wet wijzigen en niet via een geheime interne instructie lagere tarieven toepassen.”</w:t>
      </w:r>
    </w:p>
    <w:p w:rsidR="007252CA" w:rsidRPr="00B331F1" w:rsidRDefault="007252CA" w:rsidP="00B331F1">
      <w:pPr>
        <w:spacing w:line="240" w:lineRule="atLeast"/>
        <w:jc w:val="both"/>
        <w:rPr>
          <w:rFonts w:asciiTheme="minorHAnsi" w:hAnsiTheme="minorHAnsi" w:cs="Arial"/>
          <w:sz w:val="22"/>
          <w:szCs w:val="22"/>
          <w:lang w:val="nl-BE"/>
        </w:rPr>
      </w:pPr>
    </w:p>
    <w:p w:rsidR="007252CA" w:rsidRPr="00B331F1" w:rsidRDefault="004B7C23" w:rsidP="00B331F1">
      <w:pPr>
        <w:pStyle w:val="Lijstalinea"/>
        <w:numPr>
          <w:ilvl w:val="1"/>
          <w:numId w:val="3"/>
        </w:numPr>
        <w:spacing w:line="240" w:lineRule="atLeast"/>
        <w:jc w:val="both"/>
        <w:rPr>
          <w:rFonts w:asciiTheme="minorHAnsi" w:hAnsiTheme="minorHAnsi" w:cs="Arial"/>
          <w:i/>
          <w:sz w:val="22"/>
          <w:szCs w:val="22"/>
          <w:u w:val="single"/>
          <w:lang w:val="nl-BE"/>
        </w:rPr>
      </w:pPr>
      <w:r w:rsidRPr="00B331F1">
        <w:rPr>
          <w:rFonts w:asciiTheme="minorHAnsi" w:hAnsiTheme="minorHAnsi" w:cs="Arial"/>
          <w:i/>
          <w:sz w:val="22"/>
          <w:szCs w:val="22"/>
          <w:u w:val="single"/>
          <w:lang w:val="nl-BE"/>
        </w:rPr>
        <w:t xml:space="preserve">Wat waren de tegenargumenten van minister van Financiën Van Overtveldt? </w:t>
      </w:r>
    </w:p>
    <w:p w:rsidR="007252CA" w:rsidRPr="00B331F1" w:rsidRDefault="007252CA" w:rsidP="00B331F1">
      <w:pPr>
        <w:spacing w:line="240" w:lineRule="atLeast"/>
        <w:jc w:val="both"/>
        <w:rPr>
          <w:rFonts w:asciiTheme="minorHAnsi" w:hAnsiTheme="minorHAnsi" w:cs="Arial"/>
          <w:sz w:val="22"/>
          <w:szCs w:val="22"/>
          <w:lang w:val="nl-BE"/>
        </w:rPr>
      </w:pPr>
    </w:p>
    <w:p w:rsidR="00C91F66" w:rsidRPr="00B331F1" w:rsidRDefault="007252CA" w:rsidP="00B331F1">
      <w:pPr>
        <w:spacing w:line="240" w:lineRule="atLeast"/>
        <w:jc w:val="both"/>
        <w:rPr>
          <w:rFonts w:asciiTheme="minorHAnsi" w:hAnsiTheme="minorHAnsi" w:cs="Arial"/>
          <w:sz w:val="22"/>
          <w:szCs w:val="22"/>
          <w:lang w:val="nl-BE"/>
        </w:rPr>
      </w:pPr>
      <w:r w:rsidRPr="00B331F1">
        <w:rPr>
          <w:rFonts w:asciiTheme="minorHAnsi" w:hAnsiTheme="minorHAnsi" w:cs="Arial"/>
          <w:sz w:val="22"/>
          <w:szCs w:val="22"/>
          <w:lang w:val="nl-BE"/>
        </w:rPr>
        <w:t xml:space="preserve">Minister van Financiën Van Overtveldt </w:t>
      </w:r>
      <w:r w:rsidR="00C45814" w:rsidRPr="00B331F1">
        <w:rPr>
          <w:rFonts w:asciiTheme="minorHAnsi" w:hAnsiTheme="minorHAnsi" w:cs="Arial"/>
          <w:sz w:val="22"/>
          <w:szCs w:val="22"/>
          <w:lang w:val="nl-BE"/>
        </w:rPr>
        <w:t xml:space="preserve">heeft altijd (in het parlement, in de pers en in de procedure bij de Raad van State) </w:t>
      </w:r>
      <w:r w:rsidRPr="00B331F1">
        <w:rPr>
          <w:rFonts w:asciiTheme="minorHAnsi" w:hAnsiTheme="minorHAnsi" w:cs="Arial"/>
          <w:sz w:val="22"/>
          <w:szCs w:val="22"/>
          <w:lang w:val="nl-BE"/>
        </w:rPr>
        <w:t xml:space="preserve">benadrukt dat de </w:t>
      </w:r>
      <w:r w:rsidR="00C91F66" w:rsidRPr="00B331F1">
        <w:rPr>
          <w:rFonts w:asciiTheme="minorHAnsi" w:hAnsiTheme="minorHAnsi" w:cs="Arial"/>
          <w:sz w:val="22"/>
          <w:szCs w:val="22"/>
          <w:lang w:val="nl-BE"/>
        </w:rPr>
        <w:t xml:space="preserve">richtlijn van de BBI </w:t>
      </w:r>
      <w:r w:rsidRPr="00B331F1">
        <w:rPr>
          <w:rFonts w:asciiTheme="minorHAnsi" w:hAnsiTheme="minorHAnsi" w:cs="Arial"/>
          <w:sz w:val="22"/>
          <w:szCs w:val="22"/>
          <w:lang w:val="nl-BE"/>
        </w:rPr>
        <w:t xml:space="preserve"> enkel de bedoeling heeft om </w:t>
      </w:r>
      <w:r w:rsidR="00C45814" w:rsidRPr="00B331F1">
        <w:rPr>
          <w:rFonts w:asciiTheme="minorHAnsi" w:hAnsiTheme="minorHAnsi" w:cs="Arial"/>
          <w:sz w:val="22"/>
          <w:szCs w:val="22"/>
          <w:lang w:val="nl-BE"/>
        </w:rPr>
        <w:t xml:space="preserve">te zorgen voor een uniforme toepassing van de wet </w:t>
      </w:r>
      <w:r w:rsidRPr="00B331F1">
        <w:rPr>
          <w:rFonts w:asciiTheme="minorHAnsi" w:hAnsiTheme="minorHAnsi" w:cs="Arial"/>
          <w:sz w:val="22"/>
          <w:szCs w:val="22"/>
          <w:lang w:val="nl-BE"/>
        </w:rPr>
        <w:t>voor de gevallen waarbij belastingplichtigen zich spontaan komen aanmelden met n</w:t>
      </w:r>
      <w:r w:rsidR="00C45814" w:rsidRPr="00B331F1">
        <w:rPr>
          <w:rFonts w:asciiTheme="minorHAnsi" w:hAnsiTheme="minorHAnsi" w:cs="Arial"/>
          <w:sz w:val="22"/>
          <w:szCs w:val="22"/>
          <w:lang w:val="nl-BE"/>
        </w:rPr>
        <w:t>iet-tijdig aangegeven inkomsten.</w:t>
      </w:r>
    </w:p>
    <w:p w:rsidR="00D45A1F" w:rsidRPr="00B331F1" w:rsidRDefault="00D45A1F" w:rsidP="00B331F1">
      <w:pPr>
        <w:spacing w:line="240" w:lineRule="atLeast"/>
        <w:jc w:val="both"/>
        <w:rPr>
          <w:rFonts w:asciiTheme="minorHAnsi" w:hAnsiTheme="minorHAnsi" w:cs="Arial"/>
          <w:sz w:val="22"/>
          <w:szCs w:val="22"/>
          <w:lang w:val="nl-BE"/>
        </w:rPr>
      </w:pPr>
    </w:p>
    <w:p w:rsidR="008D711F" w:rsidRPr="00B331F1" w:rsidRDefault="00D45A1F" w:rsidP="00B331F1">
      <w:pPr>
        <w:spacing w:line="240" w:lineRule="atLeast"/>
        <w:jc w:val="both"/>
        <w:rPr>
          <w:rFonts w:asciiTheme="minorHAnsi" w:hAnsiTheme="minorHAnsi" w:cs="Arial"/>
          <w:sz w:val="22"/>
          <w:szCs w:val="22"/>
          <w:lang w:val="nl-BE"/>
        </w:rPr>
      </w:pPr>
      <w:r w:rsidRPr="00B331F1">
        <w:rPr>
          <w:rFonts w:asciiTheme="minorHAnsi" w:hAnsiTheme="minorHAnsi" w:cs="Arial"/>
          <w:i/>
          <w:sz w:val="22"/>
          <w:szCs w:val="22"/>
          <w:lang w:val="nl-BE"/>
        </w:rPr>
        <w:t>“</w:t>
      </w:r>
      <w:r w:rsidRPr="00B331F1">
        <w:rPr>
          <w:rFonts w:asciiTheme="minorHAnsi" w:hAnsiTheme="minorHAnsi" w:cs="Arial"/>
          <w:i/>
          <w:color w:val="000000"/>
          <w:sz w:val="22"/>
          <w:szCs w:val="22"/>
        </w:rPr>
        <w:t>De fiscus past enkel de wet toe en tracht dat vanaf nu op een uniforme wijze te doen.”</w:t>
      </w:r>
      <w:r w:rsidRPr="00B331F1">
        <w:rPr>
          <w:rFonts w:asciiTheme="minorHAnsi" w:hAnsiTheme="minorHAnsi" w:cs="Arial"/>
          <w:color w:val="000000"/>
          <w:sz w:val="22"/>
          <w:szCs w:val="22"/>
        </w:rPr>
        <w:t xml:space="preserve"> (plenaire zitting, 5 februari 2015)</w:t>
      </w:r>
    </w:p>
    <w:p w:rsidR="00C45814" w:rsidRPr="00B331F1" w:rsidRDefault="00C45814" w:rsidP="00B331F1">
      <w:pPr>
        <w:spacing w:line="240" w:lineRule="atLeast"/>
        <w:jc w:val="both"/>
        <w:rPr>
          <w:rFonts w:asciiTheme="minorHAnsi" w:hAnsiTheme="minorHAnsi" w:cs="Arial"/>
          <w:sz w:val="22"/>
          <w:szCs w:val="22"/>
          <w:lang w:val="nl-BE"/>
        </w:rPr>
      </w:pPr>
    </w:p>
    <w:p w:rsidR="00D91143" w:rsidRPr="00B331F1" w:rsidRDefault="00D91143" w:rsidP="00B331F1">
      <w:pPr>
        <w:spacing w:line="240" w:lineRule="atLeast"/>
        <w:jc w:val="both"/>
        <w:rPr>
          <w:rFonts w:asciiTheme="minorHAnsi" w:hAnsiTheme="minorHAnsi" w:cs="Arial"/>
          <w:sz w:val="22"/>
          <w:szCs w:val="22"/>
          <w:lang w:val="nl-BE"/>
        </w:rPr>
      </w:pPr>
    </w:p>
    <w:p w:rsidR="008D711F" w:rsidRPr="00B331F1" w:rsidRDefault="004B7C23" w:rsidP="00B331F1">
      <w:pPr>
        <w:pStyle w:val="Lijstalinea"/>
        <w:numPr>
          <w:ilvl w:val="1"/>
          <w:numId w:val="3"/>
        </w:numPr>
        <w:spacing w:line="240" w:lineRule="atLeast"/>
        <w:jc w:val="both"/>
        <w:rPr>
          <w:rFonts w:asciiTheme="minorHAnsi" w:hAnsiTheme="minorHAnsi" w:cs="Arial"/>
          <w:i/>
          <w:sz w:val="22"/>
          <w:szCs w:val="22"/>
          <w:u w:val="single"/>
          <w:lang w:val="nl-BE"/>
        </w:rPr>
      </w:pPr>
      <w:r w:rsidRPr="00B331F1">
        <w:rPr>
          <w:rFonts w:asciiTheme="minorHAnsi" w:hAnsiTheme="minorHAnsi" w:cs="Arial"/>
          <w:i/>
          <w:sz w:val="22"/>
          <w:szCs w:val="22"/>
          <w:u w:val="single"/>
          <w:lang w:val="nl-BE"/>
        </w:rPr>
        <w:t>Wat is het oordeel van de Raad van State</w:t>
      </w:r>
    </w:p>
    <w:p w:rsidR="00C45814" w:rsidRPr="00B331F1" w:rsidRDefault="00C45814" w:rsidP="00B331F1">
      <w:pPr>
        <w:spacing w:line="240" w:lineRule="atLeast"/>
        <w:jc w:val="both"/>
        <w:rPr>
          <w:rFonts w:asciiTheme="minorHAnsi" w:hAnsiTheme="minorHAnsi" w:cs="Arial"/>
          <w:sz w:val="22"/>
          <w:szCs w:val="22"/>
          <w:lang w:val="nl-BE"/>
        </w:rPr>
      </w:pPr>
    </w:p>
    <w:p w:rsidR="00C91F66" w:rsidRPr="00B331F1" w:rsidRDefault="00C91F66" w:rsidP="00B331F1">
      <w:pPr>
        <w:spacing w:line="240" w:lineRule="atLeast"/>
        <w:jc w:val="both"/>
        <w:rPr>
          <w:rFonts w:asciiTheme="minorHAnsi" w:hAnsiTheme="minorHAnsi" w:cs="Arial"/>
          <w:sz w:val="22"/>
          <w:szCs w:val="22"/>
          <w:lang w:val="nl-BE"/>
        </w:rPr>
      </w:pPr>
    </w:p>
    <w:p w:rsidR="00C45814" w:rsidRPr="00B331F1" w:rsidRDefault="00C45814" w:rsidP="00B331F1">
      <w:pPr>
        <w:spacing w:line="240" w:lineRule="atLeast"/>
        <w:jc w:val="both"/>
        <w:rPr>
          <w:rFonts w:asciiTheme="minorHAnsi" w:hAnsiTheme="minorHAnsi" w:cs="Arial"/>
          <w:sz w:val="22"/>
          <w:szCs w:val="22"/>
          <w:lang w:val="nl-BE"/>
        </w:rPr>
      </w:pPr>
      <w:r w:rsidRPr="00B331F1">
        <w:rPr>
          <w:rFonts w:asciiTheme="minorHAnsi" w:hAnsiTheme="minorHAnsi" w:cs="Arial"/>
          <w:sz w:val="22"/>
          <w:szCs w:val="22"/>
          <w:lang w:val="nl-BE"/>
        </w:rPr>
        <w:t>Het oordeel van de auditeur van de Raad van State is heel duidelijk</w:t>
      </w:r>
      <w:r w:rsidR="00F24864" w:rsidRPr="00B331F1">
        <w:rPr>
          <w:rFonts w:asciiTheme="minorHAnsi" w:hAnsiTheme="minorHAnsi" w:cs="Arial"/>
          <w:sz w:val="22"/>
          <w:szCs w:val="22"/>
          <w:lang w:val="nl-BE"/>
        </w:rPr>
        <w:t xml:space="preserve"> en tegengesteld aan de uitleg van de minister</w:t>
      </w:r>
      <w:r w:rsidRPr="00B331F1">
        <w:rPr>
          <w:rFonts w:asciiTheme="minorHAnsi" w:hAnsiTheme="minorHAnsi" w:cs="Arial"/>
          <w:sz w:val="22"/>
          <w:szCs w:val="22"/>
          <w:lang w:val="nl-BE"/>
        </w:rPr>
        <w:t>.</w:t>
      </w:r>
    </w:p>
    <w:p w:rsidR="00C45814" w:rsidRPr="00B331F1" w:rsidRDefault="00C45814" w:rsidP="00B331F1">
      <w:pPr>
        <w:spacing w:line="240" w:lineRule="atLeast"/>
        <w:jc w:val="both"/>
        <w:rPr>
          <w:rFonts w:asciiTheme="minorHAnsi" w:hAnsiTheme="minorHAnsi" w:cs="Arial"/>
          <w:sz w:val="22"/>
          <w:szCs w:val="22"/>
          <w:lang w:val="nl-BE"/>
        </w:rPr>
      </w:pPr>
    </w:p>
    <w:p w:rsidR="00C45814" w:rsidRDefault="00C45814" w:rsidP="00B331F1">
      <w:pPr>
        <w:spacing w:line="240" w:lineRule="atLeast"/>
        <w:jc w:val="both"/>
        <w:rPr>
          <w:rFonts w:asciiTheme="minorHAnsi" w:hAnsiTheme="minorHAnsi" w:cs="Arial"/>
          <w:sz w:val="22"/>
          <w:szCs w:val="22"/>
          <w:lang w:val="nl-BE"/>
        </w:rPr>
      </w:pPr>
      <w:r w:rsidRPr="00B331F1">
        <w:rPr>
          <w:rFonts w:asciiTheme="minorHAnsi" w:hAnsiTheme="minorHAnsi" w:cs="Arial"/>
          <w:sz w:val="22"/>
          <w:szCs w:val="22"/>
          <w:lang w:val="nl-BE"/>
        </w:rPr>
        <w:lastRenderedPageBreak/>
        <w:t>Over de 100%-belastingverhoging uit de wet van 2003</w:t>
      </w:r>
      <w:r w:rsidR="006817AA">
        <w:rPr>
          <w:rFonts w:asciiTheme="minorHAnsi" w:hAnsiTheme="minorHAnsi" w:cs="Arial"/>
          <w:sz w:val="22"/>
          <w:szCs w:val="22"/>
          <w:lang w:val="nl-BE"/>
        </w:rPr>
        <w:t xml:space="preserve"> in punten 9.2.3 en 9.3 (gaat over zij die volharden en </w:t>
      </w:r>
      <w:r w:rsidR="00557D86">
        <w:rPr>
          <w:rFonts w:asciiTheme="minorHAnsi" w:hAnsiTheme="minorHAnsi" w:cs="Arial"/>
          <w:sz w:val="22"/>
          <w:szCs w:val="22"/>
          <w:lang w:val="nl-BE"/>
        </w:rPr>
        <w:t xml:space="preserve">sinds de eerste </w:t>
      </w:r>
      <w:r w:rsidR="006817AA">
        <w:rPr>
          <w:rFonts w:asciiTheme="minorHAnsi" w:hAnsiTheme="minorHAnsi" w:cs="Arial"/>
          <w:sz w:val="22"/>
          <w:szCs w:val="22"/>
          <w:lang w:val="nl-BE"/>
        </w:rPr>
        <w:t>regularisatie</w:t>
      </w:r>
      <w:r w:rsidR="00557D86">
        <w:rPr>
          <w:rFonts w:asciiTheme="minorHAnsi" w:hAnsiTheme="minorHAnsi" w:cs="Arial"/>
          <w:sz w:val="22"/>
          <w:szCs w:val="22"/>
          <w:lang w:val="nl-BE"/>
        </w:rPr>
        <w:t>ronde</w:t>
      </w:r>
      <w:r w:rsidR="006817AA">
        <w:rPr>
          <w:rFonts w:asciiTheme="minorHAnsi" w:hAnsiTheme="minorHAnsi" w:cs="Arial"/>
          <w:sz w:val="22"/>
          <w:szCs w:val="22"/>
          <w:lang w:val="nl-BE"/>
        </w:rPr>
        <w:t xml:space="preserve"> geweigerd hebben om in </w:t>
      </w:r>
      <w:r w:rsidR="00557D86">
        <w:rPr>
          <w:rFonts w:asciiTheme="minorHAnsi" w:hAnsiTheme="minorHAnsi" w:cs="Arial"/>
          <w:sz w:val="22"/>
          <w:szCs w:val="22"/>
          <w:lang w:val="nl-BE"/>
        </w:rPr>
        <w:t xml:space="preserve">de </w:t>
      </w:r>
      <w:r w:rsidR="006817AA">
        <w:rPr>
          <w:rFonts w:asciiTheme="minorHAnsi" w:hAnsiTheme="minorHAnsi" w:cs="Arial"/>
          <w:sz w:val="22"/>
          <w:szCs w:val="22"/>
          <w:lang w:val="nl-BE"/>
        </w:rPr>
        <w:t xml:space="preserve">regularisatie mee te stappen): </w:t>
      </w:r>
    </w:p>
    <w:p w:rsidR="006817AA" w:rsidRPr="00B331F1" w:rsidRDefault="006817AA" w:rsidP="00B331F1">
      <w:pPr>
        <w:spacing w:line="240" w:lineRule="atLeast"/>
        <w:jc w:val="both"/>
        <w:rPr>
          <w:rFonts w:asciiTheme="minorHAnsi" w:hAnsiTheme="minorHAnsi" w:cs="Arial"/>
          <w:sz w:val="22"/>
          <w:szCs w:val="22"/>
          <w:lang w:val="nl-BE"/>
        </w:rPr>
      </w:pPr>
    </w:p>
    <w:p w:rsidR="0047593C" w:rsidRPr="00B331F1" w:rsidRDefault="00C45814" w:rsidP="00B331F1">
      <w:pPr>
        <w:spacing w:line="240" w:lineRule="atLeast"/>
        <w:jc w:val="both"/>
        <w:rPr>
          <w:rFonts w:asciiTheme="minorHAnsi" w:hAnsiTheme="minorHAnsi" w:cs="Arial"/>
          <w:i/>
          <w:sz w:val="22"/>
          <w:szCs w:val="22"/>
          <w:lang w:val="nl-BE"/>
        </w:rPr>
      </w:pPr>
      <w:r w:rsidRPr="00B331F1">
        <w:rPr>
          <w:rFonts w:asciiTheme="minorHAnsi" w:hAnsiTheme="minorHAnsi" w:cs="Arial"/>
          <w:i/>
          <w:sz w:val="22"/>
          <w:szCs w:val="22"/>
          <w:lang w:val="nl-BE"/>
        </w:rPr>
        <w:t xml:space="preserve">“Op sommen, kapitalen of roerende waarden verworven voor 1 januari 2005 en waarvoor destijds geen gebruik werd gemaakt van de EBA-regularisatieprocedure, dient de belastingadministratie overeenkomstig artikel 9 van de wet van 31 december 2003 een belastingverhoging van 100% toe te passen wanneer deze alsnog zouden worden getaxeerd. Het betoog van de verwerende partij dat artikel 9 van </w:t>
      </w:r>
      <w:r w:rsidR="0047593C" w:rsidRPr="00B331F1">
        <w:rPr>
          <w:rFonts w:asciiTheme="minorHAnsi" w:hAnsiTheme="minorHAnsi" w:cs="Arial"/>
          <w:i/>
          <w:sz w:val="22"/>
          <w:szCs w:val="22"/>
          <w:lang w:val="nl-BE"/>
        </w:rPr>
        <w:t xml:space="preserve">de wet van 31 december 2003 enkel van toepassing is op regularisatieaangiften ingediend in de loop van het jaar 2004 kan niet worden bijgetreden. (…) </w:t>
      </w:r>
    </w:p>
    <w:p w:rsidR="00C45814" w:rsidRPr="00B331F1" w:rsidRDefault="0047593C" w:rsidP="00B331F1">
      <w:pPr>
        <w:spacing w:line="240" w:lineRule="atLeast"/>
        <w:jc w:val="both"/>
        <w:rPr>
          <w:rFonts w:asciiTheme="minorHAnsi" w:hAnsiTheme="minorHAnsi" w:cs="Arial"/>
          <w:i/>
          <w:sz w:val="22"/>
          <w:szCs w:val="22"/>
          <w:lang w:val="nl-BE"/>
        </w:rPr>
      </w:pPr>
      <w:r w:rsidRPr="00B331F1">
        <w:rPr>
          <w:rFonts w:asciiTheme="minorHAnsi" w:hAnsiTheme="minorHAnsi" w:cs="Arial"/>
          <w:i/>
          <w:sz w:val="22"/>
          <w:szCs w:val="22"/>
          <w:lang w:val="nl-BE"/>
        </w:rPr>
        <w:t xml:space="preserve">De bestreden beslissing wijkt in die mate af van artikel 9 van de wet van 31 december 2003. </w:t>
      </w:r>
      <w:r w:rsidRPr="00B331F1">
        <w:rPr>
          <w:rFonts w:asciiTheme="minorHAnsi" w:hAnsiTheme="minorHAnsi" w:cs="Arial"/>
          <w:i/>
          <w:sz w:val="22"/>
          <w:szCs w:val="22"/>
          <w:u w:val="single"/>
          <w:lang w:val="nl-BE"/>
        </w:rPr>
        <w:t>De fiscale administratie voegt op die wijze een nieuwe belastingrechtsnorm toe aan de rechtsorde, handeling waartoe zij overeenkomstig de ingeroepen grondwetsbepalingen niet bevoegd is.</w:t>
      </w:r>
      <w:r w:rsidRPr="00B331F1">
        <w:rPr>
          <w:rFonts w:asciiTheme="minorHAnsi" w:hAnsiTheme="minorHAnsi" w:cs="Arial"/>
          <w:i/>
          <w:sz w:val="22"/>
          <w:szCs w:val="22"/>
          <w:lang w:val="nl-BE"/>
        </w:rPr>
        <w:t>”</w:t>
      </w:r>
    </w:p>
    <w:p w:rsidR="0047593C" w:rsidRPr="00B331F1" w:rsidRDefault="0047593C" w:rsidP="00B331F1">
      <w:pPr>
        <w:spacing w:line="240" w:lineRule="atLeast"/>
        <w:jc w:val="both"/>
        <w:rPr>
          <w:rFonts w:asciiTheme="minorHAnsi" w:hAnsiTheme="minorHAnsi" w:cs="Arial"/>
          <w:sz w:val="22"/>
          <w:szCs w:val="22"/>
          <w:lang w:val="nl-BE"/>
        </w:rPr>
      </w:pPr>
    </w:p>
    <w:p w:rsidR="0047593C" w:rsidRPr="00B331F1" w:rsidRDefault="0047593C" w:rsidP="00B331F1">
      <w:pPr>
        <w:spacing w:line="240" w:lineRule="atLeast"/>
        <w:jc w:val="both"/>
        <w:rPr>
          <w:rFonts w:asciiTheme="minorHAnsi" w:hAnsiTheme="minorHAnsi" w:cs="Arial"/>
          <w:sz w:val="22"/>
          <w:szCs w:val="22"/>
          <w:lang w:val="nl-BE"/>
        </w:rPr>
      </w:pPr>
      <w:r w:rsidRPr="00B331F1">
        <w:rPr>
          <w:rFonts w:asciiTheme="minorHAnsi" w:hAnsiTheme="minorHAnsi" w:cs="Arial"/>
          <w:sz w:val="22"/>
          <w:szCs w:val="22"/>
          <w:lang w:val="nl-BE"/>
        </w:rPr>
        <w:t xml:space="preserve">Over de andere wettelijke tarieven (in punt 10.3): </w:t>
      </w:r>
    </w:p>
    <w:p w:rsidR="0047593C" w:rsidRPr="00B331F1" w:rsidRDefault="0047593C" w:rsidP="00B331F1">
      <w:pPr>
        <w:spacing w:line="240" w:lineRule="atLeast"/>
        <w:jc w:val="both"/>
        <w:rPr>
          <w:rFonts w:asciiTheme="minorHAnsi" w:hAnsiTheme="minorHAnsi" w:cs="Arial"/>
          <w:i/>
          <w:sz w:val="22"/>
          <w:szCs w:val="22"/>
          <w:lang w:val="nl-BE"/>
        </w:rPr>
      </w:pPr>
      <w:r w:rsidRPr="00B331F1">
        <w:rPr>
          <w:rFonts w:asciiTheme="minorHAnsi" w:hAnsiTheme="minorHAnsi" w:cs="Arial"/>
          <w:i/>
          <w:sz w:val="22"/>
          <w:szCs w:val="22"/>
          <w:lang w:val="nl-BE"/>
        </w:rPr>
        <w:t xml:space="preserve">“De fiscale ambtenaren tot wie de beslissing gericht is krijgen </w:t>
      </w:r>
      <w:r w:rsidRPr="00B331F1">
        <w:rPr>
          <w:rFonts w:asciiTheme="minorHAnsi" w:hAnsiTheme="minorHAnsi" w:cs="Arial"/>
          <w:i/>
          <w:sz w:val="22"/>
          <w:szCs w:val="22"/>
          <w:u w:val="single"/>
          <w:lang w:val="nl-BE"/>
        </w:rPr>
        <w:t>de instructie om zonder meer een op diverse vlakken van de betrokken wet- en regelgeving afwijkend stelsel van verhogingen toe te passen op de belastingplichtigen</w:t>
      </w:r>
      <w:r w:rsidRPr="00B331F1">
        <w:rPr>
          <w:rFonts w:asciiTheme="minorHAnsi" w:hAnsiTheme="minorHAnsi" w:cs="Arial"/>
          <w:i/>
          <w:sz w:val="22"/>
          <w:szCs w:val="22"/>
          <w:lang w:val="nl-BE"/>
        </w:rPr>
        <w:t xml:space="preserve">, zonder dat er verwezen wordt naar de op de betrokken situatie toepasselijke wet- en regelgeving. De bestreden instructie stelt zichzelf dus in de plaats van deze wet- en regelgeving. </w:t>
      </w:r>
      <w:r w:rsidRPr="00B331F1">
        <w:rPr>
          <w:rFonts w:asciiTheme="minorHAnsi" w:hAnsiTheme="minorHAnsi" w:cs="Arial"/>
          <w:i/>
          <w:sz w:val="22"/>
          <w:szCs w:val="22"/>
          <w:u w:val="single"/>
          <w:lang w:val="nl-BE"/>
        </w:rPr>
        <w:t>De fiscale administratie voegt op die wijze nieuwe rechtsnormen toe aan de rechtsorde, handeling waartoe zij, zoals reeds opgemerkt, niet bevoegd is.</w:t>
      </w:r>
      <w:r w:rsidRPr="00B331F1">
        <w:rPr>
          <w:rFonts w:asciiTheme="minorHAnsi" w:hAnsiTheme="minorHAnsi" w:cs="Arial"/>
          <w:i/>
          <w:sz w:val="22"/>
          <w:szCs w:val="22"/>
          <w:lang w:val="nl-BE"/>
        </w:rPr>
        <w:t>”</w:t>
      </w:r>
    </w:p>
    <w:p w:rsidR="0047593C" w:rsidRPr="00B331F1" w:rsidRDefault="0047593C" w:rsidP="00B331F1">
      <w:pPr>
        <w:spacing w:line="240" w:lineRule="atLeast"/>
        <w:jc w:val="both"/>
        <w:rPr>
          <w:rFonts w:asciiTheme="minorHAnsi" w:hAnsiTheme="minorHAnsi" w:cs="Arial"/>
          <w:sz w:val="22"/>
          <w:szCs w:val="22"/>
          <w:lang w:val="nl-BE"/>
        </w:rPr>
      </w:pPr>
    </w:p>
    <w:p w:rsidR="0047593C" w:rsidRPr="00B331F1" w:rsidRDefault="0047593C" w:rsidP="00B331F1">
      <w:pPr>
        <w:spacing w:line="240" w:lineRule="atLeast"/>
        <w:jc w:val="both"/>
        <w:rPr>
          <w:rFonts w:asciiTheme="minorHAnsi" w:hAnsiTheme="minorHAnsi" w:cs="Arial"/>
          <w:sz w:val="22"/>
          <w:szCs w:val="22"/>
          <w:lang w:val="nl-BE"/>
        </w:rPr>
      </w:pPr>
      <w:r w:rsidRPr="00B331F1">
        <w:rPr>
          <w:rFonts w:asciiTheme="minorHAnsi" w:hAnsiTheme="minorHAnsi" w:cs="Arial"/>
          <w:sz w:val="22"/>
          <w:szCs w:val="22"/>
          <w:lang w:val="nl-BE"/>
        </w:rPr>
        <w:t>Over de schending van de grondwet en van de rechten van het parlement (in punt 10.6):</w:t>
      </w:r>
    </w:p>
    <w:p w:rsidR="0047593C" w:rsidRPr="00B331F1" w:rsidRDefault="0047593C" w:rsidP="00B331F1">
      <w:pPr>
        <w:spacing w:line="240" w:lineRule="atLeast"/>
        <w:jc w:val="both"/>
        <w:rPr>
          <w:rFonts w:asciiTheme="minorHAnsi" w:hAnsiTheme="minorHAnsi" w:cs="Arial"/>
          <w:i/>
          <w:sz w:val="22"/>
          <w:szCs w:val="22"/>
          <w:lang w:val="nl-BE"/>
        </w:rPr>
      </w:pPr>
      <w:r w:rsidRPr="00B331F1">
        <w:rPr>
          <w:rFonts w:asciiTheme="minorHAnsi" w:hAnsiTheme="minorHAnsi" w:cs="Arial"/>
          <w:i/>
          <w:sz w:val="22"/>
          <w:szCs w:val="22"/>
          <w:lang w:val="nl-BE"/>
        </w:rPr>
        <w:t xml:space="preserve">“Door in de bestreden beslissing toch algemeen geldende regels op te leggen aan de fiscale ambtenaren, die op meerdere vlakken fundamenteel afwijken van deze die werden vastgesteld door de wetgever en de Koning in het kader van een rechtstreekse normatieve bevoegdheidsdelegatie door de wetgever, </w:t>
      </w:r>
      <w:r w:rsidRPr="00B331F1">
        <w:rPr>
          <w:rFonts w:asciiTheme="minorHAnsi" w:hAnsiTheme="minorHAnsi" w:cs="Arial"/>
          <w:i/>
          <w:sz w:val="22"/>
          <w:szCs w:val="22"/>
          <w:u w:val="single"/>
          <w:lang w:val="nl-BE"/>
        </w:rPr>
        <w:t>miskent de bestreden beslissing de grondwettelijke bevoegdheidsverdeling</w:t>
      </w:r>
      <w:r w:rsidRPr="00B331F1">
        <w:rPr>
          <w:rFonts w:asciiTheme="minorHAnsi" w:hAnsiTheme="minorHAnsi" w:cs="Arial"/>
          <w:i/>
          <w:sz w:val="22"/>
          <w:szCs w:val="22"/>
          <w:lang w:val="nl-BE"/>
        </w:rPr>
        <w:t xml:space="preserve"> tussen de wetgevende en de uitvoerende macht, alsook artikel 444 WIB 92 en artikel 70 WBTW. </w:t>
      </w:r>
      <w:r w:rsidRPr="00B331F1">
        <w:rPr>
          <w:rFonts w:asciiTheme="minorHAnsi" w:hAnsiTheme="minorHAnsi" w:cs="Arial"/>
          <w:i/>
          <w:sz w:val="22"/>
          <w:szCs w:val="22"/>
          <w:u w:val="single"/>
          <w:lang w:val="nl-BE"/>
        </w:rPr>
        <w:t>Hierdoor wordt tevens afbreuk gedaan aan de bevoegdheid en de prerogatieven van de Kamer van Volksvertegenwoordigers als tak van de wetgevende macht.</w:t>
      </w:r>
      <w:r w:rsidRPr="00B331F1">
        <w:rPr>
          <w:rFonts w:asciiTheme="minorHAnsi" w:hAnsiTheme="minorHAnsi" w:cs="Arial"/>
          <w:i/>
          <w:sz w:val="22"/>
          <w:szCs w:val="22"/>
          <w:lang w:val="nl-BE"/>
        </w:rPr>
        <w:t>”</w:t>
      </w:r>
    </w:p>
    <w:p w:rsidR="002B19E4" w:rsidRPr="00B331F1" w:rsidRDefault="002B19E4" w:rsidP="00B331F1">
      <w:pPr>
        <w:spacing w:line="240" w:lineRule="atLeast"/>
        <w:jc w:val="both"/>
        <w:rPr>
          <w:rFonts w:asciiTheme="minorHAnsi" w:hAnsiTheme="minorHAnsi" w:cs="Arial"/>
          <w:i/>
          <w:sz w:val="22"/>
          <w:szCs w:val="22"/>
          <w:lang w:val="nl-BE"/>
        </w:rPr>
      </w:pPr>
    </w:p>
    <w:p w:rsidR="00C45814" w:rsidRPr="00B331F1" w:rsidRDefault="00C45814" w:rsidP="00B331F1">
      <w:pPr>
        <w:spacing w:line="240" w:lineRule="atLeast"/>
        <w:jc w:val="both"/>
        <w:rPr>
          <w:rFonts w:asciiTheme="minorHAnsi" w:hAnsiTheme="minorHAnsi" w:cs="Arial"/>
          <w:sz w:val="22"/>
          <w:szCs w:val="22"/>
          <w:lang w:val="nl-BE"/>
        </w:rPr>
      </w:pPr>
    </w:p>
    <w:p w:rsidR="004B7C23" w:rsidRPr="00B331F1" w:rsidRDefault="00C8208A" w:rsidP="00B331F1">
      <w:pPr>
        <w:pStyle w:val="Lijstalinea"/>
        <w:numPr>
          <w:ilvl w:val="0"/>
          <w:numId w:val="1"/>
        </w:numPr>
        <w:spacing w:line="240" w:lineRule="atLeast"/>
        <w:jc w:val="both"/>
        <w:rPr>
          <w:rFonts w:asciiTheme="minorHAnsi" w:hAnsiTheme="minorHAnsi" w:cs="Arial"/>
          <w:b/>
          <w:sz w:val="22"/>
          <w:szCs w:val="22"/>
          <w:u w:val="single"/>
          <w:lang w:val="nl-BE"/>
        </w:rPr>
      </w:pPr>
      <w:r w:rsidRPr="00B331F1">
        <w:rPr>
          <w:rFonts w:asciiTheme="minorHAnsi" w:hAnsiTheme="minorHAnsi" w:cs="Arial"/>
          <w:b/>
          <w:sz w:val="22"/>
          <w:szCs w:val="22"/>
          <w:u w:val="single"/>
          <w:lang w:val="nl-BE"/>
        </w:rPr>
        <w:t>Conclusie</w:t>
      </w:r>
    </w:p>
    <w:p w:rsidR="008D711F" w:rsidRPr="00B331F1" w:rsidRDefault="008D711F" w:rsidP="00B331F1">
      <w:pPr>
        <w:spacing w:line="240" w:lineRule="atLeast"/>
        <w:jc w:val="both"/>
        <w:rPr>
          <w:rFonts w:asciiTheme="minorHAnsi" w:hAnsiTheme="minorHAnsi" w:cs="Arial"/>
          <w:sz w:val="22"/>
          <w:szCs w:val="22"/>
          <w:lang w:val="nl-BE"/>
        </w:rPr>
      </w:pPr>
    </w:p>
    <w:p w:rsidR="00C8208A" w:rsidRPr="00B331F1" w:rsidRDefault="00C8208A" w:rsidP="00B331F1">
      <w:pPr>
        <w:spacing w:line="240" w:lineRule="atLeast"/>
        <w:jc w:val="both"/>
        <w:rPr>
          <w:rFonts w:asciiTheme="minorHAnsi" w:hAnsiTheme="minorHAnsi" w:cs="Arial"/>
          <w:sz w:val="22"/>
          <w:szCs w:val="22"/>
          <w:lang w:val="nl-BE"/>
        </w:rPr>
      </w:pPr>
      <w:r w:rsidRPr="00B331F1">
        <w:rPr>
          <w:rFonts w:asciiTheme="minorHAnsi" w:hAnsiTheme="minorHAnsi" w:cs="Arial"/>
          <w:sz w:val="22"/>
          <w:szCs w:val="22"/>
          <w:lang w:val="nl-BE"/>
        </w:rPr>
        <w:t>De auditeur van de Ra</w:t>
      </w:r>
      <w:r w:rsidR="00F24864" w:rsidRPr="00B331F1">
        <w:rPr>
          <w:rFonts w:asciiTheme="minorHAnsi" w:hAnsiTheme="minorHAnsi" w:cs="Arial"/>
          <w:sz w:val="22"/>
          <w:szCs w:val="22"/>
          <w:lang w:val="nl-BE"/>
        </w:rPr>
        <w:t>ad van State volgt volledig</w:t>
      </w:r>
      <w:r w:rsidRPr="00B331F1">
        <w:rPr>
          <w:rFonts w:asciiTheme="minorHAnsi" w:hAnsiTheme="minorHAnsi" w:cs="Arial"/>
          <w:sz w:val="22"/>
          <w:szCs w:val="22"/>
          <w:lang w:val="nl-BE"/>
        </w:rPr>
        <w:t xml:space="preserve"> de argumentatie van de sp.a-fractie dat de </w:t>
      </w:r>
      <w:r w:rsidR="00C91F66" w:rsidRPr="00B331F1">
        <w:rPr>
          <w:rFonts w:asciiTheme="minorHAnsi" w:hAnsiTheme="minorHAnsi" w:cs="Arial"/>
          <w:sz w:val="22"/>
          <w:szCs w:val="22"/>
          <w:lang w:val="nl-BE"/>
        </w:rPr>
        <w:t xml:space="preserve">richtlijn </w:t>
      </w:r>
      <w:r w:rsidRPr="00B331F1">
        <w:rPr>
          <w:rFonts w:asciiTheme="minorHAnsi" w:hAnsiTheme="minorHAnsi" w:cs="Arial"/>
          <w:sz w:val="22"/>
          <w:szCs w:val="22"/>
          <w:lang w:val="nl-BE"/>
        </w:rPr>
        <w:t xml:space="preserve">ongrondwettelijk is én lagere boetetarieven hanteert dan deze die in de wet zijn voorzien. </w:t>
      </w:r>
    </w:p>
    <w:p w:rsidR="00C8208A" w:rsidRPr="00B331F1" w:rsidRDefault="00C8208A" w:rsidP="00B331F1">
      <w:pPr>
        <w:spacing w:line="240" w:lineRule="atLeast"/>
        <w:jc w:val="both"/>
        <w:rPr>
          <w:rFonts w:asciiTheme="minorHAnsi" w:hAnsiTheme="minorHAnsi" w:cs="Arial"/>
          <w:sz w:val="22"/>
          <w:szCs w:val="22"/>
          <w:lang w:val="nl-BE"/>
        </w:rPr>
      </w:pPr>
    </w:p>
    <w:p w:rsidR="00C8208A" w:rsidRPr="00B331F1" w:rsidRDefault="00C8208A" w:rsidP="00B331F1">
      <w:pPr>
        <w:spacing w:line="240" w:lineRule="atLeast"/>
        <w:jc w:val="both"/>
        <w:rPr>
          <w:rFonts w:asciiTheme="minorHAnsi" w:hAnsiTheme="minorHAnsi" w:cs="Arial"/>
          <w:sz w:val="22"/>
          <w:szCs w:val="22"/>
          <w:lang w:val="nl-BE"/>
        </w:rPr>
      </w:pPr>
      <w:r w:rsidRPr="00B331F1">
        <w:rPr>
          <w:rFonts w:asciiTheme="minorHAnsi" w:hAnsiTheme="minorHAnsi" w:cs="Arial"/>
          <w:sz w:val="22"/>
          <w:szCs w:val="22"/>
          <w:lang w:val="nl-BE"/>
        </w:rPr>
        <w:t xml:space="preserve">Minister Van Overtveldt heeft bij de Raad van State geen </w:t>
      </w:r>
      <w:r w:rsidR="00D54E4D">
        <w:rPr>
          <w:rFonts w:asciiTheme="minorHAnsi" w:hAnsiTheme="minorHAnsi" w:cs="Arial"/>
          <w:sz w:val="22"/>
          <w:szCs w:val="22"/>
          <w:lang w:val="nl-BE"/>
        </w:rPr>
        <w:t>voorzetting van de procedure gevraagd</w:t>
      </w:r>
      <w:r w:rsidRPr="00B331F1">
        <w:rPr>
          <w:rFonts w:asciiTheme="minorHAnsi" w:hAnsiTheme="minorHAnsi" w:cs="Arial"/>
          <w:sz w:val="22"/>
          <w:szCs w:val="22"/>
          <w:lang w:val="nl-BE"/>
        </w:rPr>
        <w:t xml:space="preserve">, waardoor de Raad van State de vernietiging van de </w:t>
      </w:r>
      <w:r w:rsidR="002B19E4" w:rsidRPr="00B331F1">
        <w:rPr>
          <w:rFonts w:asciiTheme="minorHAnsi" w:hAnsiTheme="minorHAnsi" w:cs="Arial"/>
          <w:sz w:val="22"/>
          <w:szCs w:val="22"/>
          <w:lang w:val="nl-BE"/>
        </w:rPr>
        <w:t>richtlijn</w:t>
      </w:r>
      <w:r w:rsidRPr="00B331F1">
        <w:rPr>
          <w:rFonts w:asciiTheme="minorHAnsi" w:hAnsiTheme="minorHAnsi" w:cs="Arial"/>
          <w:sz w:val="22"/>
          <w:szCs w:val="22"/>
          <w:lang w:val="nl-BE"/>
        </w:rPr>
        <w:t xml:space="preserve"> zal uitspreken</w:t>
      </w:r>
    </w:p>
    <w:p w:rsidR="00C8208A" w:rsidRDefault="00C8208A" w:rsidP="00B331F1">
      <w:pPr>
        <w:spacing w:line="240" w:lineRule="atLeast"/>
        <w:jc w:val="both"/>
        <w:rPr>
          <w:rFonts w:asciiTheme="minorHAnsi" w:hAnsiTheme="minorHAnsi" w:cs="Arial"/>
          <w:color w:val="000000"/>
          <w:sz w:val="22"/>
          <w:szCs w:val="22"/>
        </w:rPr>
      </w:pPr>
      <w:r w:rsidRPr="00B331F1">
        <w:rPr>
          <w:rFonts w:asciiTheme="minorHAnsi" w:hAnsiTheme="minorHAnsi" w:cs="Arial"/>
          <w:sz w:val="22"/>
          <w:szCs w:val="22"/>
          <w:lang w:val="nl-BE"/>
        </w:rPr>
        <w:t xml:space="preserve">Deze vernietiging zet de eerdere uitspraken van de minister ter verdediging van de instructie in een heel ander daglicht. Net zoals die van de CD&amp;V-collega’s. Zoals de heer Van Rompuy die zei: </w:t>
      </w:r>
      <w:r w:rsidRPr="00B331F1">
        <w:rPr>
          <w:rFonts w:asciiTheme="minorHAnsi" w:hAnsiTheme="minorHAnsi" w:cs="Arial"/>
          <w:i/>
          <w:sz w:val="22"/>
          <w:szCs w:val="22"/>
          <w:lang w:val="nl-BE"/>
        </w:rPr>
        <w:t>“</w:t>
      </w:r>
      <w:r w:rsidRPr="00B331F1">
        <w:rPr>
          <w:rFonts w:asciiTheme="minorHAnsi" w:hAnsiTheme="minorHAnsi" w:cs="Arial"/>
          <w:i/>
          <w:sz w:val="22"/>
          <w:szCs w:val="22"/>
        </w:rPr>
        <w:t>Er moet een einde komen aan de misleiding van de publieke opinie in dat dossier</w:t>
      </w:r>
      <w:r w:rsidRPr="00B331F1">
        <w:rPr>
          <w:rFonts w:asciiTheme="minorHAnsi" w:hAnsiTheme="minorHAnsi" w:cs="Arial"/>
          <w:i/>
          <w:color w:val="000000"/>
          <w:sz w:val="22"/>
          <w:szCs w:val="22"/>
        </w:rPr>
        <w:t>. (…) Als de socialisten en de groenen die toer opgaan, is dat gevaarlijke demagogie, alsof de BBI onder druk van de regering fraude zou willen regulariseren. Dit is onaanvaardbaar!”</w:t>
      </w:r>
      <w:r w:rsidRPr="00B331F1">
        <w:rPr>
          <w:rFonts w:asciiTheme="minorHAnsi" w:hAnsiTheme="minorHAnsi" w:cs="Arial"/>
          <w:sz w:val="22"/>
          <w:szCs w:val="22"/>
          <w:lang w:val="nl-BE"/>
        </w:rPr>
        <w:t xml:space="preserve"> (plenaire zitting op 26 februari 2015) Diezelfde Van Rompuy zei twee weken eerder nog </w:t>
      </w:r>
      <w:r w:rsidRPr="00B331F1">
        <w:rPr>
          <w:rFonts w:asciiTheme="minorHAnsi" w:hAnsiTheme="minorHAnsi" w:cs="Arial"/>
          <w:i/>
          <w:color w:val="000000"/>
          <w:sz w:val="22"/>
          <w:szCs w:val="22"/>
        </w:rPr>
        <w:t xml:space="preserve">“Het zou heel erg zijn als men instructies zou geven om buiten de wet te gaan.” </w:t>
      </w:r>
      <w:r w:rsidRPr="00B331F1">
        <w:rPr>
          <w:rFonts w:asciiTheme="minorHAnsi" w:hAnsiTheme="minorHAnsi" w:cs="Arial"/>
          <w:color w:val="000000"/>
          <w:sz w:val="22"/>
          <w:szCs w:val="22"/>
        </w:rPr>
        <w:t>Wel, dat is natuurlijk precies wat er gebeurd is …</w:t>
      </w:r>
    </w:p>
    <w:p w:rsidR="00557D86" w:rsidRPr="00B331F1" w:rsidRDefault="00557D86" w:rsidP="00B331F1">
      <w:pPr>
        <w:spacing w:line="240" w:lineRule="atLeast"/>
        <w:jc w:val="both"/>
        <w:rPr>
          <w:rFonts w:asciiTheme="minorHAnsi" w:hAnsiTheme="minorHAnsi" w:cs="Arial"/>
          <w:sz w:val="22"/>
          <w:szCs w:val="22"/>
          <w:lang w:val="nl-BE"/>
        </w:rPr>
      </w:pPr>
    </w:p>
    <w:p w:rsidR="00C8208A" w:rsidRPr="00B331F1" w:rsidRDefault="00C8208A" w:rsidP="00B331F1">
      <w:pPr>
        <w:spacing w:line="240" w:lineRule="atLeast"/>
        <w:jc w:val="both"/>
        <w:rPr>
          <w:rFonts w:asciiTheme="minorHAnsi" w:hAnsiTheme="minorHAnsi" w:cs="Arial"/>
          <w:sz w:val="22"/>
          <w:szCs w:val="22"/>
          <w:lang w:val="nl-BE"/>
        </w:rPr>
      </w:pPr>
    </w:p>
    <w:p w:rsidR="00F24864" w:rsidRPr="00B331F1" w:rsidRDefault="00F24864" w:rsidP="00B331F1">
      <w:pPr>
        <w:pStyle w:val="Lijstalinea"/>
        <w:numPr>
          <w:ilvl w:val="0"/>
          <w:numId w:val="1"/>
        </w:numPr>
        <w:spacing w:line="240" w:lineRule="atLeast"/>
        <w:jc w:val="both"/>
        <w:rPr>
          <w:rFonts w:asciiTheme="minorHAnsi" w:hAnsiTheme="minorHAnsi" w:cs="Arial"/>
          <w:b/>
          <w:sz w:val="22"/>
          <w:szCs w:val="22"/>
          <w:u w:val="single"/>
          <w:lang w:val="nl-BE"/>
        </w:rPr>
      </w:pPr>
      <w:r w:rsidRPr="00B331F1">
        <w:rPr>
          <w:rFonts w:asciiTheme="minorHAnsi" w:hAnsiTheme="minorHAnsi" w:cs="Arial"/>
          <w:b/>
          <w:sz w:val="22"/>
          <w:szCs w:val="22"/>
          <w:u w:val="single"/>
          <w:lang w:val="nl-BE"/>
        </w:rPr>
        <w:t xml:space="preserve">Wat is het gevolg voor de reeds behandelde dossiers? </w:t>
      </w:r>
    </w:p>
    <w:p w:rsidR="00F24864" w:rsidRPr="00B331F1" w:rsidRDefault="00F24864" w:rsidP="00B331F1">
      <w:pPr>
        <w:spacing w:line="240" w:lineRule="atLeast"/>
        <w:jc w:val="both"/>
        <w:rPr>
          <w:rFonts w:asciiTheme="minorHAnsi" w:hAnsiTheme="minorHAnsi" w:cs="Arial"/>
          <w:sz w:val="22"/>
          <w:szCs w:val="22"/>
          <w:lang w:val="nl-BE"/>
        </w:rPr>
      </w:pPr>
    </w:p>
    <w:p w:rsidR="00F24864" w:rsidRPr="00B331F1" w:rsidRDefault="00F24864" w:rsidP="00B331F1">
      <w:pPr>
        <w:spacing w:line="240" w:lineRule="atLeast"/>
        <w:jc w:val="both"/>
        <w:rPr>
          <w:rFonts w:asciiTheme="minorHAnsi" w:hAnsiTheme="minorHAnsi" w:cs="Arial"/>
          <w:sz w:val="22"/>
          <w:szCs w:val="22"/>
          <w:lang w:val="nl-BE"/>
        </w:rPr>
      </w:pPr>
      <w:r w:rsidRPr="00B331F1">
        <w:rPr>
          <w:rFonts w:asciiTheme="minorHAnsi" w:hAnsiTheme="minorHAnsi" w:cs="Arial"/>
          <w:sz w:val="22"/>
          <w:szCs w:val="22"/>
          <w:lang w:val="nl-BE"/>
        </w:rPr>
        <w:t xml:space="preserve">De </w:t>
      </w:r>
      <w:r w:rsidR="002B19E4" w:rsidRPr="00B331F1">
        <w:rPr>
          <w:rFonts w:asciiTheme="minorHAnsi" w:hAnsiTheme="minorHAnsi" w:cs="Arial"/>
          <w:sz w:val="22"/>
          <w:szCs w:val="22"/>
          <w:lang w:val="nl-BE"/>
        </w:rPr>
        <w:t xml:space="preserve">richtlijn </w:t>
      </w:r>
      <w:r w:rsidRPr="00B331F1">
        <w:rPr>
          <w:rFonts w:asciiTheme="minorHAnsi" w:hAnsiTheme="minorHAnsi" w:cs="Arial"/>
          <w:sz w:val="22"/>
          <w:szCs w:val="22"/>
          <w:lang w:val="nl-BE"/>
        </w:rPr>
        <w:t xml:space="preserve">wordt met terugwerkende kracht vernietigd. De beslissingen zijn dus onwettelijk tot stand gekomen, maar ze worden niet automatisch mee vernietigd. </w:t>
      </w:r>
    </w:p>
    <w:p w:rsidR="00F24864" w:rsidRPr="00B331F1" w:rsidRDefault="00F24864" w:rsidP="00B331F1">
      <w:pPr>
        <w:spacing w:line="240" w:lineRule="atLeast"/>
        <w:jc w:val="both"/>
        <w:rPr>
          <w:rFonts w:asciiTheme="minorHAnsi" w:hAnsiTheme="minorHAnsi" w:cs="Arial"/>
          <w:sz w:val="22"/>
          <w:szCs w:val="22"/>
          <w:lang w:val="nl-BE"/>
        </w:rPr>
      </w:pPr>
    </w:p>
    <w:p w:rsidR="00F24864" w:rsidRPr="00B331F1" w:rsidRDefault="00F24864" w:rsidP="00B331F1">
      <w:pPr>
        <w:spacing w:line="240" w:lineRule="atLeast"/>
        <w:jc w:val="both"/>
        <w:rPr>
          <w:rFonts w:asciiTheme="minorHAnsi" w:hAnsiTheme="minorHAnsi" w:cs="Arial"/>
          <w:sz w:val="22"/>
          <w:szCs w:val="22"/>
          <w:lang w:val="nl-BE"/>
        </w:rPr>
      </w:pPr>
      <w:r w:rsidRPr="00B331F1">
        <w:rPr>
          <w:rFonts w:asciiTheme="minorHAnsi" w:hAnsiTheme="minorHAnsi" w:cs="Arial"/>
          <w:sz w:val="22"/>
          <w:szCs w:val="22"/>
          <w:lang w:val="nl-BE"/>
        </w:rPr>
        <w:t xml:space="preserve">Dit belet niet dat de fiscale administratie ambtshalve een nieuwe wijziging kan doorvoeren. Jaarlijks worden talloze ambtshalve wijzigingen doorgevoerd ook nadat een officiële aanslag werd vastgelegd en betaald. </w:t>
      </w:r>
    </w:p>
    <w:p w:rsidR="00F24864" w:rsidRPr="00B331F1" w:rsidRDefault="00F24864" w:rsidP="00B331F1">
      <w:pPr>
        <w:spacing w:line="240" w:lineRule="atLeast"/>
        <w:jc w:val="both"/>
        <w:rPr>
          <w:rFonts w:asciiTheme="minorHAnsi" w:hAnsiTheme="minorHAnsi" w:cs="Arial"/>
          <w:sz w:val="22"/>
          <w:szCs w:val="22"/>
          <w:lang w:val="nl-BE"/>
        </w:rPr>
      </w:pPr>
    </w:p>
    <w:p w:rsidR="00F24864" w:rsidRPr="00B331F1" w:rsidRDefault="00F24864" w:rsidP="00B331F1">
      <w:pPr>
        <w:spacing w:line="240" w:lineRule="atLeast"/>
        <w:jc w:val="both"/>
        <w:rPr>
          <w:rFonts w:asciiTheme="minorHAnsi" w:hAnsiTheme="minorHAnsi" w:cs="Arial"/>
          <w:sz w:val="22"/>
          <w:szCs w:val="22"/>
          <w:lang w:val="nl-BE"/>
        </w:rPr>
      </w:pPr>
      <w:r w:rsidRPr="00B331F1">
        <w:rPr>
          <w:rFonts w:asciiTheme="minorHAnsi" w:hAnsiTheme="minorHAnsi" w:cs="Arial"/>
          <w:sz w:val="22"/>
          <w:szCs w:val="22"/>
          <w:lang w:val="nl-BE"/>
        </w:rPr>
        <w:t xml:space="preserve">sp.a vraagt dat minister </w:t>
      </w:r>
      <w:r w:rsidR="002B19E4" w:rsidRPr="00B331F1">
        <w:rPr>
          <w:rFonts w:asciiTheme="minorHAnsi" w:hAnsiTheme="minorHAnsi" w:cs="Arial"/>
          <w:sz w:val="22"/>
          <w:szCs w:val="22"/>
          <w:lang w:val="nl-BE"/>
        </w:rPr>
        <w:t xml:space="preserve">Van Overtveldt </w:t>
      </w:r>
      <w:r w:rsidRPr="00B331F1">
        <w:rPr>
          <w:rFonts w:asciiTheme="minorHAnsi" w:hAnsiTheme="minorHAnsi" w:cs="Arial"/>
          <w:sz w:val="22"/>
          <w:szCs w:val="22"/>
          <w:lang w:val="nl-BE"/>
        </w:rPr>
        <w:t xml:space="preserve">dit nu ook met de reeds besliste dossiers doet. </w:t>
      </w:r>
    </w:p>
    <w:p w:rsidR="00F24864" w:rsidRPr="00B331F1" w:rsidRDefault="00F24864" w:rsidP="00B331F1">
      <w:pPr>
        <w:spacing w:line="240" w:lineRule="atLeast"/>
        <w:jc w:val="both"/>
        <w:rPr>
          <w:rFonts w:asciiTheme="minorHAnsi" w:hAnsiTheme="minorHAnsi" w:cs="Arial"/>
          <w:sz w:val="22"/>
          <w:szCs w:val="22"/>
          <w:lang w:val="nl-BE"/>
        </w:rPr>
      </w:pPr>
    </w:p>
    <w:p w:rsidR="00F24864" w:rsidRPr="00B331F1" w:rsidRDefault="00F24864" w:rsidP="00B331F1">
      <w:pPr>
        <w:spacing w:line="240" w:lineRule="atLeast"/>
        <w:jc w:val="both"/>
        <w:rPr>
          <w:rFonts w:asciiTheme="minorHAnsi" w:hAnsiTheme="minorHAnsi" w:cs="Arial"/>
          <w:sz w:val="22"/>
          <w:szCs w:val="22"/>
          <w:lang w:val="nl-BE"/>
        </w:rPr>
      </w:pPr>
      <w:r w:rsidRPr="00B331F1">
        <w:rPr>
          <w:rFonts w:asciiTheme="minorHAnsi" w:hAnsiTheme="minorHAnsi" w:cs="Arial"/>
          <w:sz w:val="22"/>
          <w:szCs w:val="22"/>
          <w:lang w:val="nl-BE"/>
        </w:rPr>
        <w:t xml:space="preserve">Als de minister dit niet doet, bijvoorbeeld omwille van de “rechtszekerheid”, moet hij </w:t>
      </w:r>
      <w:r w:rsidR="00DA239B" w:rsidRPr="00B331F1">
        <w:rPr>
          <w:rFonts w:asciiTheme="minorHAnsi" w:hAnsiTheme="minorHAnsi" w:cs="Arial"/>
          <w:sz w:val="22"/>
          <w:szCs w:val="22"/>
          <w:lang w:val="nl-BE"/>
        </w:rPr>
        <w:t xml:space="preserve">de lijn doortrekken </w:t>
      </w:r>
      <w:r w:rsidRPr="00B331F1">
        <w:rPr>
          <w:rFonts w:asciiTheme="minorHAnsi" w:hAnsiTheme="minorHAnsi" w:cs="Arial"/>
          <w:sz w:val="22"/>
          <w:szCs w:val="22"/>
          <w:lang w:val="nl-BE"/>
        </w:rPr>
        <w:t xml:space="preserve">zijn en ook stoppen met gewone Belgen na een officiële aanslag een herziening te sturen die hen meer kost dan in de aanslag voorzien. Als de minister de behandelde dossiers niet heropent, heeft in elk geval iedere belastingplichtige een goed argument om iedere ambtshalve wijziging die hem/haar meer kost te weigeren. </w:t>
      </w:r>
    </w:p>
    <w:p w:rsidR="00F24864" w:rsidRDefault="00F24864" w:rsidP="00B331F1">
      <w:pPr>
        <w:spacing w:line="240" w:lineRule="atLeast"/>
        <w:jc w:val="both"/>
        <w:rPr>
          <w:rFonts w:asciiTheme="minorHAnsi" w:hAnsiTheme="minorHAnsi" w:cs="Arial"/>
          <w:sz w:val="22"/>
          <w:szCs w:val="22"/>
          <w:lang w:val="nl-BE"/>
        </w:rPr>
      </w:pPr>
    </w:p>
    <w:p w:rsidR="007B2012" w:rsidRDefault="007B2012" w:rsidP="00B331F1">
      <w:pPr>
        <w:spacing w:line="240" w:lineRule="atLeast"/>
        <w:jc w:val="both"/>
        <w:rPr>
          <w:rFonts w:asciiTheme="minorHAnsi" w:hAnsiTheme="minorHAnsi" w:cs="Arial"/>
          <w:sz w:val="22"/>
          <w:szCs w:val="22"/>
          <w:lang w:val="nl-BE"/>
        </w:rPr>
      </w:pPr>
      <w:r>
        <w:rPr>
          <w:rFonts w:asciiTheme="minorHAnsi" w:hAnsiTheme="minorHAnsi" w:cs="Arial"/>
          <w:sz w:val="22"/>
          <w:szCs w:val="22"/>
          <w:lang w:val="nl-BE"/>
        </w:rPr>
        <w:t>Het is daarenboven toch wel onwaarschijnlijk dat de minister het argument van de “rechtszekerheid” inroept voor onwettige situaties die hij zelf in het leven heeft geroepen ondanks vele waarschuwingen op voorhand. “Rechtszekerheid” betekent dat de overheid aan zijn burgers  zekerheid moet bieden dat het recht wordt toegepast. In de interpretatie van de minister wordt zekerheid geboden voor onwettige situaties.</w:t>
      </w:r>
    </w:p>
    <w:p w:rsidR="007B2012" w:rsidRPr="00B331F1" w:rsidRDefault="007B2012" w:rsidP="00B331F1">
      <w:pPr>
        <w:spacing w:line="240" w:lineRule="atLeast"/>
        <w:jc w:val="both"/>
        <w:rPr>
          <w:rFonts w:asciiTheme="minorHAnsi" w:hAnsiTheme="minorHAnsi" w:cs="Arial"/>
          <w:sz w:val="22"/>
          <w:szCs w:val="22"/>
          <w:lang w:val="nl-BE"/>
        </w:rPr>
      </w:pPr>
      <w:r>
        <w:rPr>
          <w:rFonts w:asciiTheme="minorHAnsi" w:hAnsiTheme="minorHAnsi" w:cs="Arial"/>
          <w:sz w:val="22"/>
          <w:szCs w:val="22"/>
          <w:lang w:val="nl-BE"/>
        </w:rPr>
        <w:t xml:space="preserve"> </w:t>
      </w:r>
    </w:p>
    <w:p w:rsidR="00F24864" w:rsidRPr="00B331F1" w:rsidRDefault="00F24864" w:rsidP="00B331F1">
      <w:pPr>
        <w:spacing w:line="240" w:lineRule="atLeast"/>
        <w:jc w:val="both"/>
        <w:rPr>
          <w:rFonts w:asciiTheme="minorHAnsi" w:hAnsiTheme="minorHAnsi" w:cs="Arial"/>
          <w:sz w:val="22"/>
          <w:szCs w:val="22"/>
          <w:lang w:val="nl-BE"/>
        </w:rPr>
      </w:pPr>
      <w:r w:rsidRPr="00B331F1">
        <w:rPr>
          <w:rFonts w:asciiTheme="minorHAnsi" w:hAnsiTheme="minorHAnsi" w:cs="Arial"/>
          <w:sz w:val="22"/>
          <w:szCs w:val="22"/>
          <w:lang w:val="nl-BE"/>
        </w:rPr>
        <w:t>Er is</w:t>
      </w:r>
      <w:r w:rsidR="00DA239B" w:rsidRPr="00B331F1">
        <w:rPr>
          <w:rFonts w:asciiTheme="minorHAnsi" w:hAnsiTheme="minorHAnsi" w:cs="Arial"/>
          <w:sz w:val="22"/>
          <w:szCs w:val="22"/>
          <w:lang w:val="nl-BE"/>
        </w:rPr>
        <w:t xml:space="preserve"> voor sp.a</w:t>
      </w:r>
      <w:r w:rsidRPr="00B331F1">
        <w:rPr>
          <w:rFonts w:asciiTheme="minorHAnsi" w:hAnsiTheme="minorHAnsi" w:cs="Arial"/>
          <w:sz w:val="22"/>
          <w:szCs w:val="22"/>
          <w:lang w:val="nl-BE"/>
        </w:rPr>
        <w:t xml:space="preserve"> geen reden om de gewone belastingplichtigen slechter te behandelen dan de fiscale zondaars. </w:t>
      </w:r>
    </w:p>
    <w:p w:rsidR="002B19E4" w:rsidRPr="00B331F1" w:rsidRDefault="002B19E4" w:rsidP="00B331F1">
      <w:pPr>
        <w:spacing w:line="240" w:lineRule="atLeast"/>
        <w:jc w:val="both"/>
        <w:rPr>
          <w:rFonts w:asciiTheme="minorHAnsi" w:hAnsiTheme="minorHAnsi" w:cs="Arial"/>
          <w:sz w:val="22"/>
          <w:szCs w:val="22"/>
          <w:lang w:val="nl-BE"/>
        </w:rPr>
      </w:pPr>
    </w:p>
    <w:p w:rsidR="00F24864" w:rsidRPr="00B331F1" w:rsidRDefault="00F24864" w:rsidP="00B331F1">
      <w:pPr>
        <w:spacing w:line="240" w:lineRule="atLeast"/>
        <w:jc w:val="both"/>
        <w:rPr>
          <w:rFonts w:asciiTheme="minorHAnsi" w:hAnsiTheme="minorHAnsi" w:cs="Arial"/>
          <w:sz w:val="22"/>
          <w:szCs w:val="22"/>
          <w:lang w:val="nl-BE"/>
        </w:rPr>
      </w:pPr>
    </w:p>
    <w:p w:rsidR="004B7C23" w:rsidRPr="00B331F1" w:rsidRDefault="004B7C23" w:rsidP="00B331F1">
      <w:pPr>
        <w:pStyle w:val="Lijstalinea"/>
        <w:numPr>
          <w:ilvl w:val="0"/>
          <w:numId w:val="1"/>
        </w:numPr>
        <w:spacing w:line="240" w:lineRule="atLeast"/>
        <w:jc w:val="both"/>
        <w:rPr>
          <w:rFonts w:asciiTheme="minorHAnsi" w:hAnsiTheme="minorHAnsi" w:cs="Arial"/>
          <w:b/>
          <w:sz w:val="22"/>
          <w:szCs w:val="22"/>
          <w:u w:val="single"/>
          <w:lang w:val="nl-BE"/>
        </w:rPr>
      </w:pPr>
      <w:r w:rsidRPr="00B331F1">
        <w:rPr>
          <w:rFonts w:asciiTheme="minorHAnsi" w:hAnsiTheme="minorHAnsi" w:cs="Arial"/>
          <w:b/>
          <w:sz w:val="22"/>
          <w:szCs w:val="22"/>
          <w:u w:val="single"/>
          <w:lang w:val="nl-BE"/>
        </w:rPr>
        <w:t>Wat gebeurt er met de nog niet behandelde dossiers?</w:t>
      </w:r>
    </w:p>
    <w:p w:rsidR="008D711F" w:rsidRPr="00B331F1" w:rsidRDefault="008D711F" w:rsidP="00B331F1">
      <w:pPr>
        <w:spacing w:line="240" w:lineRule="atLeast"/>
        <w:jc w:val="both"/>
        <w:rPr>
          <w:rFonts w:asciiTheme="minorHAnsi" w:hAnsiTheme="minorHAnsi" w:cs="Arial"/>
          <w:sz w:val="22"/>
          <w:szCs w:val="22"/>
          <w:lang w:val="nl-BE"/>
        </w:rPr>
      </w:pPr>
    </w:p>
    <w:p w:rsidR="006C264B" w:rsidRPr="00B331F1" w:rsidRDefault="006C264B" w:rsidP="00B331F1">
      <w:pPr>
        <w:spacing w:line="240" w:lineRule="atLeast"/>
        <w:jc w:val="both"/>
        <w:rPr>
          <w:rFonts w:asciiTheme="minorHAnsi" w:hAnsiTheme="minorHAnsi" w:cs="Arial"/>
          <w:sz w:val="22"/>
          <w:szCs w:val="22"/>
          <w:lang w:val="nl-BE"/>
        </w:rPr>
      </w:pPr>
      <w:r w:rsidRPr="00B331F1">
        <w:rPr>
          <w:rFonts w:asciiTheme="minorHAnsi" w:hAnsiTheme="minorHAnsi" w:cs="Arial"/>
          <w:sz w:val="22"/>
          <w:szCs w:val="22"/>
          <w:lang w:val="nl-BE"/>
        </w:rPr>
        <w:t xml:space="preserve">Nu de </w:t>
      </w:r>
      <w:r w:rsidR="002B19E4" w:rsidRPr="00B331F1">
        <w:rPr>
          <w:rFonts w:asciiTheme="minorHAnsi" w:hAnsiTheme="minorHAnsi" w:cs="Arial"/>
          <w:sz w:val="22"/>
          <w:szCs w:val="22"/>
          <w:lang w:val="nl-BE"/>
        </w:rPr>
        <w:t xml:space="preserve">richtlijn </w:t>
      </w:r>
      <w:r w:rsidRPr="00B331F1">
        <w:rPr>
          <w:rFonts w:asciiTheme="minorHAnsi" w:hAnsiTheme="minorHAnsi" w:cs="Arial"/>
          <w:sz w:val="22"/>
          <w:szCs w:val="22"/>
          <w:lang w:val="nl-BE"/>
        </w:rPr>
        <w:t xml:space="preserve"> vernietigd </w:t>
      </w:r>
      <w:r w:rsidR="00F24864" w:rsidRPr="00B331F1">
        <w:rPr>
          <w:rFonts w:asciiTheme="minorHAnsi" w:hAnsiTheme="minorHAnsi" w:cs="Arial"/>
          <w:sz w:val="22"/>
          <w:szCs w:val="22"/>
          <w:lang w:val="nl-BE"/>
        </w:rPr>
        <w:t>zal worden</w:t>
      </w:r>
      <w:r w:rsidRPr="00B331F1">
        <w:rPr>
          <w:rFonts w:asciiTheme="minorHAnsi" w:hAnsiTheme="minorHAnsi" w:cs="Arial"/>
          <w:sz w:val="22"/>
          <w:szCs w:val="22"/>
          <w:lang w:val="nl-BE"/>
        </w:rPr>
        <w:t xml:space="preserve"> door de Raad van State, kunnen mensen ook niet meer op die basis spontaan aangifte komen doen, maar </w:t>
      </w:r>
      <w:r w:rsidR="00F24864" w:rsidRPr="00B331F1">
        <w:rPr>
          <w:rFonts w:asciiTheme="minorHAnsi" w:hAnsiTheme="minorHAnsi" w:cs="Arial"/>
          <w:sz w:val="22"/>
          <w:szCs w:val="22"/>
          <w:lang w:val="nl-BE"/>
        </w:rPr>
        <w:t>moeten</w:t>
      </w:r>
      <w:r w:rsidRPr="00B331F1">
        <w:rPr>
          <w:rFonts w:asciiTheme="minorHAnsi" w:hAnsiTheme="minorHAnsi" w:cs="Arial"/>
          <w:sz w:val="22"/>
          <w:szCs w:val="22"/>
          <w:lang w:val="nl-BE"/>
        </w:rPr>
        <w:t xml:space="preserve"> de wettelijke tarieven gelden. </w:t>
      </w:r>
    </w:p>
    <w:p w:rsidR="006C264B" w:rsidRPr="00B331F1" w:rsidRDefault="006C264B" w:rsidP="00B331F1">
      <w:pPr>
        <w:spacing w:line="240" w:lineRule="atLeast"/>
        <w:jc w:val="both"/>
        <w:rPr>
          <w:rFonts w:asciiTheme="minorHAnsi" w:hAnsiTheme="minorHAnsi" w:cs="Arial"/>
          <w:sz w:val="22"/>
          <w:szCs w:val="22"/>
          <w:lang w:val="nl-BE"/>
        </w:rPr>
      </w:pPr>
    </w:p>
    <w:p w:rsidR="003B1C03" w:rsidRPr="00B331F1" w:rsidRDefault="002B19E4" w:rsidP="00B331F1">
      <w:pPr>
        <w:spacing w:line="240" w:lineRule="atLeast"/>
        <w:jc w:val="both"/>
        <w:rPr>
          <w:rFonts w:asciiTheme="minorHAnsi" w:hAnsiTheme="minorHAnsi" w:cs="Arial"/>
          <w:sz w:val="22"/>
          <w:szCs w:val="22"/>
          <w:lang w:val="nl-BE"/>
        </w:rPr>
      </w:pPr>
      <w:r w:rsidRPr="00B331F1">
        <w:rPr>
          <w:rFonts w:asciiTheme="minorHAnsi" w:hAnsiTheme="minorHAnsi" w:cs="Arial"/>
          <w:sz w:val="22"/>
          <w:szCs w:val="22"/>
          <w:lang w:val="nl-BE"/>
        </w:rPr>
        <w:t xml:space="preserve">Minister Van Overtveldt </w:t>
      </w:r>
      <w:r w:rsidR="003B1C03" w:rsidRPr="00B331F1">
        <w:rPr>
          <w:rFonts w:asciiTheme="minorHAnsi" w:hAnsiTheme="minorHAnsi" w:cs="Arial"/>
          <w:sz w:val="22"/>
          <w:szCs w:val="22"/>
          <w:lang w:val="nl-BE"/>
        </w:rPr>
        <w:t xml:space="preserve">is in de Kamer onduidelijk geweest in wat hij als behandelde of nieuwe dossiers beschouwt. De dossiers waarover al een beslissing is gevallen, zijn behandeld. Dossiers die werden ingediend na de bekendmaking van het advies van de auditeur zijn nieuw. Maar hoe worden de dossiers behandeld die al eerder werden ingevoerd en die nog niet afgehandeld waren op 24 december 2015? Die moeten inderdaad volgens de wettelijke bepalingen afgehandeld worden. De minister was daar niet duidelijk over. </w:t>
      </w:r>
    </w:p>
    <w:p w:rsidR="00F24864" w:rsidRPr="00B331F1" w:rsidRDefault="00F24864" w:rsidP="00B331F1">
      <w:pPr>
        <w:spacing w:line="240" w:lineRule="atLeast"/>
        <w:jc w:val="both"/>
        <w:rPr>
          <w:rFonts w:asciiTheme="minorHAnsi" w:hAnsiTheme="minorHAnsi" w:cs="Arial"/>
          <w:sz w:val="22"/>
          <w:szCs w:val="22"/>
          <w:lang w:val="nl-BE"/>
        </w:rPr>
      </w:pPr>
    </w:p>
    <w:p w:rsidR="006C264B" w:rsidRPr="00B331F1" w:rsidRDefault="006C264B" w:rsidP="00B331F1">
      <w:pPr>
        <w:spacing w:line="240" w:lineRule="atLeast"/>
        <w:jc w:val="both"/>
        <w:rPr>
          <w:rFonts w:asciiTheme="minorHAnsi" w:hAnsiTheme="minorHAnsi" w:cs="Arial"/>
          <w:sz w:val="22"/>
          <w:szCs w:val="22"/>
          <w:lang w:val="nl-BE"/>
        </w:rPr>
      </w:pPr>
      <w:r w:rsidRPr="00B331F1">
        <w:rPr>
          <w:rFonts w:asciiTheme="minorHAnsi" w:hAnsiTheme="minorHAnsi" w:cs="Arial"/>
          <w:sz w:val="22"/>
          <w:szCs w:val="22"/>
          <w:lang w:val="nl-BE"/>
        </w:rPr>
        <w:t xml:space="preserve">Ondertussen heeft de regering helaas beslist om af te stappen van de beslissing van de vorige regering (die in 2013 een einde maakte aan de fiscale regularisaties) en wil ze een nieuwe, permanentie regularisatie opstarten. </w:t>
      </w:r>
      <w:r w:rsidR="002B19E4" w:rsidRPr="00B331F1">
        <w:rPr>
          <w:rFonts w:asciiTheme="minorHAnsi" w:hAnsiTheme="minorHAnsi" w:cs="Arial"/>
          <w:sz w:val="22"/>
          <w:szCs w:val="22"/>
          <w:lang w:val="nl-BE"/>
        </w:rPr>
        <w:t xml:space="preserve"> </w:t>
      </w:r>
    </w:p>
    <w:p w:rsidR="006C264B" w:rsidRPr="00B331F1" w:rsidRDefault="006C264B" w:rsidP="00B331F1">
      <w:pPr>
        <w:spacing w:line="240" w:lineRule="atLeast"/>
        <w:jc w:val="both"/>
        <w:rPr>
          <w:rFonts w:asciiTheme="minorHAnsi" w:hAnsiTheme="minorHAnsi" w:cs="Arial"/>
          <w:sz w:val="22"/>
          <w:szCs w:val="22"/>
          <w:lang w:val="nl-BE"/>
        </w:rPr>
      </w:pPr>
      <w:r w:rsidRPr="00B331F1">
        <w:rPr>
          <w:rFonts w:asciiTheme="minorHAnsi" w:hAnsiTheme="minorHAnsi" w:cs="Arial"/>
          <w:sz w:val="22"/>
          <w:szCs w:val="22"/>
          <w:lang w:val="nl-BE"/>
        </w:rPr>
        <w:t xml:space="preserve">Ook hier werd de minister al teruggefloten door de Raad van State omdat er geen overleg was gepleegd met de Gewesten. </w:t>
      </w:r>
    </w:p>
    <w:p w:rsidR="006C264B" w:rsidRPr="00B331F1" w:rsidRDefault="006C264B" w:rsidP="00B331F1">
      <w:pPr>
        <w:spacing w:line="240" w:lineRule="atLeast"/>
        <w:jc w:val="both"/>
        <w:rPr>
          <w:rFonts w:asciiTheme="minorHAnsi" w:hAnsiTheme="minorHAnsi" w:cs="Arial"/>
          <w:sz w:val="22"/>
          <w:szCs w:val="22"/>
          <w:lang w:val="nl-BE"/>
        </w:rPr>
      </w:pPr>
    </w:p>
    <w:p w:rsidR="006C264B" w:rsidRPr="00B331F1" w:rsidRDefault="006C264B" w:rsidP="00B331F1">
      <w:pPr>
        <w:spacing w:line="240" w:lineRule="atLeast"/>
        <w:jc w:val="both"/>
        <w:rPr>
          <w:rFonts w:asciiTheme="minorHAnsi" w:hAnsiTheme="minorHAnsi" w:cs="Arial"/>
          <w:sz w:val="22"/>
          <w:szCs w:val="22"/>
          <w:lang w:val="nl-BE"/>
        </w:rPr>
      </w:pPr>
      <w:r w:rsidRPr="00B331F1">
        <w:rPr>
          <w:rFonts w:asciiTheme="minorHAnsi" w:hAnsiTheme="minorHAnsi" w:cs="Arial"/>
          <w:sz w:val="22"/>
          <w:szCs w:val="22"/>
          <w:lang w:val="nl-BE"/>
        </w:rPr>
        <w:t xml:space="preserve">Peter Vanvelthoven: </w:t>
      </w:r>
      <w:r w:rsidRPr="00B331F1">
        <w:rPr>
          <w:rFonts w:asciiTheme="minorHAnsi" w:hAnsiTheme="minorHAnsi" w:cs="Arial"/>
          <w:i/>
          <w:sz w:val="22"/>
          <w:szCs w:val="22"/>
          <w:lang w:val="nl-BE"/>
        </w:rPr>
        <w:t>“Als de minister alsnog met zijn wetsontwerp naar het parlement komt, dan zullen wij ons daar uiteraard tegen verzetten. Wij vinden dat de fraudeurs 10 jaar lang voldoende tijd hebben gehad om zich te regulariseren en dat nu de wettelijke boetetarieven moeten gelden.”</w:t>
      </w:r>
    </w:p>
    <w:p w:rsidR="008D711F" w:rsidRPr="00B331F1" w:rsidRDefault="008D711F" w:rsidP="00B331F1">
      <w:pPr>
        <w:spacing w:line="240" w:lineRule="atLeast"/>
        <w:jc w:val="both"/>
        <w:rPr>
          <w:rFonts w:asciiTheme="minorHAnsi" w:hAnsiTheme="minorHAnsi" w:cs="Arial"/>
          <w:sz w:val="22"/>
          <w:szCs w:val="22"/>
          <w:lang w:val="nl-BE"/>
        </w:rPr>
      </w:pPr>
    </w:p>
    <w:p w:rsidR="0064449D" w:rsidRPr="00B331F1" w:rsidRDefault="006C264B" w:rsidP="00B331F1">
      <w:pPr>
        <w:spacing w:line="240" w:lineRule="atLeast"/>
        <w:jc w:val="both"/>
        <w:rPr>
          <w:rFonts w:asciiTheme="minorHAnsi" w:hAnsiTheme="minorHAnsi" w:cs="Arial"/>
          <w:sz w:val="22"/>
          <w:szCs w:val="22"/>
          <w:lang w:val="nl-BE"/>
        </w:rPr>
      </w:pPr>
      <w:r w:rsidRPr="00B331F1">
        <w:rPr>
          <w:rFonts w:asciiTheme="minorHAnsi" w:hAnsiTheme="minorHAnsi" w:cs="Arial"/>
          <w:sz w:val="22"/>
          <w:szCs w:val="22"/>
          <w:lang w:val="nl-BE"/>
        </w:rPr>
        <w:t xml:space="preserve">Tot slot laakt sp.a in dit kader nog de houding van CD&amp;V. Zij staat nu opnieuw een fiscale amnestie toe, terwijl ze zich daar in haar verkiezingsprogramma heel duidelijk tegen verzette: </w:t>
      </w:r>
      <w:r w:rsidRPr="00B331F1">
        <w:rPr>
          <w:rFonts w:asciiTheme="minorHAnsi" w:hAnsiTheme="minorHAnsi" w:cs="Arial"/>
          <w:i/>
          <w:sz w:val="22"/>
          <w:szCs w:val="22"/>
          <w:lang w:val="nl-BE"/>
        </w:rPr>
        <w:t xml:space="preserve">“Iedereen heeft nu de kans gehad inkomsten te regulariseren. (…) Nu is </w:t>
      </w:r>
      <w:r w:rsidR="0064449D" w:rsidRPr="00B331F1">
        <w:rPr>
          <w:rFonts w:asciiTheme="minorHAnsi" w:hAnsiTheme="minorHAnsi" w:cs="Arial"/>
          <w:i/>
          <w:sz w:val="22"/>
          <w:szCs w:val="22"/>
          <w:lang w:val="nl-BE"/>
        </w:rPr>
        <w:t>het eindpunt bereikt. Wie hardleers is, zal daar dus ook de gevolgen van moeten dragen.”</w:t>
      </w:r>
      <w:r w:rsidR="0064449D" w:rsidRPr="00B331F1">
        <w:rPr>
          <w:rFonts w:asciiTheme="minorHAnsi" w:hAnsiTheme="minorHAnsi" w:cs="Arial"/>
          <w:sz w:val="22"/>
          <w:szCs w:val="22"/>
          <w:lang w:val="nl-BE"/>
        </w:rPr>
        <w:t xml:space="preserve"> (3D-plan CD&amp;V) </w:t>
      </w:r>
    </w:p>
    <w:p w:rsidR="002B19E4" w:rsidRPr="00B331F1" w:rsidRDefault="002B19E4" w:rsidP="00B331F1">
      <w:pPr>
        <w:spacing w:line="240" w:lineRule="atLeast"/>
        <w:jc w:val="both"/>
        <w:rPr>
          <w:rFonts w:asciiTheme="minorHAnsi" w:hAnsiTheme="minorHAnsi" w:cs="Arial"/>
          <w:sz w:val="22"/>
          <w:szCs w:val="22"/>
          <w:lang w:val="nl-BE"/>
        </w:rPr>
      </w:pPr>
    </w:p>
    <w:p w:rsidR="00D45A1F" w:rsidRPr="00B331F1" w:rsidRDefault="0064449D" w:rsidP="00B331F1">
      <w:pPr>
        <w:spacing w:line="240" w:lineRule="atLeast"/>
        <w:jc w:val="both"/>
        <w:rPr>
          <w:rFonts w:asciiTheme="minorHAnsi" w:hAnsiTheme="minorHAnsi" w:cs="Arial"/>
          <w:i/>
          <w:sz w:val="22"/>
          <w:szCs w:val="22"/>
          <w:lang w:val="nl-BE"/>
        </w:rPr>
      </w:pPr>
      <w:r w:rsidRPr="00B331F1">
        <w:rPr>
          <w:rFonts w:asciiTheme="minorHAnsi" w:hAnsiTheme="minorHAnsi" w:cs="Arial"/>
          <w:sz w:val="22"/>
          <w:szCs w:val="22"/>
          <w:lang w:val="nl-BE"/>
        </w:rPr>
        <w:t>En ook in de discussie over de BBI-instructie zelf zei nog: “</w:t>
      </w:r>
      <w:r w:rsidR="00D45A1F" w:rsidRPr="00B331F1">
        <w:rPr>
          <w:rFonts w:asciiTheme="minorHAnsi" w:hAnsiTheme="minorHAnsi" w:cs="Arial"/>
          <w:i/>
          <w:sz w:val="22"/>
          <w:szCs w:val="22"/>
          <w:lang w:val="nl-BE"/>
        </w:rPr>
        <w:t xml:space="preserve">Natuurlijk gaat het niet om de verlenging van de fiscale amnestie onder een of andere vorm. (…) Er werd een einddatum bepaald voor de fiscale </w:t>
      </w:r>
      <w:r w:rsidR="00D45A1F" w:rsidRPr="00B331F1">
        <w:rPr>
          <w:rFonts w:asciiTheme="minorHAnsi" w:hAnsiTheme="minorHAnsi" w:cs="Arial"/>
          <w:i/>
          <w:sz w:val="22"/>
          <w:szCs w:val="22"/>
          <w:lang w:val="nl-BE"/>
        </w:rPr>
        <w:lastRenderedPageBreak/>
        <w:t>regularisatie. Die einddatum wordt n</w:t>
      </w:r>
      <w:r w:rsidRPr="00B331F1">
        <w:rPr>
          <w:rFonts w:asciiTheme="minorHAnsi" w:hAnsiTheme="minorHAnsi" w:cs="Arial"/>
          <w:i/>
          <w:sz w:val="22"/>
          <w:szCs w:val="22"/>
          <w:lang w:val="nl-BE"/>
        </w:rPr>
        <w:t>u voor het eerst gerespecteerd</w:t>
      </w:r>
      <w:r w:rsidR="002B19E4" w:rsidRPr="00B331F1">
        <w:rPr>
          <w:rFonts w:asciiTheme="minorHAnsi" w:hAnsiTheme="minorHAnsi" w:cs="Arial"/>
          <w:i/>
          <w:sz w:val="22"/>
          <w:szCs w:val="22"/>
          <w:lang w:val="nl-BE"/>
        </w:rPr>
        <w:t xml:space="preserve"> </w:t>
      </w:r>
      <w:r w:rsidR="00D45A1F" w:rsidRPr="00B331F1">
        <w:rPr>
          <w:rFonts w:asciiTheme="minorHAnsi" w:hAnsiTheme="minorHAnsi" w:cs="Arial"/>
          <w:i/>
          <w:sz w:val="22"/>
          <w:szCs w:val="22"/>
          <w:lang w:val="nl-BE"/>
        </w:rPr>
        <w:t>want ook bij de budgetwijziging zal er geen nieuwe wet worden ingevoerd. Met deze regering komt er geen nieuwe laatste keer.”</w:t>
      </w:r>
    </w:p>
    <w:p w:rsidR="002B19E4" w:rsidRPr="00B331F1" w:rsidRDefault="002B19E4" w:rsidP="00B331F1">
      <w:pPr>
        <w:spacing w:line="240" w:lineRule="atLeast"/>
        <w:jc w:val="both"/>
        <w:rPr>
          <w:rFonts w:asciiTheme="minorHAnsi" w:hAnsiTheme="minorHAnsi" w:cs="Arial"/>
          <w:sz w:val="22"/>
          <w:szCs w:val="22"/>
          <w:lang w:val="nl-BE"/>
        </w:rPr>
      </w:pPr>
    </w:p>
    <w:p w:rsidR="00D45A1F" w:rsidRPr="00B331F1" w:rsidRDefault="00D45A1F" w:rsidP="00B331F1">
      <w:pPr>
        <w:spacing w:line="240" w:lineRule="atLeast"/>
        <w:jc w:val="both"/>
        <w:rPr>
          <w:rFonts w:asciiTheme="minorHAnsi" w:hAnsiTheme="minorHAnsi" w:cs="Arial"/>
          <w:b/>
          <w:sz w:val="22"/>
          <w:szCs w:val="22"/>
          <w:u w:val="single"/>
          <w:lang w:val="nl-BE"/>
        </w:rPr>
      </w:pPr>
    </w:p>
    <w:p w:rsidR="004B7C23" w:rsidRPr="00B331F1" w:rsidRDefault="003B1C03" w:rsidP="00B331F1">
      <w:pPr>
        <w:pStyle w:val="Lijstalinea"/>
        <w:numPr>
          <w:ilvl w:val="0"/>
          <w:numId w:val="1"/>
        </w:numPr>
        <w:spacing w:line="240" w:lineRule="atLeast"/>
        <w:jc w:val="both"/>
        <w:rPr>
          <w:rFonts w:asciiTheme="minorHAnsi" w:hAnsiTheme="minorHAnsi" w:cs="Arial"/>
          <w:b/>
          <w:sz w:val="22"/>
          <w:szCs w:val="22"/>
          <w:u w:val="single"/>
          <w:lang w:val="nl-BE"/>
        </w:rPr>
      </w:pPr>
      <w:r w:rsidRPr="00B331F1">
        <w:rPr>
          <w:rFonts w:asciiTheme="minorHAnsi" w:hAnsiTheme="minorHAnsi" w:cs="Arial"/>
          <w:b/>
          <w:sz w:val="22"/>
          <w:szCs w:val="22"/>
          <w:u w:val="single"/>
          <w:lang w:val="nl-BE"/>
        </w:rPr>
        <w:t>Het Rekenhof moet zijn controlefunctie uitoefenen</w:t>
      </w:r>
    </w:p>
    <w:p w:rsidR="004B7C23" w:rsidRPr="00B331F1" w:rsidRDefault="004B7C23" w:rsidP="00B331F1">
      <w:pPr>
        <w:spacing w:line="240" w:lineRule="atLeast"/>
        <w:jc w:val="both"/>
        <w:rPr>
          <w:rFonts w:asciiTheme="minorHAnsi" w:hAnsiTheme="minorHAnsi" w:cs="Arial"/>
          <w:sz w:val="22"/>
          <w:szCs w:val="22"/>
          <w:lang w:val="nl-BE"/>
        </w:rPr>
      </w:pPr>
    </w:p>
    <w:p w:rsidR="003B1C03" w:rsidRPr="00B331F1" w:rsidRDefault="003B1C03" w:rsidP="00B331F1">
      <w:pPr>
        <w:spacing w:line="240" w:lineRule="atLeast"/>
        <w:jc w:val="both"/>
        <w:rPr>
          <w:rFonts w:asciiTheme="minorHAnsi" w:hAnsiTheme="minorHAnsi" w:cs="Arial"/>
          <w:sz w:val="22"/>
          <w:szCs w:val="22"/>
          <w:lang w:val="nl-BE"/>
        </w:rPr>
      </w:pPr>
      <w:r w:rsidRPr="00B331F1">
        <w:rPr>
          <w:rFonts w:asciiTheme="minorHAnsi" w:hAnsiTheme="minorHAnsi" w:cs="Arial"/>
          <w:sz w:val="22"/>
          <w:szCs w:val="22"/>
          <w:lang w:val="nl-BE"/>
        </w:rPr>
        <w:t xml:space="preserve">Het is logisch dat het parlement niet zomaar kan overgaan tot de orde van de dag. Gezien de verklaringen van de minister, blijkt duidelijk dat strikt de wet toepassen niet de eerste bekommernis van </w:t>
      </w:r>
      <w:r w:rsidR="002B19E4" w:rsidRPr="00B331F1">
        <w:rPr>
          <w:rFonts w:asciiTheme="minorHAnsi" w:hAnsiTheme="minorHAnsi" w:cs="Arial"/>
          <w:sz w:val="22"/>
          <w:szCs w:val="22"/>
          <w:lang w:val="nl-BE"/>
        </w:rPr>
        <w:t xml:space="preserve">minister Van Overtveldt </w:t>
      </w:r>
      <w:r w:rsidRPr="00B331F1">
        <w:rPr>
          <w:rFonts w:asciiTheme="minorHAnsi" w:hAnsiTheme="minorHAnsi" w:cs="Arial"/>
          <w:sz w:val="22"/>
          <w:szCs w:val="22"/>
          <w:lang w:val="nl-BE"/>
        </w:rPr>
        <w:t xml:space="preserve"> is. </w:t>
      </w:r>
    </w:p>
    <w:p w:rsidR="003B1C03" w:rsidRPr="00B331F1" w:rsidRDefault="003B1C03" w:rsidP="00B331F1">
      <w:pPr>
        <w:spacing w:line="240" w:lineRule="atLeast"/>
        <w:jc w:val="both"/>
        <w:rPr>
          <w:rFonts w:asciiTheme="minorHAnsi" w:hAnsiTheme="minorHAnsi" w:cs="Arial"/>
          <w:sz w:val="22"/>
          <w:szCs w:val="22"/>
          <w:lang w:val="nl-BE"/>
        </w:rPr>
      </w:pPr>
    </w:p>
    <w:p w:rsidR="003B1C03" w:rsidRPr="00B331F1" w:rsidRDefault="003B1C03" w:rsidP="00B331F1">
      <w:pPr>
        <w:spacing w:line="240" w:lineRule="atLeast"/>
        <w:jc w:val="both"/>
        <w:rPr>
          <w:rFonts w:asciiTheme="minorHAnsi" w:hAnsiTheme="minorHAnsi" w:cs="Arial"/>
          <w:i/>
          <w:sz w:val="22"/>
          <w:szCs w:val="22"/>
          <w:lang w:val="nl-BE"/>
        </w:rPr>
      </w:pPr>
      <w:r w:rsidRPr="00B331F1">
        <w:rPr>
          <w:rFonts w:asciiTheme="minorHAnsi" w:hAnsiTheme="minorHAnsi" w:cs="Arial"/>
          <w:sz w:val="22"/>
          <w:szCs w:val="22"/>
          <w:lang w:val="nl-BE"/>
        </w:rPr>
        <w:t>Het parlement heeft een instelling als het Rekenhof die de parlementaire controlefunctie helpt uitoefenen. Artikel 5, §1</w:t>
      </w:r>
      <w:r w:rsidR="0085072A" w:rsidRPr="00B331F1">
        <w:rPr>
          <w:rFonts w:asciiTheme="minorHAnsi" w:hAnsiTheme="minorHAnsi" w:cs="Arial"/>
          <w:sz w:val="22"/>
          <w:szCs w:val="22"/>
          <w:lang w:val="nl-BE"/>
        </w:rPr>
        <w:t xml:space="preserve"> van de wet van </w:t>
      </w:r>
      <w:r w:rsidRPr="00B331F1">
        <w:rPr>
          <w:rFonts w:asciiTheme="minorHAnsi" w:hAnsiTheme="minorHAnsi" w:cs="Arial"/>
          <w:sz w:val="22"/>
          <w:szCs w:val="22"/>
          <w:lang w:val="nl-BE"/>
        </w:rPr>
        <w:t xml:space="preserve">29 </w:t>
      </w:r>
      <w:r w:rsidR="0085072A" w:rsidRPr="00B331F1">
        <w:rPr>
          <w:rFonts w:asciiTheme="minorHAnsi" w:hAnsiTheme="minorHAnsi" w:cs="Arial"/>
          <w:sz w:val="22"/>
          <w:szCs w:val="22"/>
          <w:lang w:val="nl-BE"/>
        </w:rPr>
        <w:t>oktober</w:t>
      </w:r>
      <w:r w:rsidRPr="00B331F1">
        <w:rPr>
          <w:rFonts w:asciiTheme="minorHAnsi" w:hAnsiTheme="minorHAnsi" w:cs="Arial"/>
          <w:sz w:val="22"/>
          <w:szCs w:val="22"/>
          <w:lang w:val="nl-BE"/>
        </w:rPr>
        <w:t xml:space="preserve"> 1846 op de inrichting van het </w:t>
      </w:r>
      <w:r w:rsidR="002B19E4" w:rsidRPr="00B331F1">
        <w:rPr>
          <w:rFonts w:asciiTheme="minorHAnsi" w:hAnsiTheme="minorHAnsi" w:cs="Arial"/>
          <w:sz w:val="22"/>
          <w:szCs w:val="22"/>
          <w:lang w:val="nl-BE"/>
        </w:rPr>
        <w:t>R</w:t>
      </w:r>
      <w:r w:rsidRPr="00B331F1">
        <w:rPr>
          <w:rFonts w:asciiTheme="minorHAnsi" w:hAnsiTheme="minorHAnsi" w:cs="Arial"/>
          <w:sz w:val="22"/>
          <w:szCs w:val="22"/>
          <w:lang w:val="nl-BE"/>
        </w:rPr>
        <w:t>ekenhof</w:t>
      </w:r>
      <w:r w:rsidR="0085072A" w:rsidRPr="00B331F1">
        <w:rPr>
          <w:rFonts w:asciiTheme="minorHAnsi" w:hAnsiTheme="minorHAnsi" w:cs="Arial"/>
          <w:sz w:val="22"/>
          <w:szCs w:val="22"/>
          <w:lang w:val="nl-BE"/>
        </w:rPr>
        <w:t xml:space="preserve"> stelt in haar derde alinea: </w:t>
      </w:r>
      <w:r w:rsidR="0085072A" w:rsidRPr="00B331F1">
        <w:rPr>
          <w:rFonts w:asciiTheme="minorHAnsi" w:hAnsiTheme="minorHAnsi" w:cs="Arial"/>
          <w:i/>
          <w:sz w:val="22"/>
          <w:szCs w:val="22"/>
          <w:lang w:val="nl-BE"/>
        </w:rPr>
        <w:t>“</w:t>
      </w:r>
      <w:r w:rsidRPr="00B331F1">
        <w:rPr>
          <w:rFonts w:asciiTheme="minorHAnsi" w:hAnsiTheme="minorHAnsi" w:cs="Arial"/>
          <w:i/>
          <w:sz w:val="22"/>
          <w:szCs w:val="22"/>
          <w:lang w:val="nl-BE"/>
        </w:rPr>
        <w:t xml:space="preserve">Het </w:t>
      </w:r>
      <w:r w:rsidR="0085072A" w:rsidRPr="00B331F1">
        <w:rPr>
          <w:rFonts w:asciiTheme="minorHAnsi" w:hAnsiTheme="minorHAnsi" w:cs="Arial"/>
          <w:i/>
          <w:sz w:val="22"/>
          <w:szCs w:val="22"/>
          <w:lang w:val="nl-BE"/>
        </w:rPr>
        <w:t xml:space="preserve">[Rekenhof] </w:t>
      </w:r>
      <w:r w:rsidRPr="00B331F1">
        <w:rPr>
          <w:rFonts w:asciiTheme="minorHAnsi" w:hAnsiTheme="minorHAnsi" w:cs="Arial"/>
          <w:i/>
          <w:sz w:val="22"/>
          <w:szCs w:val="22"/>
          <w:lang w:val="nl-BE"/>
        </w:rPr>
        <w:t>onderzoekt de wettigheid en de regelmatigheid van de uitgaven en de ontvangsten van de Staat.</w:t>
      </w:r>
      <w:r w:rsidR="0085072A" w:rsidRPr="00B331F1">
        <w:rPr>
          <w:rFonts w:asciiTheme="minorHAnsi" w:hAnsiTheme="minorHAnsi" w:cs="Arial"/>
          <w:i/>
          <w:sz w:val="22"/>
          <w:szCs w:val="22"/>
          <w:lang w:val="nl-BE"/>
        </w:rPr>
        <w:t xml:space="preserve">” </w:t>
      </w:r>
      <w:r w:rsidR="0085072A" w:rsidRPr="00B331F1">
        <w:rPr>
          <w:rFonts w:asciiTheme="minorHAnsi" w:hAnsiTheme="minorHAnsi" w:cs="Arial"/>
          <w:sz w:val="22"/>
          <w:szCs w:val="22"/>
          <w:lang w:val="nl-BE"/>
        </w:rPr>
        <w:t>En in haar zevende alinea:</w:t>
      </w:r>
      <w:r w:rsidR="0085072A" w:rsidRPr="00B331F1">
        <w:rPr>
          <w:rFonts w:asciiTheme="minorHAnsi" w:hAnsiTheme="minorHAnsi" w:cs="Arial"/>
          <w:i/>
          <w:sz w:val="22"/>
          <w:szCs w:val="22"/>
          <w:lang w:val="nl-BE"/>
        </w:rPr>
        <w:t xml:space="preserve"> “De verrichtingen met betrekking tot de vaststellingen en de invordering van de rechten verschuldigd aan de Staat en de provincies, met inbegrip van de fiscale ontvangsten, zijn onderworpen aan de algemene controle van het Rekenhof. De wijze waarop deze controle wordt uitgeoefend wordt bepaald in een protocol tussen de Minister van Financiën en het Rekenhof.”</w:t>
      </w:r>
    </w:p>
    <w:p w:rsidR="0085072A" w:rsidRPr="00B331F1" w:rsidRDefault="0085072A" w:rsidP="00B331F1">
      <w:pPr>
        <w:spacing w:line="240" w:lineRule="atLeast"/>
        <w:jc w:val="both"/>
        <w:rPr>
          <w:rFonts w:asciiTheme="minorHAnsi" w:hAnsiTheme="minorHAnsi" w:cs="Arial"/>
          <w:i/>
          <w:sz w:val="22"/>
          <w:szCs w:val="22"/>
          <w:lang w:val="nl-BE"/>
        </w:rPr>
      </w:pPr>
    </w:p>
    <w:p w:rsidR="0085072A" w:rsidRPr="00B331F1" w:rsidRDefault="0085072A" w:rsidP="00B331F1">
      <w:pPr>
        <w:spacing w:line="240" w:lineRule="atLeast"/>
        <w:jc w:val="both"/>
        <w:rPr>
          <w:rFonts w:asciiTheme="minorHAnsi" w:hAnsiTheme="minorHAnsi" w:cs="Arial"/>
          <w:sz w:val="22"/>
          <w:szCs w:val="22"/>
          <w:lang w:val="nl-BE"/>
        </w:rPr>
      </w:pPr>
      <w:r w:rsidRPr="00B331F1">
        <w:rPr>
          <w:rFonts w:asciiTheme="minorHAnsi" w:hAnsiTheme="minorHAnsi" w:cs="Arial"/>
          <w:sz w:val="22"/>
          <w:szCs w:val="22"/>
          <w:lang w:val="nl-BE"/>
        </w:rPr>
        <w:t xml:space="preserve">In dat protocol (van 22 december 1995) wordt de onderzoeksbevoegdheid van het Rekenhof extensief bevestigd. Wel zegt artikel 5 van het protocol duidelijk dat </w:t>
      </w:r>
      <w:r w:rsidRPr="00B331F1">
        <w:rPr>
          <w:rFonts w:asciiTheme="minorHAnsi" w:hAnsiTheme="minorHAnsi" w:cs="Arial"/>
          <w:i/>
          <w:sz w:val="22"/>
          <w:szCs w:val="22"/>
          <w:lang w:val="nl-BE"/>
        </w:rPr>
        <w:t xml:space="preserve">“de aan het Parlement verstrekte inlichtingen in geen geval betrekking mogen hebben op persoonlijke gegevens”. </w:t>
      </w:r>
      <w:r w:rsidRPr="00B331F1">
        <w:rPr>
          <w:rFonts w:asciiTheme="minorHAnsi" w:hAnsiTheme="minorHAnsi" w:cs="Arial"/>
          <w:sz w:val="22"/>
          <w:szCs w:val="22"/>
          <w:lang w:val="nl-BE"/>
        </w:rPr>
        <w:t>Deze beperking geldt niet ten aanzien van de minister.</w:t>
      </w:r>
    </w:p>
    <w:p w:rsidR="0085072A" w:rsidRPr="00B331F1" w:rsidRDefault="0085072A" w:rsidP="00B331F1">
      <w:pPr>
        <w:spacing w:line="240" w:lineRule="atLeast"/>
        <w:jc w:val="both"/>
        <w:rPr>
          <w:rFonts w:asciiTheme="minorHAnsi" w:hAnsiTheme="minorHAnsi" w:cs="Arial"/>
          <w:sz w:val="22"/>
          <w:szCs w:val="22"/>
          <w:lang w:val="nl-BE"/>
        </w:rPr>
      </w:pPr>
    </w:p>
    <w:p w:rsidR="0085072A" w:rsidRPr="00B331F1" w:rsidRDefault="0085072A" w:rsidP="00B331F1">
      <w:pPr>
        <w:spacing w:line="240" w:lineRule="atLeast"/>
        <w:jc w:val="both"/>
        <w:rPr>
          <w:rFonts w:asciiTheme="minorHAnsi" w:hAnsiTheme="minorHAnsi" w:cs="Arial"/>
          <w:sz w:val="22"/>
          <w:szCs w:val="22"/>
          <w:lang w:val="nl-BE"/>
        </w:rPr>
      </w:pPr>
      <w:r w:rsidRPr="00B331F1">
        <w:rPr>
          <w:rFonts w:asciiTheme="minorHAnsi" w:hAnsiTheme="minorHAnsi" w:cs="Arial"/>
          <w:sz w:val="22"/>
          <w:szCs w:val="22"/>
          <w:lang w:val="nl-BE"/>
        </w:rPr>
        <w:t xml:space="preserve">Het Rekenhof kan dus al de behandelde dossiers opvragen, inkijken en per dossier vragen aan de administratie wat financieel het gevolg zou zijn van het vernietigingsarrest. </w:t>
      </w:r>
    </w:p>
    <w:p w:rsidR="0085072A" w:rsidRPr="00B331F1" w:rsidRDefault="0085072A" w:rsidP="00B331F1">
      <w:pPr>
        <w:spacing w:line="240" w:lineRule="atLeast"/>
        <w:jc w:val="both"/>
        <w:rPr>
          <w:rFonts w:asciiTheme="minorHAnsi" w:hAnsiTheme="minorHAnsi" w:cs="Arial"/>
          <w:sz w:val="22"/>
          <w:szCs w:val="22"/>
          <w:lang w:val="nl-BE"/>
        </w:rPr>
      </w:pPr>
    </w:p>
    <w:p w:rsidR="0085072A" w:rsidRPr="00B331F1" w:rsidRDefault="0085072A" w:rsidP="00B331F1">
      <w:pPr>
        <w:spacing w:line="240" w:lineRule="atLeast"/>
        <w:jc w:val="both"/>
        <w:rPr>
          <w:rFonts w:asciiTheme="minorHAnsi" w:hAnsiTheme="minorHAnsi" w:cs="Arial"/>
          <w:sz w:val="22"/>
          <w:szCs w:val="22"/>
          <w:lang w:val="nl-BE"/>
        </w:rPr>
      </w:pPr>
      <w:r w:rsidRPr="00B331F1">
        <w:rPr>
          <w:rFonts w:asciiTheme="minorHAnsi" w:hAnsiTheme="minorHAnsi" w:cs="Arial"/>
          <w:sz w:val="22"/>
          <w:szCs w:val="22"/>
          <w:lang w:val="nl-BE"/>
        </w:rPr>
        <w:t>Wij vragen dan ook dat het Rekenhof alle behandelde dossiers effectief controleert en in algemene termen rapporteert:</w:t>
      </w:r>
    </w:p>
    <w:p w:rsidR="0085072A" w:rsidRPr="00B331F1" w:rsidRDefault="0085072A" w:rsidP="00B331F1">
      <w:pPr>
        <w:pStyle w:val="Lijstalinea"/>
        <w:numPr>
          <w:ilvl w:val="0"/>
          <w:numId w:val="12"/>
        </w:numPr>
        <w:spacing w:line="240" w:lineRule="atLeast"/>
        <w:jc w:val="both"/>
        <w:rPr>
          <w:rFonts w:asciiTheme="minorHAnsi" w:hAnsiTheme="minorHAnsi" w:cs="Arial"/>
          <w:sz w:val="22"/>
          <w:szCs w:val="22"/>
          <w:lang w:val="nl-BE"/>
        </w:rPr>
      </w:pPr>
      <w:r w:rsidRPr="00B331F1">
        <w:rPr>
          <w:rFonts w:asciiTheme="minorHAnsi" w:hAnsiTheme="minorHAnsi" w:cs="Arial"/>
          <w:sz w:val="22"/>
          <w:szCs w:val="22"/>
          <w:lang w:val="nl-BE"/>
        </w:rPr>
        <w:t>voor hoeveel dossiers een toepassing van de wet tegenover de vernietigde circulaire een nieuwe berekening zou opleveren;</w:t>
      </w:r>
    </w:p>
    <w:p w:rsidR="0085072A" w:rsidRPr="00B331F1" w:rsidRDefault="0085072A" w:rsidP="00B331F1">
      <w:pPr>
        <w:pStyle w:val="Lijstalinea"/>
        <w:numPr>
          <w:ilvl w:val="0"/>
          <w:numId w:val="12"/>
        </w:numPr>
        <w:spacing w:line="240" w:lineRule="atLeast"/>
        <w:jc w:val="both"/>
        <w:rPr>
          <w:rFonts w:asciiTheme="minorHAnsi" w:hAnsiTheme="minorHAnsi" w:cs="Arial"/>
          <w:sz w:val="22"/>
          <w:szCs w:val="22"/>
          <w:lang w:val="nl-BE"/>
        </w:rPr>
      </w:pPr>
      <w:r w:rsidRPr="00B331F1">
        <w:rPr>
          <w:rFonts w:asciiTheme="minorHAnsi" w:hAnsiTheme="minorHAnsi" w:cs="Arial"/>
          <w:sz w:val="22"/>
          <w:szCs w:val="22"/>
          <w:lang w:val="nl-BE"/>
        </w:rPr>
        <w:t>hoeveel extra inkomsten de toepassing van de wet zou opleveren;</w:t>
      </w:r>
    </w:p>
    <w:p w:rsidR="0085072A" w:rsidRPr="00B331F1" w:rsidRDefault="0085072A" w:rsidP="00B331F1">
      <w:pPr>
        <w:pStyle w:val="Lijstalinea"/>
        <w:numPr>
          <w:ilvl w:val="0"/>
          <w:numId w:val="12"/>
        </w:numPr>
        <w:spacing w:line="240" w:lineRule="atLeast"/>
        <w:jc w:val="both"/>
        <w:rPr>
          <w:rFonts w:asciiTheme="minorHAnsi" w:hAnsiTheme="minorHAnsi" w:cs="Arial"/>
          <w:sz w:val="22"/>
          <w:szCs w:val="22"/>
          <w:lang w:val="nl-BE"/>
        </w:rPr>
      </w:pPr>
      <w:r w:rsidRPr="00B331F1">
        <w:rPr>
          <w:rFonts w:asciiTheme="minorHAnsi" w:hAnsiTheme="minorHAnsi" w:cs="Arial"/>
          <w:sz w:val="22"/>
          <w:szCs w:val="22"/>
          <w:lang w:val="nl-BE"/>
        </w:rPr>
        <w:t xml:space="preserve">waarbij het belangrijk is dat een onderscheid wordt gemaakt tussen beslissingen vóór en na het rapport van de auditeur van de Raad van State op 24 december 2015; </w:t>
      </w:r>
    </w:p>
    <w:p w:rsidR="0085072A" w:rsidRPr="00B331F1" w:rsidRDefault="0085072A" w:rsidP="00B331F1">
      <w:pPr>
        <w:pStyle w:val="Lijstalinea"/>
        <w:numPr>
          <w:ilvl w:val="0"/>
          <w:numId w:val="12"/>
        </w:numPr>
        <w:spacing w:line="240" w:lineRule="atLeast"/>
        <w:jc w:val="both"/>
        <w:rPr>
          <w:rFonts w:asciiTheme="minorHAnsi" w:hAnsiTheme="minorHAnsi" w:cs="Arial"/>
          <w:sz w:val="22"/>
          <w:szCs w:val="22"/>
          <w:lang w:val="nl-BE"/>
        </w:rPr>
      </w:pPr>
      <w:r w:rsidRPr="00B331F1">
        <w:rPr>
          <w:rFonts w:asciiTheme="minorHAnsi" w:hAnsiTheme="minorHAnsi" w:cs="Arial"/>
          <w:sz w:val="22"/>
          <w:szCs w:val="22"/>
          <w:lang w:val="nl-BE"/>
        </w:rPr>
        <w:t xml:space="preserve">welke garanties zijn genomen om de wet vanaf nu op alle nog niet behandelde dossiers strikt te doen toepassen. </w:t>
      </w:r>
    </w:p>
    <w:p w:rsidR="008C452C" w:rsidRPr="00B331F1" w:rsidRDefault="008C452C" w:rsidP="00B331F1">
      <w:pPr>
        <w:spacing w:line="240" w:lineRule="atLeast"/>
        <w:jc w:val="both"/>
        <w:rPr>
          <w:rFonts w:asciiTheme="minorHAnsi" w:hAnsiTheme="minorHAnsi" w:cs="Arial"/>
          <w:sz w:val="22"/>
          <w:szCs w:val="22"/>
          <w:lang w:val="nl-BE"/>
        </w:rPr>
      </w:pPr>
    </w:p>
    <w:p w:rsidR="008C452C" w:rsidRPr="00B331F1" w:rsidRDefault="008C452C" w:rsidP="00B331F1">
      <w:pPr>
        <w:spacing w:line="240" w:lineRule="atLeast"/>
        <w:jc w:val="both"/>
        <w:rPr>
          <w:rFonts w:asciiTheme="minorHAnsi" w:hAnsiTheme="minorHAnsi" w:cs="Arial"/>
          <w:sz w:val="22"/>
          <w:szCs w:val="22"/>
          <w:lang w:val="nl-BE"/>
        </w:rPr>
      </w:pPr>
      <w:r w:rsidRPr="00B331F1">
        <w:rPr>
          <w:rFonts w:asciiTheme="minorHAnsi" w:hAnsiTheme="minorHAnsi" w:cs="Arial"/>
          <w:sz w:val="22"/>
          <w:szCs w:val="22"/>
          <w:lang w:val="nl-BE"/>
        </w:rPr>
        <w:t xml:space="preserve">De sp.a-fractie dient daarom een voorstel van resolutie in om het Rekenhof te belasten met deze opdracht. </w:t>
      </w:r>
    </w:p>
    <w:sectPr w:rsidR="008C452C" w:rsidRPr="00B331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7EA"/>
    <w:multiLevelType w:val="hybridMultilevel"/>
    <w:tmpl w:val="6608DB5C"/>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35A34A1"/>
    <w:multiLevelType w:val="hybridMultilevel"/>
    <w:tmpl w:val="D9449124"/>
    <w:lvl w:ilvl="0" w:tplc="3E14EA7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3347AE"/>
    <w:multiLevelType w:val="hybridMultilevel"/>
    <w:tmpl w:val="2FC8721C"/>
    <w:lvl w:ilvl="0" w:tplc="08130017">
      <w:start w:val="1"/>
      <w:numFmt w:val="lowerLetter"/>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0AC71A34"/>
    <w:multiLevelType w:val="hybridMultilevel"/>
    <w:tmpl w:val="5DE8FBB4"/>
    <w:lvl w:ilvl="0" w:tplc="4BBA7D6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ACF5554"/>
    <w:multiLevelType w:val="hybridMultilevel"/>
    <w:tmpl w:val="EB42C510"/>
    <w:lvl w:ilvl="0" w:tplc="F00ECF86">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DD82391"/>
    <w:multiLevelType w:val="hybridMultilevel"/>
    <w:tmpl w:val="CDA49B3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54158E3"/>
    <w:multiLevelType w:val="hybridMultilevel"/>
    <w:tmpl w:val="41B6408A"/>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8E925C4"/>
    <w:multiLevelType w:val="multilevel"/>
    <w:tmpl w:val="173C9E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296020C"/>
    <w:multiLevelType w:val="hybridMultilevel"/>
    <w:tmpl w:val="976EF47C"/>
    <w:lvl w:ilvl="0" w:tplc="D9A4016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0CD5F12"/>
    <w:multiLevelType w:val="multilevel"/>
    <w:tmpl w:val="14FC76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4B36423"/>
    <w:multiLevelType w:val="hybridMultilevel"/>
    <w:tmpl w:val="EDB4D2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90B199B"/>
    <w:multiLevelType w:val="hybridMultilevel"/>
    <w:tmpl w:val="1F50817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9"/>
  </w:num>
  <w:num w:numId="4">
    <w:abstractNumId w:val="10"/>
  </w:num>
  <w:num w:numId="5">
    <w:abstractNumId w:val="11"/>
  </w:num>
  <w:num w:numId="6">
    <w:abstractNumId w:val="2"/>
  </w:num>
  <w:num w:numId="7">
    <w:abstractNumId w:val="7"/>
  </w:num>
  <w:num w:numId="8">
    <w:abstractNumId w:val="8"/>
  </w:num>
  <w:num w:numId="9">
    <w:abstractNumId w:val="1"/>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D80"/>
    <w:rsid w:val="00012D13"/>
    <w:rsid w:val="00063D3D"/>
    <w:rsid w:val="00092B66"/>
    <w:rsid w:val="00132D4C"/>
    <w:rsid w:val="001340A8"/>
    <w:rsid w:val="00144339"/>
    <w:rsid w:val="00146F3D"/>
    <w:rsid w:val="00187069"/>
    <w:rsid w:val="00192A13"/>
    <w:rsid w:val="001A3A4A"/>
    <w:rsid w:val="001B42F6"/>
    <w:rsid w:val="001E5F84"/>
    <w:rsid w:val="001F638C"/>
    <w:rsid w:val="0020583B"/>
    <w:rsid w:val="00235E67"/>
    <w:rsid w:val="00240C4C"/>
    <w:rsid w:val="00264B2A"/>
    <w:rsid w:val="00275565"/>
    <w:rsid w:val="00294119"/>
    <w:rsid w:val="00294E3F"/>
    <w:rsid w:val="002A34B2"/>
    <w:rsid w:val="002B19E4"/>
    <w:rsid w:val="002D48B7"/>
    <w:rsid w:val="00313B01"/>
    <w:rsid w:val="00326D80"/>
    <w:rsid w:val="0034275A"/>
    <w:rsid w:val="00343547"/>
    <w:rsid w:val="00350DD4"/>
    <w:rsid w:val="0037038B"/>
    <w:rsid w:val="003A0642"/>
    <w:rsid w:val="003A548C"/>
    <w:rsid w:val="003B1C03"/>
    <w:rsid w:val="004378A1"/>
    <w:rsid w:val="0047593C"/>
    <w:rsid w:val="004A4E0C"/>
    <w:rsid w:val="004B7C23"/>
    <w:rsid w:val="005101E5"/>
    <w:rsid w:val="00557D86"/>
    <w:rsid w:val="00565B93"/>
    <w:rsid w:val="0064378D"/>
    <w:rsid w:val="0064449D"/>
    <w:rsid w:val="00665705"/>
    <w:rsid w:val="006723CF"/>
    <w:rsid w:val="00675873"/>
    <w:rsid w:val="00680CF4"/>
    <w:rsid w:val="006817AA"/>
    <w:rsid w:val="006A2A71"/>
    <w:rsid w:val="006A32DF"/>
    <w:rsid w:val="006C264B"/>
    <w:rsid w:val="006D73B1"/>
    <w:rsid w:val="007011CE"/>
    <w:rsid w:val="0071651B"/>
    <w:rsid w:val="007252CA"/>
    <w:rsid w:val="00747585"/>
    <w:rsid w:val="0079210E"/>
    <w:rsid w:val="00792447"/>
    <w:rsid w:val="007A1695"/>
    <w:rsid w:val="007A298F"/>
    <w:rsid w:val="007B07BE"/>
    <w:rsid w:val="007B2012"/>
    <w:rsid w:val="007E0AC5"/>
    <w:rsid w:val="00802BDF"/>
    <w:rsid w:val="00807815"/>
    <w:rsid w:val="0085072A"/>
    <w:rsid w:val="008900BB"/>
    <w:rsid w:val="008959A4"/>
    <w:rsid w:val="008C452C"/>
    <w:rsid w:val="008D711F"/>
    <w:rsid w:val="009241D6"/>
    <w:rsid w:val="00950763"/>
    <w:rsid w:val="00973922"/>
    <w:rsid w:val="009864D5"/>
    <w:rsid w:val="00A01A0C"/>
    <w:rsid w:val="00A04728"/>
    <w:rsid w:val="00A439AA"/>
    <w:rsid w:val="00A50225"/>
    <w:rsid w:val="00A63692"/>
    <w:rsid w:val="00A653D9"/>
    <w:rsid w:val="00AB4809"/>
    <w:rsid w:val="00AB4D9A"/>
    <w:rsid w:val="00AC4B6C"/>
    <w:rsid w:val="00AD418C"/>
    <w:rsid w:val="00AD4701"/>
    <w:rsid w:val="00AF138A"/>
    <w:rsid w:val="00AF5E68"/>
    <w:rsid w:val="00B331F1"/>
    <w:rsid w:val="00B3704A"/>
    <w:rsid w:val="00B407FF"/>
    <w:rsid w:val="00B60AC7"/>
    <w:rsid w:val="00BD5B1E"/>
    <w:rsid w:val="00BE35EF"/>
    <w:rsid w:val="00C174B2"/>
    <w:rsid w:val="00C45814"/>
    <w:rsid w:val="00C65E0B"/>
    <w:rsid w:val="00C76A64"/>
    <w:rsid w:val="00C8208A"/>
    <w:rsid w:val="00C91F66"/>
    <w:rsid w:val="00C92E58"/>
    <w:rsid w:val="00CE670A"/>
    <w:rsid w:val="00D378E9"/>
    <w:rsid w:val="00D45A1F"/>
    <w:rsid w:val="00D50EA7"/>
    <w:rsid w:val="00D54E4D"/>
    <w:rsid w:val="00D91143"/>
    <w:rsid w:val="00DA239B"/>
    <w:rsid w:val="00DC028F"/>
    <w:rsid w:val="00DD0252"/>
    <w:rsid w:val="00DF68DB"/>
    <w:rsid w:val="00E02D2B"/>
    <w:rsid w:val="00E03849"/>
    <w:rsid w:val="00E26F60"/>
    <w:rsid w:val="00E42033"/>
    <w:rsid w:val="00E75F3A"/>
    <w:rsid w:val="00EC0469"/>
    <w:rsid w:val="00F1522C"/>
    <w:rsid w:val="00F24864"/>
    <w:rsid w:val="00F413CD"/>
    <w:rsid w:val="00F467E2"/>
    <w:rsid w:val="00F833D8"/>
    <w:rsid w:val="00FF68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444025-BFD0-45A6-B270-29A1FF3B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B7C23"/>
    <w:pPr>
      <w:ind w:left="720"/>
      <w:contextualSpacing/>
    </w:pPr>
  </w:style>
  <w:style w:type="character" w:styleId="Verwijzingopmerking">
    <w:name w:val="annotation reference"/>
    <w:basedOn w:val="Standaardalinea-lettertype"/>
    <w:semiHidden/>
    <w:unhideWhenUsed/>
    <w:rsid w:val="00B407FF"/>
    <w:rPr>
      <w:sz w:val="16"/>
      <w:szCs w:val="16"/>
    </w:rPr>
  </w:style>
  <w:style w:type="paragraph" w:styleId="Tekstopmerking">
    <w:name w:val="annotation text"/>
    <w:basedOn w:val="Standaard"/>
    <w:link w:val="TekstopmerkingChar"/>
    <w:semiHidden/>
    <w:unhideWhenUsed/>
    <w:rsid w:val="00B407FF"/>
    <w:rPr>
      <w:sz w:val="20"/>
      <w:szCs w:val="20"/>
    </w:rPr>
  </w:style>
  <w:style w:type="character" w:customStyle="1" w:styleId="TekstopmerkingChar">
    <w:name w:val="Tekst opmerking Char"/>
    <w:basedOn w:val="Standaardalinea-lettertype"/>
    <w:link w:val="Tekstopmerking"/>
    <w:semiHidden/>
    <w:rsid w:val="00B407FF"/>
    <w:rPr>
      <w:lang w:val="nl-NL" w:eastAsia="nl-NL"/>
    </w:rPr>
  </w:style>
  <w:style w:type="paragraph" w:styleId="Onderwerpvanopmerking">
    <w:name w:val="annotation subject"/>
    <w:basedOn w:val="Tekstopmerking"/>
    <w:next w:val="Tekstopmerking"/>
    <w:link w:val="OnderwerpvanopmerkingChar"/>
    <w:semiHidden/>
    <w:unhideWhenUsed/>
    <w:rsid w:val="00B407FF"/>
    <w:rPr>
      <w:b/>
      <w:bCs/>
    </w:rPr>
  </w:style>
  <w:style w:type="character" w:customStyle="1" w:styleId="OnderwerpvanopmerkingChar">
    <w:name w:val="Onderwerp van opmerking Char"/>
    <w:basedOn w:val="TekstopmerkingChar"/>
    <w:link w:val="Onderwerpvanopmerking"/>
    <w:semiHidden/>
    <w:rsid w:val="00B407FF"/>
    <w:rPr>
      <w:b/>
      <w:bCs/>
      <w:lang w:val="nl-NL" w:eastAsia="nl-NL"/>
    </w:rPr>
  </w:style>
  <w:style w:type="paragraph" w:styleId="Ballontekst">
    <w:name w:val="Balloon Text"/>
    <w:basedOn w:val="Standaard"/>
    <w:link w:val="BallontekstChar"/>
    <w:semiHidden/>
    <w:unhideWhenUsed/>
    <w:rsid w:val="00B407FF"/>
    <w:rPr>
      <w:rFonts w:ascii="Segoe UI" w:hAnsi="Segoe UI" w:cs="Segoe UI"/>
      <w:sz w:val="18"/>
      <w:szCs w:val="18"/>
    </w:rPr>
  </w:style>
  <w:style w:type="character" w:customStyle="1" w:styleId="BallontekstChar">
    <w:name w:val="Ballontekst Char"/>
    <w:basedOn w:val="Standaardalinea-lettertype"/>
    <w:link w:val="Ballontekst"/>
    <w:semiHidden/>
    <w:rsid w:val="00B407FF"/>
    <w:rPr>
      <w:rFonts w:ascii="Segoe UI" w:hAnsi="Segoe UI" w:cs="Segoe UI"/>
      <w:sz w:val="18"/>
      <w:szCs w:val="18"/>
      <w:lang w:val="nl-NL" w:eastAsia="nl-NL"/>
    </w:rPr>
  </w:style>
  <w:style w:type="character" w:styleId="Nadruk">
    <w:name w:val="Emphasis"/>
    <w:basedOn w:val="Standaardalinea-lettertype"/>
    <w:uiPriority w:val="20"/>
    <w:qFormat/>
    <w:rsid w:val="002B19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67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1762</Words>
  <Characters>9692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Lot Wildemeersch</cp:lastModifiedBy>
  <cp:revision>2</cp:revision>
  <cp:lastPrinted>2016-03-17T10:34:00Z</cp:lastPrinted>
  <dcterms:created xsi:type="dcterms:W3CDTF">2016-03-17T10:51:00Z</dcterms:created>
  <dcterms:modified xsi:type="dcterms:W3CDTF">2016-03-17T10:51:00Z</dcterms:modified>
</cp:coreProperties>
</file>