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64A2" w:rsidRDefault="00E564A2" w:rsidP="007B7EB4">
      <w:pPr>
        <w:rPr>
          <w:rFonts w:cs="Arial"/>
        </w:rPr>
      </w:pPr>
    </w:p>
    <w:p w:rsidR="00E564A2" w:rsidRPr="00DA6BC4" w:rsidRDefault="00E564A2" w:rsidP="007B7EB4">
      <w:pPr>
        <w:pBdr>
          <w:top w:val="dashSmallGap" w:sz="8" w:space="1" w:color="766A62"/>
        </w:pBdr>
        <w:rPr>
          <w:rFonts w:cs="Arial"/>
        </w:rPr>
      </w:pPr>
    </w:p>
    <w:p w:rsidR="00E564A2" w:rsidRDefault="00E564A2" w:rsidP="007B7EB4">
      <w:pPr>
        <w:spacing w:before="40"/>
        <w:rPr>
          <w:rFonts w:cs="Arial"/>
          <w:sz w:val="19"/>
          <w:szCs w:val="19"/>
        </w:rPr>
      </w:pPr>
    </w:p>
    <w:p w:rsidR="00E564A2" w:rsidRDefault="00E564A2" w:rsidP="007B7EB4">
      <w:pPr>
        <w:rPr>
          <w:rFonts w:cs="Arial"/>
        </w:rPr>
        <w:sectPr w:rsidR="00E564A2" w:rsidSect="00E564A2">
          <w:headerReference w:type="default" r:id="rId8"/>
          <w:footerReference w:type="default" r:id="rId9"/>
          <w:headerReference w:type="first" r:id="rId10"/>
          <w:footerReference w:type="first" r:id="rId11"/>
          <w:pgSz w:w="11907" w:h="16840" w:code="9"/>
          <w:pgMar w:top="2552" w:right="1134" w:bottom="1134" w:left="1134" w:header="567" w:footer="284" w:gutter="0"/>
          <w:cols w:space="720"/>
          <w:titlePg/>
          <w:docGrid w:linePitch="360"/>
        </w:sectPr>
      </w:pPr>
    </w:p>
    <w:tbl>
      <w:tblPr>
        <w:tblW w:w="9639" w:type="dxa"/>
        <w:tblLayout w:type="fixed"/>
        <w:tblCellMar>
          <w:left w:w="0" w:type="dxa"/>
          <w:right w:w="0" w:type="dxa"/>
        </w:tblCellMar>
        <w:tblLook w:val="01E0" w:firstRow="1" w:lastRow="1" w:firstColumn="1" w:lastColumn="1" w:noHBand="0" w:noVBand="0"/>
      </w:tblPr>
      <w:tblGrid>
        <w:gridCol w:w="3118"/>
        <w:gridCol w:w="567"/>
        <w:gridCol w:w="5954"/>
      </w:tblGrid>
      <w:tr w:rsidR="0025312D" w:rsidRPr="003803C6" w:rsidTr="009F6F95">
        <w:tc>
          <w:tcPr>
            <w:tcW w:w="9639" w:type="dxa"/>
            <w:gridSpan w:val="3"/>
            <w:shd w:val="clear" w:color="auto" w:fill="auto"/>
          </w:tcPr>
          <w:p w:rsidR="0025312D" w:rsidRPr="003D280F" w:rsidRDefault="0025312D" w:rsidP="009F6F95">
            <w:pPr>
              <w:pStyle w:val="HEADING10"/>
              <w:spacing w:line="260" w:lineRule="exact"/>
              <w:jc w:val="both"/>
            </w:pPr>
            <w:r>
              <w:lastRenderedPageBreak/>
              <w:t>Benelux public biotech: new blood joins a progressing sector</w:t>
            </w:r>
          </w:p>
        </w:tc>
      </w:tr>
      <w:tr w:rsidR="0025312D" w:rsidRPr="003803C6" w:rsidTr="009F6F95">
        <w:tc>
          <w:tcPr>
            <w:tcW w:w="3118" w:type="dxa"/>
            <w:shd w:val="clear" w:color="auto" w:fill="auto"/>
          </w:tcPr>
          <w:p w:rsidR="0025312D" w:rsidRPr="00A61A02" w:rsidRDefault="0025312D" w:rsidP="009F6F95">
            <w:pPr>
              <w:pStyle w:val="Heading40"/>
              <w:jc w:val="both"/>
            </w:pPr>
            <w:r w:rsidRPr="00A61A02">
              <w:t>2014 has been marked by a very high number of IPOs</w:t>
            </w:r>
          </w:p>
        </w:tc>
        <w:tc>
          <w:tcPr>
            <w:tcW w:w="567" w:type="dxa"/>
            <w:shd w:val="clear" w:color="auto" w:fill="auto"/>
          </w:tcPr>
          <w:p w:rsidR="0025312D" w:rsidRPr="00A61A02" w:rsidRDefault="0025312D" w:rsidP="009F6F95">
            <w:pPr>
              <w:spacing w:line="260" w:lineRule="exact"/>
              <w:jc w:val="both"/>
              <w:rPr>
                <w:sz w:val="19"/>
                <w:szCs w:val="19"/>
                <w:lang w:eastAsia="nl-NL"/>
              </w:rPr>
            </w:pPr>
          </w:p>
        </w:tc>
        <w:tc>
          <w:tcPr>
            <w:tcW w:w="5954" w:type="dxa"/>
            <w:shd w:val="clear" w:color="auto" w:fill="auto"/>
          </w:tcPr>
          <w:p w:rsidR="0025312D" w:rsidRPr="00A61A02" w:rsidRDefault="0025312D" w:rsidP="009F6F95">
            <w:pPr>
              <w:pStyle w:val="Text"/>
            </w:pPr>
            <w:r w:rsidRPr="00A61A02">
              <w:t>2014 has been a good year from sector, corporate</w:t>
            </w:r>
            <w:r w:rsidR="00FC67DB">
              <w:t xml:space="preserve"> </w:t>
            </w:r>
            <w:r w:rsidRPr="00A61A02">
              <w:t xml:space="preserve">development and financing </w:t>
            </w:r>
            <w:r>
              <w:t>viewpoints</w:t>
            </w:r>
            <w:r w:rsidRPr="00A61A02">
              <w:t>, though share price evaluations have been mixed. However, the innovation-driven Benelux healthcare companies comfortably maintained their leadership in the European scene, marked by a very high number of IPOs, both on Euronext and Nasdaq.</w:t>
            </w:r>
          </w:p>
        </w:tc>
      </w:tr>
    </w:tbl>
    <w:p w:rsidR="0025312D" w:rsidRDefault="0025312D" w:rsidP="0025312D">
      <w:pPr>
        <w:pStyle w:val="Text"/>
      </w:pPr>
    </w:p>
    <w:tbl>
      <w:tblPr>
        <w:tblW w:w="9639" w:type="dxa"/>
        <w:tblLayout w:type="fixed"/>
        <w:tblCellMar>
          <w:left w:w="0" w:type="dxa"/>
          <w:right w:w="0" w:type="dxa"/>
        </w:tblCellMar>
        <w:tblLook w:val="01E0" w:firstRow="1" w:lastRow="1" w:firstColumn="1" w:lastColumn="1" w:noHBand="0" w:noVBand="0"/>
      </w:tblPr>
      <w:tblGrid>
        <w:gridCol w:w="4536"/>
        <w:gridCol w:w="567"/>
        <w:gridCol w:w="4536"/>
      </w:tblGrid>
      <w:tr w:rsidR="0025312D" w:rsidRPr="007864E0" w:rsidTr="009F6F95">
        <w:tc>
          <w:tcPr>
            <w:tcW w:w="4536" w:type="dxa"/>
            <w:shd w:val="clear" w:color="auto" w:fill="auto"/>
          </w:tcPr>
          <w:p w:rsidR="0025312D" w:rsidRPr="005B07BB" w:rsidRDefault="0025312D" w:rsidP="009F6F95">
            <w:pPr>
              <w:pStyle w:val="BEFORECHART"/>
            </w:pPr>
            <w:r>
              <w:t>Benelux biotech</w:t>
            </w:r>
          </w:p>
        </w:tc>
        <w:tc>
          <w:tcPr>
            <w:tcW w:w="567" w:type="dxa"/>
            <w:shd w:val="clear" w:color="auto" w:fill="auto"/>
          </w:tcPr>
          <w:p w:rsidR="0025312D" w:rsidRPr="007864E0" w:rsidRDefault="0025312D" w:rsidP="009F6F95">
            <w:pPr>
              <w:pStyle w:val="Header"/>
              <w:tabs>
                <w:tab w:val="clear" w:pos="4320"/>
                <w:tab w:val="clear" w:pos="8640"/>
              </w:tabs>
              <w:spacing w:line="260" w:lineRule="exact"/>
              <w:rPr>
                <w:rFonts w:cs="Arial"/>
                <w:b/>
                <w:bCs/>
                <w:color w:val="0088CE"/>
                <w:sz w:val="16"/>
                <w:szCs w:val="16"/>
                <w:lang w:eastAsia="nl-NL"/>
              </w:rPr>
            </w:pPr>
          </w:p>
        </w:tc>
        <w:tc>
          <w:tcPr>
            <w:tcW w:w="4536" w:type="dxa"/>
            <w:shd w:val="clear" w:color="auto" w:fill="auto"/>
          </w:tcPr>
          <w:p w:rsidR="0025312D" w:rsidRPr="005B07BB" w:rsidRDefault="0025312D" w:rsidP="009F6F95">
            <w:pPr>
              <w:pStyle w:val="BEFORECHART"/>
            </w:pPr>
          </w:p>
        </w:tc>
      </w:tr>
      <w:tr w:rsidR="0025312D" w:rsidTr="009F6F95">
        <w:tc>
          <w:tcPr>
            <w:tcW w:w="4536" w:type="dxa"/>
            <w:shd w:val="clear" w:color="auto" w:fill="auto"/>
          </w:tcPr>
          <w:p w:rsidR="0025312D" w:rsidRPr="005B07BB" w:rsidRDefault="0025312D" w:rsidP="009F6F95">
            <w:pPr>
              <w:spacing w:before="60" w:after="60"/>
            </w:pPr>
            <w:r>
              <w:rPr>
                <w:noProof/>
                <w:lang w:eastAsia="en-GB"/>
              </w:rPr>
              <w:drawing>
                <wp:inline distT="0" distB="0" distL="0" distR="0">
                  <wp:extent cx="2870835" cy="2158365"/>
                  <wp:effectExtent l="0" t="0" r="5715" b="0"/>
                  <wp:docPr id="21" name="Picture 1" descr="&lt;Chart&gt;&lt;ImageInfo Version=&quot;5.2.1877.2450&quot; GUID=&quot;7e652d4c914740bbb80711177d781839&quot; DsId=&quot;XNDE902&quot; T1SubID=&quot;&quot; Width=&quot;302&quot; Height=&quot;226&quot; Format=&quot;emf&quot; ChartGroupUID=&quot;2896ea66-bf59-411f-b992-0030babf2857&quot; GroupName=&quot;Jan De Kerpel&quot; ChartName=&quot;belgian bio-ytd&quot; ChartStyleName=&quot;&quot; GroupNameEncoded=&quot;Jan+De+Kerpel&quot; ChartNameEncoded=&quot;belgian+bio-ytd&quot; ChartStyleNameEncoded=&quot;&quot; ShortCode=&quot;&quot; ChartOwner=&quot;XNDE902&quot; TemplateId=&quot;&quot; TemplateName=&quot;&quot; TemplateNameEncoded=&quot;&quot; EditionId=&quot;&quot; EditionGenerationDate=&quot;&quot; RefreshDate=&quot;09/11/2014 23:18:01&quot; ExportChartsIn=&quot;CurrentDoc&quot; ExportChartsTo=&quot; &quot; ExportChartAs=&quot; &quot; SpecifiedCellRow=&quot;0&quot; SpecifiedCellCol=&quot;0&quot; NoofColumns=&quot;1&quot; NoofChartPerPage=&quot;0&quot; SpaceBetweenCharts=&quot;2&quot; SpaceBetweenRowChart=&quot;2&quot; Transparent=&quot;1&quot; NoofRows=&quot;1&quot; LeftMargin=&quot;0&quot; RightMargin=&quot;0&quot; TopMargin=&quot;0&quot; FootMargin=&quot;0&quot; Orientation=&quot;&quot; FileNameTemplate=&quot;&quot; ImageFileName=&quot;&quot; ChartTitle=&quot;&quot; /&gt;&lt;/Chart&g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lt;Chart&gt;&lt;ImageInfo Version=&quot;5.2.1877.2450&quot; GUID=&quot;7e652d4c914740bbb80711177d781839&quot; DsId=&quot;XNDE902&quot; T1SubID=&quot;&quot; Width=&quot;302&quot; Height=&quot;226&quot; Format=&quot;emf&quot; ChartGroupUID=&quot;2896ea66-bf59-411f-b992-0030babf2857&quot; GroupName=&quot;Jan De Kerpel&quot; ChartName=&quot;belgian bio-ytd&quot; ChartStyleName=&quot;&quot; GroupNameEncoded=&quot;Jan+De+Kerpel&quot; ChartNameEncoded=&quot;belgian+bio-ytd&quot; ChartStyleNameEncoded=&quot;&quot; ShortCode=&quot;&quot; ChartOwner=&quot;XNDE902&quot; TemplateId=&quot;&quot; TemplateName=&quot;&quot; TemplateNameEncoded=&quot;&quot; EditionId=&quot;&quot; EditionGenerationDate=&quot;&quot; RefreshDate=&quot;09/11/2014 23:18:01&quot; ExportChartsIn=&quot;CurrentDoc&quot; ExportChartsTo=&quot; &quot; ExportChartAs=&quot; &quot; SpecifiedCellRow=&quot;0&quot; SpecifiedCellCol=&quot;0&quot; NoofColumns=&quot;1&quot; NoofChartPerPage=&quot;0&quot; SpaceBetweenCharts=&quot;2&quot; SpaceBetweenRowChart=&quot;2&quot; Transparent=&quot;1&quot; NoofRows=&quot;1&quot; LeftMargin=&quot;0&quot; RightMargin=&quot;0&quot; TopMargin=&quot;0&quot; FootMargin=&quot;0&quot; Orientation=&quot;&quot; FileNameTemplate=&quot;&quot; ImageFileName=&quot;&quot; ChartTitle=&quot;&quot; /&gt;&lt;/Chart&gt;"/>
                          <pic:cNvPicPr>
                            <a:picLocks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70835" cy="2158365"/>
                          </a:xfrm>
                          <a:prstGeom prst="rect">
                            <a:avLst/>
                          </a:prstGeom>
                          <a:noFill/>
                          <a:ln>
                            <a:noFill/>
                          </a:ln>
                        </pic:spPr>
                      </pic:pic>
                    </a:graphicData>
                  </a:graphic>
                </wp:inline>
              </w:drawing>
            </w:r>
          </w:p>
        </w:tc>
        <w:tc>
          <w:tcPr>
            <w:tcW w:w="567" w:type="dxa"/>
            <w:shd w:val="clear" w:color="auto" w:fill="auto"/>
          </w:tcPr>
          <w:p w:rsidR="0025312D" w:rsidRDefault="0025312D" w:rsidP="009F6F95"/>
        </w:tc>
        <w:tc>
          <w:tcPr>
            <w:tcW w:w="4536" w:type="dxa"/>
            <w:shd w:val="clear" w:color="auto" w:fill="auto"/>
          </w:tcPr>
          <w:p w:rsidR="0025312D" w:rsidRPr="005B07BB" w:rsidRDefault="0025312D" w:rsidP="009F6F95">
            <w:pPr>
              <w:spacing w:before="60" w:after="60"/>
            </w:pPr>
            <w:r>
              <w:rPr>
                <w:noProof/>
                <w:lang w:eastAsia="en-GB"/>
              </w:rPr>
              <w:drawing>
                <wp:inline distT="0" distB="0" distL="0" distR="0">
                  <wp:extent cx="2877820" cy="2158365"/>
                  <wp:effectExtent l="0" t="0" r="0" b="0"/>
                  <wp:docPr id="20" name="Picture 2" descr="&lt;Chart&gt;&lt;ImageInfo Version=&quot;5.2.1877.2450&quot; GUID=&quot;d4a1bd1d21b442a199da51439854537c&quot; DsId=&quot;XNDE902&quot; T1SubID=&quot;&quot; Width=&quot;302&quot; Height=&quot;226&quot; Format=&quot;emf&quot; ChartGroupUID=&quot;208bab12-d6c3-410c-ad06-e0dd97eec7f9&quot; GroupName=&quot;Jan De Kerpel&quot; ChartName=&quot;Biotech indices&quot; ChartStyleName=&quot;&quot; GroupNameEncoded=&quot;Jan+De+Kerpel&quot; ChartNameEncoded=&quot;Biotech+indices&quot; ChartStyleNameEncoded=&quot;&quot; ShortCode=&quot;&quot; ChartOwner=&quot;XNDE902&quot; TemplateId=&quot;&quot; TemplateName=&quot;&quot; TemplateNameEncoded=&quot;&quot; EditionId=&quot;&quot; EditionGenerationDate=&quot;&quot; RefreshDate=&quot;10/11/2014 11:51:24&quot; ExportChartsIn=&quot;CurrentDoc&quot; ExportChartsTo=&quot; &quot; ExportChartAs=&quot; &quot; SpecifiedCellRow=&quot;0&quot; SpecifiedCellCol=&quot;0&quot; NoofColumns=&quot;1&quot; NoofChartPerPage=&quot;0&quot; SpaceBetweenCharts=&quot;2&quot; SpaceBetweenRowChart=&quot;2&quot; Transparent=&quot;1&quot; NoofRows=&quot;1&quot; LeftMargin=&quot;0&quot; RightMargin=&quot;0&quot; TopMargin=&quot;0&quot; FootMargin=&quot;0&quot; Orientation=&quot;&quot; FileNameTemplate=&quot;&quot; ImageFileName=&quot;&quot; ChartTitle=&quot;&quot; /&gt;&lt;/Chart&g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lt;Chart&gt;&lt;ImageInfo Version=&quot;5.2.1877.2450&quot; GUID=&quot;d4a1bd1d21b442a199da51439854537c&quot; DsId=&quot;XNDE902&quot; T1SubID=&quot;&quot; Width=&quot;302&quot; Height=&quot;226&quot; Format=&quot;emf&quot; ChartGroupUID=&quot;208bab12-d6c3-410c-ad06-e0dd97eec7f9&quot; GroupName=&quot;Jan De Kerpel&quot; ChartName=&quot;Biotech indices&quot; ChartStyleName=&quot;&quot; GroupNameEncoded=&quot;Jan+De+Kerpel&quot; ChartNameEncoded=&quot;Biotech+indices&quot; ChartStyleNameEncoded=&quot;&quot; ShortCode=&quot;&quot; ChartOwner=&quot;XNDE902&quot; TemplateId=&quot;&quot; TemplateName=&quot;&quot; TemplateNameEncoded=&quot;&quot; EditionId=&quot;&quot; EditionGenerationDate=&quot;&quot; RefreshDate=&quot;10/11/2014 11:51:24&quot; ExportChartsIn=&quot;CurrentDoc&quot; ExportChartsTo=&quot; &quot; ExportChartAs=&quot; &quot; SpecifiedCellRow=&quot;0&quot; SpecifiedCellCol=&quot;0&quot; NoofColumns=&quot;1&quot; NoofChartPerPage=&quot;0&quot; SpaceBetweenCharts=&quot;2&quot; SpaceBetweenRowChart=&quot;2&quot; Transparent=&quot;1&quot; NoofRows=&quot;1&quot; LeftMargin=&quot;0&quot; RightMargin=&quot;0&quot; TopMargin=&quot;0&quot; FootMargin=&quot;0&quot; Orientation=&quot;&quot; FileNameTemplate=&quot;&quot; ImageFileName=&quot;&quot; ChartTitle=&quot;&quot; /&gt;&lt;/Chart&gt;"/>
                          <pic:cNvPicPr>
                            <a:picLocks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77820" cy="2158365"/>
                          </a:xfrm>
                          <a:prstGeom prst="rect">
                            <a:avLst/>
                          </a:prstGeom>
                          <a:noFill/>
                          <a:ln>
                            <a:noFill/>
                          </a:ln>
                        </pic:spPr>
                      </pic:pic>
                    </a:graphicData>
                  </a:graphic>
                </wp:inline>
              </w:drawing>
            </w:r>
          </w:p>
        </w:tc>
      </w:tr>
      <w:tr w:rsidR="0025312D" w:rsidTr="009F6F95">
        <w:tc>
          <w:tcPr>
            <w:tcW w:w="9639" w:type="dxa"/>
            <w:gridSpan w:val="3"/>
            <w:shd w:val="clear" w:color="auto" w:fill="auto"/>
          </w:tcPr>
          <w:p w:rsidR="0025312D" w:rsidRDefault="0025312D" w:rsidP="009F6F95">
            <w:pPr>
              <w:pStyle w:val="Source"/>
            </w:pPr>
            <w:r>
              <w:rPr>
                <w:lang w:eastAsia="nl-NL"/>
              </w:rPr>
              <w:t xml:space="preserve">Source: KBC Securities research and Thomson </w:t>
            </w:r>
            <w:proofErr w:type="spellStart"/>
            <w:r>
              <w:rPr>
                <w:lang w:eastAsia="nl-NL"/>
              </w:rPr>
              <w:t>Datastream</w:t>
            </w:r>
            <w:proofErr w:type="spellEnd"/>
            <w:r>
              <w:rPr>
                <w:lang w:eastAsia="nl-NL"/>
              </w:rPr>
              <w:t xml:space="preserve">                                       (year-to-date graphs exclude 2014 IPO companies)</w:t>
            </w:r>
          </w:p>
        </w:tc>
      </w:tr>
    </w:tbl>
    <w:p w:rsidR="0025312D" w:rsidRDefault="0025312D" w:rsidP="0025312D">
      <w:pPr>
        <w:pStyle w:val="Text"/>
      </w:pPr>
    </w:p>
    <w:tbl>
      <w:tblPr>
        <w:tblW w:w="9639" w:type="dxa"/>
        <w:tblLayout w:type="fixed"/>
        <w:tblCellMar>
          <w:left w:w="0" w:type="dxa"/>
          <w:right w:w="0" w:type="dxa"/>
        </w:tblCellMar>
        <w:tblLook w:val="01E0" w:firstRow="1" w:lastRow="1" w:firstColumn="1" w:lastColumn="1" w:noHBand="0" w:noVBand="0"/>
      </w:tblPr>
      <w:tblGrid>
        <w:gridCol w:w="3118"/>
        <w:gridCol w:w="567"/>
        <w:gridCol w:w="5954"/>
      </w:tblGrid>
      <w:tr w:rsidR="0025312D" w:rsidRPr="003803C6" w:rsidTr="009F6F95">
        <w:tc>
          <w:tcPr>
            <w:tcW w:w="3118" w:type="dxa"/>
            <w:shd w:val="clear" w:color="auto" w:fill="auto"/>
          </w:tcPr>
          <w:p w:rsidR="0025312D" w:rsidRPr="00505F1D" w:rsidRDefault="0025312D" w:rsidP="009F6F95">
            <w:pPr>
              <w:pStyle w:val="Heading40"/>
              <w:jc w:val="both"/>
            </w:pPr>
          </w:p>
        </w:tc>
        <w:tc>
          <w:tcPr>
            <w:tcW w:w="567" w:type="dxa"/>
            <w:shd w:val="clear" w:color="auto" w:fill="auto"/>
          </w:tcPr>
          <w:p w:rsidR="0025312D" w:rsidRPr="003803C6" w:rsidRDefault="0025312D" w:rsidP="009F6F95">
            <w:pPr>
              <w:spacing w:line="260" w:lineRule="exact"/>
              <w:jc w:val="both"/>
              <w:rPr>
                <w:sz w:val="19"/>
                <w:szCs w:val="19"/>
                <w:lang w:eastAsia="nl-NL"/>
              </w:rPr>
            </w:pPr>
          </w:p>
        </w:tc>
        <w:tc>
          <w:tcPr>
            <w:tcW w:w="5954" w:type="dxa"/>
            <w:shd w:val="clear" w:color="auto" w:fill="auto"/>
          </w:tcPr>
          <w:p w:rsidR="0025312D" w:rsidRPr="003803C6" w:rsidRDefault="0025312D" w:rsidP="009F6F95">
            <w:pPr>
              <w:pStyle w:val="HEADING20"/>
              <w:jc w:val="both"/>
              <w:rPr>
                <w:sz w:val="19"/>
                <w:szCs w:val="19"/>
              </w:rPr>
            </w:pPr>
            <w:r w:rsidRPr="003803C6">
              <w:rPr>
                <w:sz w:val="19"/>
                <w:szCs w:val="19"/>
              </w:rPr>
              <w:t>benelux biotech index</w:t>
            </w:r>
          </w:p>
        </w:tc>
      </w:tr>
      <w:tr w:rsidR="0025312D" w:rsidRPr="003803C6" w:rsidTr="009F6F95">
        <w:tc>
          <w:tcPr>
            <w:tcW w:w="3118" w:type="dxa"/>
            <w:shd w:val="clear" w:color="auto" w:fill="auto"/>
          </w:tcPr>
          <w:p w:rsidR="0025312D" w:rsidRPr="00C36E05" w:rsidRDefault="0025312D" w:rsidP="009F6F95">
            <w:pPr>
              <w:pStyle w:val="Heading40"/>
              <w:jc w:val="both"/>
            </w:pPr>
            <w:r>
              <w:t>Benelux Biotech index beats US and European biotech indices</w:t>
            </w:r>
          </w:p>
        </w:tc>
        <w:tc>
          <w:tcPr>
            <w:tcW w:w="567" w:type="dxa"/>
            <w:shd w:val="clear" w:color="auto" w:fill="auto"/>
          </w:tcPr>
          <w:p w:rsidR="0025312D" w:rsidRPr="003803C6" w:rsidRDefault="0025312D" w:rsidP="009F6F95">
            <w:pPr>
              <w:spacing w:line="260" w:lineRule="exact"/>
              <w:jc w:val="both"/>
              <w:rPr>
                <w:sz w:val="19"/>
                <w:szCs w:val="19"/>
                <w:lang w:eastAsia="nl-NL"/>
              </w:rPr>
            </w:pPr>
          </w:p>
        </w:tc>
        <w:tc>
          <w:tcPr>
            <w:tcW w:w="5954" w:type="dxa"/>
            <w:shd w:val="clear" w:color="auto" w:fill="auto"/>
          </w:tcPr>
          <w:p w:rsidR="0025312D" w:rsidRPr="008540FD" w:rsidRDefault="0025312D" w:rsidP="009F6F95">
            <w:pPr>
              <w:pStyle w:val="Text"/>
            </w:pPr>
            <w:r>
              <w:t xml:space="preserve">After a very strong start in 1H14, our composite Benelux Biotech index declined in 2H14, but still has a 37% gain year-to-date, beating another strong year of the Nasdaq biotech index (+30%), and largely outperforming the European biotech index (+3%), and the European small-cap index (-5%). </w:t>
            </w:r>
          </w:p>
        </w:tc>
      </w:tr>
    </w:tbl>
    <w:p w:rsidR="0025312D" w:rsidRDefault="0025312D" w:rsidP="0025312D"/>
    <w:tbl>
      <w:tblPr>
        <w:tblW w:w="9639" w:type="dxa"/>
        <w:tblLayout w:type="fixed"/>
        <w:tblCellMar>
          <w:left w:w="0" w:type="dxa"/>
          <w:right w:w="0" w:type="dxa"/>
        </w:tblCellMar>
        <w:tblLook w:val="01E0" w:firstRow="1" w:lastRow="1" w:firstColumn="1" w:lastColumn="1" w:noHBand="0" w:noVBand="0"/>
      </w:tblPr>
      <w:tblGrid>
        <w:gridCol w:w="3118"/>
        <w:gridCol w:w="567"/>
        <w:gridCol w:w="5954"/>
      </w:tblGrid>
      <w:tr w:rsidR="0025312D" w:rsidRPr="003803C6" w:rsidTr="009F6F95">
        <w:tc>
          <w:tcPr>
            <w:tcW w:w="3118" w:type="dxa"/>
            <w:shd w:val="clear" w:color="auto" w:fill="auto"/>
          </w:tcPr>
          <w:p w:rsidR="0025312D" w:rsidRPr="00C36E05" w:rsidRDefault="0025312D" w:rsidP="009F6F95">
            <w:pPr>
              <w:pStyle w:val="Heading40"/>
              <w:jc w:val="both"/>
            </w:pPr>
            <w:r>
              <w:t>Benelux biotech index: &gt;75% of the constituents gained YTD</w:t>
            </w:r>
          </w:p>
        </w:tc>
        <w:tc>
          <w:tcPr>
            <w:tcW w:w="567" w:type="dxa"/>
            <w:shd w:val="clear" w:color="auto" w:fill="auto"/>
          </w:tcPr>
          <w:p w:rsidR="0025312D" w:rsidRPr="003803C6" w:rsidRDefault="0025312D" w:rsidP="009F6F95">
            <w:pPr>
              <w:spacing w:line="260" w:lineRule="exact"/>
              <w:jc w:val="both"/>
              <w:rPr>
                <w:sz w:val="19"/>
                <w:szCs w:val="19"/>
                <w:lang w:eastAsia="nl-NL"/>
              </w:rPr>
            </w:pPr>
          </w:p>
        </w:tc>
        <w:tc>
          <w:tcPr>
            <w:tcW w:w="5954" w:type="dxa"/>
            <w:shd w:val="clear" w:color="auto" w:fill="auto"/>
          </w:tcPr>
          <w:p w:rsidR="0025312D" w:rsidRDefault="0025312D" w:rsidP="009F6F95">
            <w:pPr>
              <w:pStyle w:val="Text"/>
            </w:pPr>
            <w:r>
              <w:t>While over 75% of the constituents have made gains YTD, the Benelux biotech index reflects the wide-ranging performances of its members, with the +250% performances of Pharming and Prosensa comfortably offsetting the 63% decline of Thrombogenics (2014-listed companies are excluded from our year-to-date analysis).</w:t>
            </w:r>
          </w:p>
        </w:tc>
      </w:tr>
    </w:tbl>
    <w:p w:rsidR="0025312D" w:rsidRDefault="0025312D" w:rsidP="0025312D"/>
    <w:tbl>
      <w:tblPr>
        <w:tblW w:w="9639" w:type="dxa"/>
        <w:tblLayout w:type="fixed"/>
        <w:tblCellMar>
          <w:left w:w="0" w:type="dxa"/>
          <w:right w:w="0" w:type="dxa"/>
        </w:tblCellMar>
        <w:tblLook w:val="01E0" w:firstRow="1" w:lastRow="1" w:firstColumn="1" w:lastColumn="1" w:noHBand="0" w:noVBand="0"/>
      </w:tblPr>
      <w:tblGrid>
        <w:gridCol w:w="3118"/>
        <w:gridCol w:w="567"/>
        <w:gridCol w:w="5954"/>
      </w:tblGrid>
      <w:tr w:rsidR="0025312D" w:rsidRPr="003803C6" w:rsidTr="009F6F95">
        <w:tc>
          <w:tcPr>
            <w:tcW w:w="3118" w:type="dxa"/>
            <w:shd w:val="clear" w:color="auto" w:fill="auto"/>
          </w:tcPr>
          <w:p w:rsidR="0025312D" w:rsidRDefault="0025312D" w:rsidP="009F6F95">
            <w:pPr>
              <w:pStyle w:val="Heading40"/>
              <w:jc w:val="both"/>
            </w:pPr>
          </w:p>
        </w:tc>
        <w:tc>
          <w:tcPr>
            <w:tcW w:w="567" w:type="dxa"/>
            <w:shd w:val="clear" w:color="auto" w:fill="auto"/>
          </w:tcPr>
          <w:p w:rsidR="0025312D" w:rsidRPr="003803C6" w:rsidRDefault="0025312D" w:rsidP="009F6F95">
            <w:pPr>
              <w:spacing w:line="260" w:lineRule="exact"/>
              <w:jc w:val="both"/>
              <w:rPr>
                <w:sz w:val="19"/>
                <w:szCs w:val="19"/>
                <w:lang w:eastAsia="nl-NL"/>
              </w:rPr>
            </w:pPr>
          </w:p>
        </w:tc>
        <w:tc>
          <w:tcPr>
            <w:tcW w:w="5954" w:type="dxa"/>
            <w:shd w:val="clear" w:color="auto" w:fill="auto"/>
          </w:tcPr>
          <w:p w:rsidR="0025312D" w:rsidRDefault="0025312D" w:rsidP="009F6F95">
            <w:pPr>
              <w:pStyle w:val="HEADING20"/>
            </w:pPr>
            <w:r>
              <w:t>Record high number of IPOs</w:t>
            </w:r>
          </w:p>
        </w:tc>
      </w:tr>
      <w:tr w:rsidR="00FC67DB" w:rsidRPr="003803C6" w:rsidTr="009F6F95">
        <w:tc>
          <w:tcPr>
            <w:tcW w:w="3118" w:type="dxa"/>
            <w:shd w:val="clear" w:color="auto" w:fill="auto"/>
          </w:tcPr>
          <w:p w:rsidR="00FC67DB" w:rsidRDefault="00FC67DB" w:rsidP="002E59AF">
            <w:pPr>
              <w:pStyle w:val="Heading40"/>
              <w:jc w:val="both"/>
            </w:pPr>
            <w:r>
              <w:t>2014 market by high number of IPOs</w:t>
            </w:r>
          </w:p>
        </w:tc>
        <w:tc>
          <w:tcPr>
            <w:tcW w:w="567" w:type="dxa"/>
            <w:shd w:val="clear" w:color="auto" w:fill="auto"/>
          </w:tcPr>
          <w:p w:rsidR="00FC67DB" w:rsidRPr="003803C6" w:rsidRDefault="00FC67DB" w:rsidP="002E59AF">
            <w:pPr>
              <w:spacing w:line="260" w:lineRule="exact"/>
              <w:jc w:val="both"/>
              <w:rPr>
                <w:sz w:val="19"/>
                <w:szCs w:val="19"/>
                <w:lang w:eastAsia="nl-NL"/>
              </w:rPr>
            </w:pPr>
          </w:p>
        </w:tc>
        <w:tc>
          <w:tcPr>
            <w:tcW w:w="5954" w:type="dxa"/>
            <w:shd w:val="clear" w:color="auto" w:fill="auto"/>
          </w:tcPr>
          <w:p w:rsidR="00FC67DB" w:rsidRDefault="00FC67DB" w:rsidP="002E59AF">
            <w:pPr>
              <w:pStyle w:val="Text"/>
            </w:pPr>
            <w:r>
              <w:t xml:space="preserve">2014 was marked by a record number of biotech IPOs of Benelux-linked companies. Belgian </w:t>
            </w:r>
            <w:proofErr w:type="spellStart"/>
            <w:r>
              <w:t>arGEN</w:t>
            </w:r>
            <w:proofErr w:type="spellEnd"/>
            <w:r>
              <w:t xml:space="preserve">-X and </w:t>
            </w:r>
            <w:proofErr w:type="spellStart"/>
            <w:r>
              <w:t>Belgo</w:t>
            </w:r>
            <w:proofErr w:type="spellEnd"/>
            <w:r>
              <w:t xml:space="preserve">-French Genticel chose to list on Euronext Brussels, while Dutch </w:t>
            </w:r>
            <w:proofErr w:type="spellStart"/>
            <w:r>
              <w:t>uniQure</w:t>
            </w:r>
            <w:proofErr w:type="spellEnd"/>
            <w:r>
              <w:t xml:space="preserve"> and </w:t>
            </w:r>
            <w:proofErr w:type="spellStart"/>
            <w:r>
              <w:t>ProQr</w:t>
            </w:r>
            <w:proofErr w:type="spellEnd"/>
            <w:r>
              <w:t xml:space="preserve"> listed on Nasdaq. With this number of listings, Benelux Biotech confirms its leading position in Europe, joining the French and UK markets which saw a high number of IPOs in 2014.</w:t>
            </w:r>
          </w:p>
        </w:tc>
      </w:tr>
    </w:tbl>
    <w:p w:rsidR="0025312D" w:rsidRDefault="0025312D" w:rsidP="0025312D"/>
    <w:tbl>
      <w:tblPr>
        <w:tblW w:w="9639" w:type="dxa"/>
        <w:tblLayout w:type="fixed"/>
        <w:tblCellMar>
          <w:left w:w="0" w:type="dxa"/>
          <w:right w:w="0" w:type="dxa"/>
        </w:tblCellMar>
        <w:tblLook w:val="01E0" w:firstRow="1" w:lastRow="1" w:firstColumn="1" w:lastColumn="1" w:noHBand="0" w:noVBand="0"/>
      </w:tblPr>
      <w:tblGrid>
        <w:gridCol w:w="3118"/>
        <w:gridCol w:w="567"/>
        <w:gridCol w:w="5954"/>
      </w:tblGrid>
      <w:tr w:rsidR="0025312D" w:rsidRPr="003803C6" w:rsidTr="009F6F95">
        <w:tc>
          <w:tcPr>
            <w:tcW w:w="3118" w:type="dxa"/>
            <w:shd w:val="clear" w:color="auto" w:fill="auto"/>
          </w:tcPr>
          <w:p w:rsidR="0025312D" w:rsidRDefault="0025312D" w:rsidP="009F6F95">
            <w:pPr>
              <w:pStyle w:val="Heading40"/>
              <w:jc w:val="both"/>
            </w:pPr>
            <w:r>
              <w:t>Benelux biotech pulls € 320m out of markets via IPOs and 4 private raisings</w:t>
            </w:r>
          </w:p>
        </w:tc>
        <w:tc>
          <w:tcPr>
            <w:tcW w:w="567" w:type="dxa"/>
            <w:shd w:val="clear" w:color="auto" w:fill="auto"/>
          </w:tcPr>
          <w:p w:rsidR="0025312D" w:rsidRPr="003803C6" w:rsidRDefault="0025312D" w:rsidP="009F6F95">
            <w:pPr>
              <w:spacing w:line="260" w:lineRule="exact"/>
              <w:jc w:val="both"/>
              <w:rPr>
                <w:sz w:val="19"/>
                <w:szCs w:val="19"/>
                <w:lang w:eastAsia="nl-NL"/>
              </w:rPr>
            </w:pPr>
          </w:p>
        </w:tc>
        <w:tc>
          <w:tcPr>
            <w:tcW w:w="5954" w:type="dxa"/>
            <w:shd w:val="clear" w:color="auto" w:fill="auto"/>
          </w:tcPr>
          <w:p w:rsidR="0025312D" w:rsidRDefault="0025312D" w:rsidP="009F6F95">
            <w:pPr>
              <w:pStyle w:val="Text"/>
            </w:pPr>
            <w:r>
              <w:t xml:space="preserve">The four IPOs raised € 225m and combined with the private placements of Ablynx, Cardio3, MDxHealth, and Pharming, the amount raised in 2014 by public Benelux </w:t>
            </w:r>
            <w:proofErr w:type="spellStart"/>
            <w:r>
              <w:t>biotechs</w:t>
            </w:r>
            <w:proofErr w:type="spellEnd"/>
            <w:r>
              <w:t xml:space="preserve"> reached a record € 320m.</w:t>
            </w:r>
          </w:p>
        </w:tc>
      </w:tr>
      <w:tr w:rsidR="0025312D" w:rsidRPr="003803C6" w:rsidTr="009F6F95">
        <w:tc>
          <w:tcPr>
            <w:tcW w:w="3118" w:type="dxa"/>
            <w:shd w:val="clear" w:color="auto" w:fill="auto"/>
          </w:tcPr>
          <w:p w:rsidR="0025312D" w:rsidRPr="00505F1D" w:rsidRDefault="0025312D" w:rsidP="009F6F95">
            <w:pPr>
              <w:pStyle w:val="Heading40"/>
              <w:jc w:val="both"/>
            </w:pPr>
          </w:p>
        </w:tc>
        <w:tc>
          <w:tcPr>
            <w:tcW w:w="567" w:type="dxa"/>
            <w:shd w:val="clear" w:color="auto" w:fill="auto"/>
          </w:tcPr>
          <w:p w:rsidR="0025312D" w:rsidRPr="003803C6" w:rsidRDefault="0025312D" w:rsidP="009F6F95">
            <w:pPr>
              <w:spacing w:line="260" w:lineRule="exact"/>
              <w:jc w:val="both"/>
              <w:rPr>
                <w:sz w:val="19"/>
                <w:szCs w:val="19"/>
                <w:lang w:eastAsia="nl-NL"/>
              </w:rPr>
            </w:pPr>
          </w:p>
        </w:tc>
        <w:tc>
          <w:tcPr>
            <w:tcW w:w="5954" w:type="dxa"/>
            <w:shd w:val="clear" w:color="auto" w:fill="auto"/>
          </w:tcPr>
          <w:p w:rsidR="0025312D" w:rsidRPr="003803C6" w:rsidRDefault="0025312D" w:rsidP="009F6F95">
            <w:pPr>
              <w:pStyle w:val="HEADING20"/>
              <w:jc w:val="both"/>
              <w:rPr>
                <w:sz w:val="19"/>
                <w:szCs w:val="19"/>
              </w:rPr>
            </w:pPr>
            <w:r>
              <w:rPr>
                <w:sz w:val="19"/>
                <w:szCs w:val="19"/>
              </w:rPr>
              <w:t>Pipeline progression, acquisitons and divestments</w:t>
            </w:r>
          </w:p>
        </w:tc>
      </w:tr>
      <w:tr w:rsidR="00FC67DB" w:rsidRPr="003803C6" w:rsidTr="009F6F95">
        <w:tc>
          <w:tcPr>
            <w:tcW w:w="3118" w:type="dxa"/>
            <w:shd w:val="clear" w:color="auto" w:fill="auto"/>
          </w:tcPr>
          <w:p w:rsidR="00FC67DB" w:rsidRPr="00C36E05" w:rsidRDefault="00FC67DB" w:rsidP="002E59AF">
            <w:pPr>
              <w:pStyle w:val="Heading40"/>
              <w:jc w:val="both"/>
            </w:pPr>
            <w:r>
              <w:t>Benelux sector continued to progress</w:t>
            </w:r>
          </w:p>
        </w:tc>
        <w:tc>
          <w:tcPr>
            <w:tcW w:w="567" w:type="dxa"/>
            <w:shd w:val="clear" w:color="auto" w:fill="auto"/>
          </w:tcPr>
          <w:p w:rsidR="00FC67DB" w:rsidRPr="003803C6" w:rsidRDefault="00FC67DB" w:rsidP="002E59AF">
            <w:pPr>
              <w:spacing w:line="260" w:lineRule="exact"/>
              <w:jc w:val="both"/>
              <w:rPr>
                <w:sz w:val="19"/>
                <w:szCs w:val="19"/>
                <w:lang w:eastAsia="nl-NL"/>
              </w:rPr>
            </w:pPr>
          </w:p>
        </w:tc>
        <w:tc>
          <w:tcPr>
            <w:tcW w:w="5954" w:type="dxa"/>
            <w:shd w:val="clear" w:color="auto" w:fill="auto"/>
          </w:tcPr>
          <w:p w:rsidR="00FC67DB" w:rsidRPr="008540FD" w:rsidRDefault="00FC67DB" w:rsidP="002E59AF">
            <w:pPr>
              <w:pStyle w:val="Text"/>
            </w:pPr>
            <w:r>
              <w:t xml:space="preserve">The Benelux biotech index performed well and newly-listed companies provided new blood to the public market. While for some companies, 2014 was a transition year towards the next pipeline milestone, others moved pipeline products to the next phase or made important strategic decisions. </w:t>
            </w:r>
          </w:p>
        </w:tc>
      </w:tr>
    </w:tbl>
    <w:p w:rsidR="0025312D" w:rsidRDefault="0025312D" w:rsidP="0025312D"/>
    <w:tbl>
      <w:tblPr>
        <w:tblW w:w="9639" w:type="dxa"/>
        <w:tblLayout w:type="fixed"/>
        <w:tblCellMar>
          <w:left w:w="0" w:type="dxa"/>
          <w:right w:w="0" w:type="dxa"/>
        </w:tblCellMar>
        <w:tblLook w:val="01E0" w:firstRow="1" w:lastRow="1" w:firstColumn="1" w:lastColumn="1" w:noHBand="0" w:noVBand="0"/>
      </w:tblPr>
      <w:tblGrid>
        <w:gridCol w:w="3118"/>
        <w:gridCol w:w="567"/>
        <w:gridCol w:w="5954"/>
      </w:tblGrid>
      <w:tr w:rsidR="00FC67DB" w:rsidRPr="003803C6" w:rsidTr="009F6F95">
        <w:tc>
          <w:tcPr>
            <w:tcW w:w="3118" w:type="dxa"/>
            <w:shd w:val="clear" w:color="auto" w:fill="auto"/>
          </w:tcPr>
          <w:p w:rsidR="00FC67DB" w:rsidRDefault="00FC67DB" w:rsidP="002E59AF">
            <w:pPr>
              <w:pStyle w:val="Heading40"/>
              <w:jc w:val="both"/>
            </w:pPr>
            <w:r>
              <w:t xml:space="preserve">In 2014, six </w:t>
            </w:r>
            <w:proofErr w:type="spellStart"/>
            <w:r>
              <w:t>biotechs</w:t>
            </w:r>
            <w:proofErr w:type="spellEnd"/>
            <w:r>
              <w:t xml:space="preserve"> pushed a lead product in to the next phase </w:t>
            </w:r>
          </w:p>
          <w:p w:rsidR="00FC67DB" w:rsidRDefault="00FC67DB" w:rsidP="002E59AF">
            <w:pPr>
              <w:pStyle w:val="Heading40"/>
              <w:jc w:val="both"/>
            </w:pPr>
          </w:p>
          <w:p w:rsidR="00FC67DB" w:rsidRDefault="00FC67DB" w:rsidP="002E59AF">
            <w:pPr>
              <w:pStyle w:val="Heading40"/>
              <w:jc w:val="both"/>
            </w:pPr>
          </w:p>
          <w:p w:rsidR="00FC67DB" w:rsidRDefault="00FC67DB" w:rsidP="002E59AF">
            <w:pPr>
              <w:pStyle w:val="Heading40"/>
              <w:jc w:val="both"/>
            </w:pPr>
          </w:p>
          <w:p w:rsidR="00FC67DB" w:rsidRDefault="00FC67DB" w:rsidP="002E59AF">
            <w:pPr>
              <w:pStyle w:val="Heading40"/>
              <w:jc w:val="both"/>
            </w:pPr>
          </w:p>
        </w:tc>
        <w:tc>
          <w:tcPr>
            <w:tcW w:w="567" w:type="dxa"/>
            <w:shd w:val="clear" w:color="auto" w:fill="auto"/>
          </w:tcPr>
          <w:p w:rsidR="00FC67DB" w:rsidRPr="003803C6" w:rsidRDefault="00FC67DB" w:rsidP="002E59AF">
            <w:pPr>
              <w:spacing w:line="260" w:lineRule="exact"/>
              <w:jc w:val="both"/>
              <w:rPr>
                <w:sz w:val="19"/>
                <w:szCs w:val="19"/>
                <w:lang w:eastAsia="nl-NL"/>
              </w:rPr>
            </w:pPr>
          </w:p>
        </w:tc>
        <w:tc>
          <w:tcPr>
            <w:tcW w:w="5954" w:type="dxa"/>
            <w:shd w:val="clear" w:color="auto" w:fill="auto"/>
          </w:tcPr>
          <w:p w:rsidR="00FC67DB" w:rsidRDefault="00FC67DB" w:rsidP="002E59AF">
            <w:pPr>
              <w:pStyle w:val="Text"/>
            </w:pPr>
            <w:r>
              <w:t xml:space="preserve">In 2014, Ablynx transitioned into a phase-3-ready company thanks to unexpectedly strong results in its TTP orphan program. Genticel kicked off its phase 2 </w:t>
            </w:r>
            <w:proofErr w:type="gramStart"/>
            <w:r>
              <w:t>program</w:t>
            </w:r>
            <w:proofErr w:type="gramEnd"/>
            <w:r>
              <w:t xml:space="preserve"> with its HPV therapeutic vaccine while </w:t>
            </w:r>
            <w:proofErr w:type="spellStart"/>
            <w:r>
              <w:t>arGEN</w:t>
            </w:r>
            <w:proofErr w:type="spellEnd"/>
            <w:r>
              <w:t xml:space="preserve">-X published the first results with its lead product in cancer patients and is preparing to start phase-2 testing. UCB published positive phase 3 results for a new epilepsy drug while </w:t>
            </w:r>
            <w:proofErr w:type="spellStart"/>
            <w:r>
              <w:t>Vimpat</w:t>
            </w:r>
            <w:proofErr w:type="spellEnd"/>
            <w:r>
              <w:t xml:space="preserve"> gained US approval in epilepsy monotherapy. Pharming got the thumbs up from the FDA for </w:t>
            </w:r>
            <w:proofErr w:type="spellStart"/>
            <w:r>
              <w:t>Ruconest</w:t>
            </w:r>
            <w:proofErr w:type="spellEnd"/>
            <w:r>
              <w:t xml:space="preserve"> and Prosensa is filing its drisapersen dossier for the US market. MDxHealth received Medicare support for </w:t>
            </w:r>
            <w:proofErr w:type="spellStart"/>
            <w:r>
              <w:t>ConfirmMDx</w:t>
            </w:r>
            <w:proofErr w:type="spellEnd"/>
            <w:r>
              <w:t>.</w:t>
            </w:r>
          </w:p>
        </w:tc>
      </w:tr>
    </w:tbl>
    <w:p w:rsidR="0025312D" w:rsidRDefault="0025312D" w:rsidP="0025312D">
      <w:pPr>
        <w:pStyle w:val="Text"/>
      </w:pPr>
    </w:p>
    <w:tbl>
      <w:tblPr>
        <w:tblW w:w="9639" w:type="dxa"/>
        <w:tblLayout w:type="fixed"/>
        <w:tblCellMar>
          <w:left w:w="0" w:type="dxa"/>
          <w:right w:w="0" w:type="dxa"/>
        </w:tblCellMar>
        <w:tblLook w:val="0000" w:firstRow="0" w:lastRow="0" w:firstColumn="0" w:lastColumn="0" w:noHBand="0" w:noVBand="0"/>
      </w:tblPr>
      <w:tblGrid>
        <w:gridCol w:w="1080"/>
        <w:gridCol w:w="1620"/>
        <w:gridCol w:w="1260"/>
        <w:gridCol w:w="900"/>
        <w:gridCol w:w="4638"/>
        <w:gridCol w:w="141"/>
      </w:tblGrid>
      <w:tr w:rsidR="0025312D" w:rsidRPr="00561FD8" w:rsidTr="009F6F95">
        <w:tc>
          <w:tcPr>
            <w:tcW w:w="9639" w:type="dxa"/>
            <w:gridSpan w:val="6"/>
            <w:vAlign w:val="center"/>
          </w:tcPr>
          <w:p w:rsidR="0025312D" w:rsidRPr="00561FD8" w:rsidRDefault="0025312D" w:rsidP="009F6F95">
            <w:pPr>
              <w:pStyle w:val="BEFORECHART"/>
            </w:pPr>
            <w:r>
              <w:t>Pivotal events in benelux biotech (public companies)</w:t>
            </w:r>
          </w:p>
        </w:tc>
      </w:tr>
      <w:tr w:rsidR="0025312D" w:rsidRPr="00561FD8" w:rsidTr="009F6F95">
        <w:tc>
          <w:tcPr>
            <w:tcW w:w="1080" w:type="dxa"/>
            <w:vAlign w:val="center"/>
          </w:tcPr>
          <w:p w:rsidR="0025312D" w:rsidRPr="00561FD8" w:rsidRDefault="0025312D" w:rsidP="009F6F95">
            <w:pPr>
              <w:pStyle w:val="Columnheading"/>
              <w:jc w:val="left"/>
            </w:pPr>
            <w:r>
              <w:t>Timing</w:t>
            </w:r>
          </w:p>
        </w:tc>
        <w:tc>
          <w:tcPr>
            <w:tcW w:w="1620" w:type="dxa"/>
            <w:vAlign w:val="center"/>
          </w:tcPr>
          <w:p w:rsidR="0025312D" w:rsidRPr="00561FD8" w:rsidRDefault="0025312D" w:rsidP="009F6F95">
            <w:pPr>
              <w:pStyle w:val="Columnheading"/>
              <w:jc w:val="left"/>
            </w:pPr>
            <w:r>
              <w:t>Company</w:t>
            </w:r>
          </w:p>
        </w:tc>
        <w:tc>
          <w:tcPr>
            <w:tcW w:w="1260" w:type="dxa"/>
            <w:vAlign w:val="center"/>
          </w:tcPr>
          <w:p w:rsidR="0025312D" w:rsidRPr="00561FD8" w:rsidRDefault="0025312D" w:rsidP="009F6F95">
            <w:pPr>
              <w:pStyle w:val="Columnheading"/>
              <w:jc w:val="left"/>
            </w:pPr>
            <w:r>
              <w:t>Project</w:t>
            </w:r>
          </w:p>
        </w:tc>
        <w:tc>
          <w:tcPr>
            <w:tcW w:w="900" w:type="dxa"/>
            <w:vAlign w:val="center"/>
          </w:tcPr>
          <w:p w:rsidR="0025312D" w:rsidRPr="00561FD8" w:rsidRDefault="0025312D" w:rsidP="009F6F95">
            <w:pPr>
              <w:pStyle w:val="Columnheading"/>
              <w:jc w:val="left"/>
            </w:pPr>
            <w:r>
              <w:t xml:space="preserve">Indication </w:t>
            </w:r>
          </w:p>
        </w:tc>
        <w:tc>
          <w:tcPr>
            <w:tcW w:w="4638" w:type="dxa"/>
            <w:shd w:val="clear" w:color="auto" w:fill="auto"/>
            <w:vAlign w:val="center"/>
          </w:tcPr>
          <w:p w:rsidR="0025312D" w:rsidRPr="00561FD8" w:rsidRDefault="0025312D" w:rsidP="009F6F95">
            <w:pPr>
              <w:pStyle w:val="Columnheading"/>
              <w:jc w:val="left"/>
            </w:pPr>
            <w:r>
              <w:t>Comment</w:t>
            </w:r>
          </w:p>
        </w:tc>
        <w:tc>
          <w:tcPr>
            <w:tcW w:w="141" w:type="dxa"/>
            <w:shd w:val="clear" w:color="auto" w:fill="auto"/>
            <w:vAlign w:val="center"/>
          </w:tcPr>
          <w:p w:rsidR="0025312D" w:rsidRPr="00561FD8" w:rsidRDefault="0025312D" w:rsidP="009F6F95">
            <w:pPr>
              <w:pStyle w:val="Columnheading"/>
            </w:pPr>
          </w:p>
        </w:tc>
      </w:tr>
      <w:tr w:rsidR="0025312D" w:rsidRPr="00561FD8" w:rsidTr="009F6F95">
        <w:tc>
          <w:tcPr>
            <w:tcW w:w="1080" w:type="dxa"/>
          </w:tcPr>
          <w:p w:rsidR="0025312D" w:rsidRPr="00561FD8" w:rsidRDefault="0025312D" w:rsidP="009F6F95">
            <w:pPr>
              <w:pStyle w:val="Textintable"/>
            </w:pPr>
            <w:r>
              <w:t>2Q14</w:t>
            </w:r>
          </w:p>
        </w:tc>
        <w:tc>
          <w:tcPr>
            <w:tcW w:w="1620" w:type="dxa"/>
          </w:tcPr>
          <w:p w:rsidR="0025312D" w:rsidRPr="00561FD8" w:rsidRDefault="0025312D" w:rsidP="009F6F95">
            <w:pPr>
              <w:pStyle w:val="Textintable"/>
            </w:pPr>
            <w:r>
              <w:t>Ablynx</w:t>
            </w:r>
          </w:p>
        </w:tc>
        <w:tc>
          <w:tcPr>
            <w:tcW w:w="1260" w:type="dxa"/>
          </w:tcPr>
          <w:p w:rsidR="0025312D" w:rsidRPr="00561FD8" w:rsidRDefault="0025312D" w:rsidP="009F6F95">
            <w:pPr>
              <w:pStyle w:val="Textintable"/>
            </w:pPr>
            <w:proofErr w:type="spellStart"/>
            <w:r>
              <w:t>Caplazizumab</w:t>
            </w:r>
            <w:proofErr w:type="spellEnd"/>
          </w:p>
        </w:tc>
        <w:tc>
          <w:tcPr>
            <w:tcW w:w="900" w:type="dxa"/>
          </w:tcPr>
          <w:p w:rsidR="0025312D" w:rsidRPr="00561FD8" w:rsidRDefault="0025312D" w:rsidP="009F6F95">
            <w:pPr>
              <w:pStyle w:val="Textintable"/>
            </w:pPr>
            <w:r>
              <w:t>TTP</w:t>
            </w:r>
          </w:p>
        </w:tc>
        <w:tc>
          <w:tcPr>
            <w:tcW w:w="4638" w:type="dxa"/>
            <w:shd w:val="clear" w:color="auto" w:fill="auto"/>
          </w:tcPr>
          <w:p w:rsidR="0025312D" w:rsidRPr="00561FD8" w:rsidRDefault="0025312D" w:rsidP="009F6F95">
            <w:pPr>
              <w:pStyle w:val="Textintable"/>
            </w:pPr>
            <w:r>
              <w:t>Strong efficacy&amp; data, potential basis to file + refinancing</w:t>
            </w:r>
          </w:p>
        </w:tc>
        <w:tc>
          <w:tcPr>
            <w:tcW w:w="141" w:type="dxa"/>
            <w:shd w:val="clear" w:color="auto" w:fill="auto"/>
          </w:tcPr>
          <w:p w:rsidR="0025312D" w:rsidRPr="00561FD8" w:rsidRDefault="0025312D" w:rsidP="009F6F95">
            <w:pPr>
              <w:pStyle w:val="Textintable"/>
              <w:jc w:val="right"/>
            </w:pPr>
          </w:p>
        </w:tc>
      </w:tr>
      <w:tr w:rsidR="0025312D" w:rsidRPr="00561FD8" w:rsidTr="009F6F95">
        <w:tc>
          <w:tcPr>
            <w:tcW w:w="1080" w:type="dxa"/>
          </w:tcPr>
          <w:p w:rsidR="0025312D" w:rsidRDefault="0025312D" w:rsidP="009F6F95">
            <w:pPr>
              <w:pStyle w:val="Textintable"/>
            </w:pPr>
            <w:r>
              <w:t>2Q14</w:t>
            </w:r>
          </w:p>
        </w:tc>
        <w:tc>
          <w:tcPr>
            <w:tcW w:w="1620" w:type="dxa"/>
          </w:tcPr>
          <w:p w:rsidR="0025312D" w:rsidRDefault="0025312D" w:rsidP="009F6F95">
            <w:pPr>
              <w:pStyle w:val="Textintable"/>
            </w:pPr>
            <w:proofErr w:type="spellStart"/>
            <w:r>
              <w:t>Argen</w:t>
            </w:r>
            <w:proofErr w:type="spellEnd"/>
            <w:r>
              <w:t>-X</w:t>
            </w:r>
          </w:p>
        </w:tc>
        <w:tc>
          <w:tcPr>
            <w:tcW w:w="1260" w:type="dxa"/>
          </w:tcPr>
          <w:p w:rsidR="0025312D" w:rsidRDefault="0025312D" w:rsidP="009F6F95">
            <w:pPr>
              <w:pStyle w:val="Textintable"/>
            </w:pPr>
            <w:r>
              <w:t>ARGX-110</w:t>
            </w:r>
          </w:p>
        </w:tc>
        <w:tc>
          <w:tcPr>
            <w:tcW w:w="900" w:type="dxa"/>
          </w:tcPr>
          <w:p w:rsidR="0025312D" w:rsidRDefault="0025312D" w:rsidP="009F6F95">
            <w:pPr>
              <w:pStyle w:val="Textintable"/>
            </w:pPr>
            <w:r>
              <w:t>Cancer</w:t>
            </w:r>
          </w:p>
        </w:tc>
        <w:tc>
          <w:tcPr>
            <w:tcW w:w="4638" w:type="dxa"/>
            <w:shd w:val="clear" w:color="auto" w:fill="auto"/>
          </w:tcPr>
          <w:p w:rsidR="0025312D" w:rsidRDefault="0025312D" w:rsidP="009F6F95">
            <w:pPr>
              <w:pStyle w:val="Textintable"/>
            </w:pPr>
            <w:r>
              <w:t>First signs of efficacy + IPO</w:t>
            </w:r>
          </w:p>
        </w:tc>
        <w:tc>
          <w:tcPr>
            <w:tcW w:w="141" w:type="dxa"/>
            <w:shd w:val="clear" w:color="auto" w:fill="auto"/>
          </w:tcPr>
          <w:p w:rsidR="0025312D" w:rsidRPr="00561FD8" w:rsidRDefault="0025312D" w:rsidP="009F6F95">
            <w:pPr>
              <w:pStyle w:val="Textintable"/>
              <w:jc w:val="right"/>
            </w:pPr>
          </w:p>
        </w:tc>
      </w:tr>
      <w:tr w:rsidR="0025312D" w:rsidRPr="00561FD8" w:rsidTr="009F6F95">
        <w:tc>
          <w:tcPr>
            <w:tcW w:w="1080" w:type="dxa"/>
          </w:tcPr>
          <w:p w:rsidR="0025312D" w:rsidRPr="00561FD8" w:rsidRDefault="0025312D" w:rsidP="009F6F95">
            <w:pPr>
              <w:pStyle w:val="Textintable"/>
            </w:pPr>
            <w:r>
              <w:t>3Q14</w:t>
            </w:r>
          </w:p>
        </w:tc>
        <w:tc>
          <w:tcPr>
            <w:tcW w:w="1620" w:type="dxa"/>
          </w:tcPr>
          <w:p w:rsidR="0025312D" w:rsidRPr="00561FD8" w:rsidRDefault="0025312D" w:rsidP="009F6F95">
            <w:pPr>
              <w:pStyle w:val="Textintable"/>
            </w:pPr>
            <w:r>
              <w:t>Cardio3 Biosciences</w:t>
            </w:r>
          </w:p>
        </w:tc>
        <w:tc>
          <w:tcPr>
            <w:tcW w:w="1260" w:type="dxa"/>
          </w:tcPr>
          <w:p w:rsidR="0025312D" w:rsidRPr="00561FD8" w:rsidRDefault="0025312D" w:rsidP="009F6F95">
            <w:pPr>
              <w:pStyle w:val="Textintable"/>
            </w:pPr>
            <w:r>
              <w:t>C-cure</w:t>
            </w:r>
          </w:p>
        </w:tc>
        <w:tc>
          <w:tcPr>
            <w:tcW w:w="900" w:type="dxa"/>
          </w:tcPr>
          <w:p w:rsidR="0025312D" w:rsidRPr="00561FD8" w:rsidRDefault="0025312D" w:rsidP="009F6F95">
            <w:pPr>
              <w:pStyle w:val="Textintable"/>
            </w:pPr>
            <w:r>
              <w:t>Heart fail</w:t>
            </w:r>
          </w:p>
        </w:tc>
        <w:tc>
          <w:tcPr>
            <w:tcW w:w="4638" w:type="dxa"/>
            <w:shd w:val="clear" w:color="auto" w:fill="auto"/>
          </w:tcPr>
          <w:p w:rsidR="0025312D" w:rsidRPr="00561FD8" w:rsidRDefault="0025312D" w:rsidP="009F6F95">
            <w:pPr>
              <w:pStyle w:val="Textintable"/>
            </w:pPr>
            <w:r>
              <w:t>Joint venture in China, US acquisition + refinancing</w:t>
            </w:r>
          </w:p>
        </w:tc>
        <w:tc>
          <w:tcPr>
            <w:tcW w:w="141" w:type="dxa"/>
            <w:shd w:val="clear" w:color="auto" w:fill="auto"/>
          </w:tcPr>
          <w:p w:rsidR="0025312D" w:rsidRPr="00561FD8" w:rsidRDefault="0025312D" w:rsidP="009F6F95">
            <w:pPr>
              <w:pStyle w:val="Textintable"/>
              <w:jc w:val="right"/>
            </w:pPr>
          </w:p>
        </w:tc>
      </w:tr>
      <w:tr w:rsidR="0025312D" w:rsidRPr="00561FD8" w:rsidTr="009F6F95">
        <w:tc>
          <w:tcPr>
            <w:tcW w:w="1080" w:type="dxa"/>
          </w:tcPr>
          <w:p w:rsidR="0025312D" w:rsidRPr="00561FD8" w:rsidRDefault="0025312D" w:rsidP="009F6F95">
            <w:pPr>
              <w:pStyle w:val="Textintable"/>
            </w:pPr>
            <w:r>
              <w:t>1Q14</w:t>
            </w:r>
          </w:p>
        </w:tc>
        <w:tc>
          <w:tcPr>
            <w:tcW w:w="1620" w:type="dxa"/>
          </w:tcPr>
          <w:p w:rsidR="0025312D" w:rsidRPr="00561FD8" w:rsidRDefault="0025312D" w:rsidP="009F6F95">
            <w:pPr>
              <w:pStyle w:val="Textintable"/>
            </w:pPr>
            <w:r>
              <w:t>Galapagos</w:t>
            </w:r>
          </w:p>
        </w:tc>
        <w:tc>
          <w:tcPr>
            <w:tcW w:w="1260" w:type="dxa"/>
          </w:tcPr>
          <w:p w:rsidR="0025312D" w:rsidRPr="00561FD8" w:rsidRDefault="0025312D" w:rsidP="009F6F95">
            <w:pPr>
              <w:pStyle w:val="Textintable"/>
            </w:pPr>
            <w:r>
              <w:t>GLPG-634</w:t>
            </w:r>
          </w:p>
        </w:tc>
        <w:tc>
          <w:tcPr>
            <w:tcW w:w="900" w:type="dxa"/>
          </w:tcPr>
          <w:p w:rsidR="0025312D" w:rsidRPr="00561FD8" w:rsidRDefault="0025312D" w:rsidP="009F6F95">
            <w:pPr>
              <w:pStyle w:val="Textintable"/>
            </w:pPr>
            <w:proofErr w:type="spellStart"/>
            <w:r>
              <w:t>Rheuma</w:t>
            </w:r>
            <w:proofErr w:type="spellEnd"/>
          </w:p>
        </w:tc>
        <w:tc>
          <w:tcPr>
            <w:tcW w:w="4638" w:type="dxa"/>
            <w:shd w:val="clear" w:color="auto" w:fill="auto"/>
          </w:tcPr>
          <w:p w:rsidR="0025312D" w:rsidRPr="00561FD8" w:rsidRDefault="0025312D" w:rsidP="009F6F95">
            <w:pPr>
              <w:pStyle w:val="Textintable"/>
            </w:pPr>
            <w:r>
              <w:t>Divest Services unit, delay phase 2b program, failed p2 UC asset</w:t>
            </w:r>
          </w:p>
        </w:tc>
        <w:tc>
          <w:tcPr>
            <w:tcW w:w="141" w:type="dxa"/>
            <w:shd w:val="clear" w:color="auto" w:fill="auto"/>
          </w:tcPr>
          <w:p w:rsidR="0025312D" w:rsidRPr="00561FD8" w:rsidRDefault="0025312D" w:rsidP="009F6F95">
            <w:pPr>
              <w:pStyle w:val="Textintable"/>
              <w:jc w:val="right"/>
            </w:pPr>
          </w:p>
        </w:tc>
      </w:tr>
      <w:tr w:rsidR="0025312D" w:rsidRPr="00561FD8" w:rsidTr="009F6F95">
        <w:tc>
          <w:tcPr>
            <w:tcW w:w="1080" w:type="dxa"/>
          </w:tcPr>
          <w:p w:rsidR="0025312D" w:rsidRDefault="0025312D" w:rsidP="009F6F95">
            <w:pPr>
              <w:pStyle w:val="Textintable"/>
            </w:pPr>
            <w:r>
              <w:t>1Q14</w:t>
            </w:r>
          </w:p>
        </w:tc>
        <w:tc>
          <w:tcPr>
            <w:tcW w:w="1620" w:type="dxa"/>
          </w:tcPr>
          <w:p w:rsidR="0025312D" w:rsidRDefault="0025312D" w:rsidP="009F6F95">
            <w:pPr>
              <w:pStyle w:val="Textintable"/>
            </w:pPr>
            <w:r>
              <w:t>Genticel</w:t>
            </w:r>
          </w:p>
        </w:tc>
        <w:tc>
          <w:tcPr>
            <w:tcW w:w="1260" w:type="dxa"/>
          </w:tcPr>
          <w:p w:rsidR="0025312D" w:rsidRDefault="0025312D" w:rsidP="009F6F95">
            <w:pPr>
              <w:pStyle w:val="Textintable"/>
            </w:pPr>
            <w:r>
              <w:t>ProCervix</w:t>
            </w:r>
          </w:p>
        </w:tc>
        <w:tc>
          <w:tcPr>
            <w:tcW w:w="900" w:type="dxa"/>
          </w:tcPr>
          <w:p w:rsidR="0025312D" w:rsidRDefault="0025312D" w:rsidP="009F6F95">
            <w:pPr>
              <w:pStyle w:val="Textintable"/>
            </w:pPr>
            <w:r>
              <w:t>HPV</w:t>
            </w:r>
          </w:p>
        </w:tc>
        <w:tc>
          <w:tcPr>
            <w:tcW w:w="4638" w:type="dxa"/>
            <w:shd w:val="clear" w:color="auto" w:fill="auto"/>
          </w:tcPr>
          <w:p w:rsidR="0025312D" w:rsidRDefault="0025312D" w:rsidP="009F6F95">
            <w:pPr>
              <w:pStyle w:val="Textintable"/>
            </w:pPr>
            <w:r>
              <w:t>Initiation phase 2 to prevent cervix cancer + IPO</w:t>
            </w:r>
          </w:p>
        </w:tc>
        <w:tc>
          <w:tcPr>
            <w:tcW w:w="141" w:type="dxa"/>
            <w:shd w:val="clear" w:color="auto" w:fill="auto"/>
          </w:tcPr>
          <w:p w:rsidR="0025312D" w:rsidRPr="00561FD8" w:rsidRDefault="0025312D" w:rsidP="009F6F95">
            <w:pPr>
              <w:pStyle w:val="Textintable"/>
              <w:jc w:val="right"/>
            </w:pPr>
          </w:p>
        </w:tc>
      </w:tr>
      <w:tr w:rsidR="0025312D" w:rsidRPr="00561FD8" w:rsidTr="009F6F95">
        <w:tc>
          <w:tcPr>
            <w:tcW w:w="1080" w:type="dxa"/>
          </w:tcPr>
          <w:p w:rsidR="0025312D" w:rsidRPr="00561FD8" w:rsidRDefault="0025312D" w:rsidP="009F6F95">
            <w:pPr>
              <w:pStyle w:val="Textintable"/>
            </w:pPr>
            <w:r>
              <w:t>2013</w:t>
            </w:r>
          </w:p>
        </w:tc>
        <w:tc>
          <w:tcPr>
            <w:tcW w:w="1620" w:type="dxa"/>
          </w:tcPr>
          <w:p w:rsidR="0025312D" w:rsidRPr="00561FD8" w:rsidRDefault="0025312D" w:rsidP="009F6F95">
            <w:pPr>
              <w:pStyle w:val="Textintable"/>
            </w:pPr>
            <w:r>
              <w:t>MDxHealth</w:t>
            </w:r>
          </w:p>
        </w:tc>
        <w:tc>
          <w:tcPr>
            <w:tcW w:w="1260" w:type="dxa"/>
          </w:tcPr>
          <w:p w:rsidR="0025312D" w:rsidRPr="00561FD8" w:rsidRDefault="0025312D" w:rsidP="009F6F95">
            <w:pPr>
              <w:pStyle w:val="Textintable"/>
            </w:pPr>
            <w:proofErr w:type="spellStart"/>
            <w:r>
              <w:t>ConfirmMDx</w:t>
            </w:r>
            <w:proofErr w:type="spellEnd"/>
          </w:p>
        </w:tc>
        <w:tc>
          <w:tcPr>
            <w:tcW w:w="900" w:type="dxa"/>
          </w:tcPr>
          <w:p w:rsidR="0025312D" w:rsidRPr="00561FD8" w:rsidRDefault="0025312D" w:rsidP="009F6F95">
            <w:pPr>
              <w:pStyle w:val="Textintable"/>
            </w:pPr>
            <w:r>
              <w:t>Prostate</w:t>
            </w:r>
          </w:p>
        </w:tc>
        <w:tc>
          <w:tcPr>
            <w:tcW w:w="4638" w:type="dxa"/>
            <w:shd w:val="clear" w:color="auto" w:fill="auto"/>
          </w:tcPr>
          <w:p w:rsidR="0025312D" w:rsidRPr="00561FD8" w:rsidRDefault="0025312D" w:rsidP="009F6F95">
            <w:pPr>
              <w:pStyle w:val="Textintable"/>
            </w:pPr>
            <w:r>
              <w:t xml:space="preserve">Strong ramp-up, Medicare pricing, </w:t>
            </w:r>
            <w:proofErr w:type="spellStart"/>
            <w:r>
              <w:t>Cologuard</w:t>
            </w:r>
            <w:proofErr w:type="spellEnd"/>
            <w:r>
              <w:t xml:space="preserve"> + refinancing</w:t>
            </w:r>
          </w:p>
        </w:tc>
        <w:tc>
          <w:tcPr>
            <w:tcW w:w="141" w:type="dxa"/>
            <w:shd w:val="clear" w:color="auto" w:fill="auto"/>
          </w:tcPr>
          <w:p w:rsidR="0025312D" w:rsidRPr="00561FD8" w:rsidRDefault="0025312D" w:rsidP="009F6F95">
            <w:pPr>
              <w:pStyle w:val="Textintable"/>
              <w:jc w:val="right"/>
            </w:pPr>
          </w:p>
        </w:tc>
      </w:tr>
      <w:tr w:rsidR="0025312D" w:rsidRPr="00561FD8" w:rsidTr="009F6F95">
        <w:tc>
          <w:tcPr>
            <w:tcW w:w="1080" w:type="dxa"/>
          </w:tcPr>
          <w:p w:rsidR="0025312D" w:rsidRDefault="0025312D" w:rsidP="009F6F95">
            <w:pPr>
              <w:pStyle w:val="Textintable"/>
            </w:pPr>
            <w:r>
              <w:t>3Q14</w:t>
            </w:r>
          </w:p>
        </w:tc>
        <w:tc>
          <w:tcPr>
            <w:tcW w:w="1620" w:type="dxa"/>
          </w:tcPr>
          <w:p w:rsidR="0025312D" w:rsidRDefault="0025312D" w:rsidP="009F6F95">
            <w:pPr>
              <w:pStyle w:val="Textintable"/>
            </w:pPr>
            <w:r>
              <w:t>Pharming</w:t>
            </w:r>
          </w:p>
        </w:tc>
        <w:tc>
          <w:tcPr>
            <w:tcW w:w="1260" w:type="dxa"/>
          </w:tcPr>
          <w:p w:rsidR="0025312D" w:rsidRDefault="0025312D" w:rsidP="009F6F95">
            <w:pPr>
              <w:pStyle w:val="Textintable"/>
            </w:pPr>
            <w:proofErr w:type="spellStart"/>
            <w:r>
              <w:t>Ruconest</w:t>
            </w:r>
            <w:proofErr w:type="spellEnd"/>
          </w:p>
        </w:tc>
        <w:tc>
          <w:tcPr>
            <w:tcW w:w="900" w:type="dxa"/>
          </w:tcPr>
          <w:p w:rsidR="0025312D" w:rsidRDefault="0025312D" w:rsidP="009F6F95">
            <w:pPr>
              <w:pStyle w:val="Textintable"/>
            </w:pPr>
            <w:r>
              <w:t>HAE</w:t>
            </w:r>
          </w:p>
        </w:tc>
        <w:tc>
          <w:tcPr>
            <w:tcW w:w="4638" w:type="dxa"/>
            <w:shd w:val="clear" w:color="auto" w:fill="auto"/>
          </w:tcPr>
          <w:p w:rsidR="0025312D" w:rsidRDefault="0025312D" w:rsidP="009F6F95">
            <w:pPr>
              <w:pStyle w:val="Textintable"/>
            </w:pPr>
            <w:r>
              <w:t>FDA approval and US launch by Salix + refinancing</w:t>
            </w:r>
          </w:p>
        </w:tc>
        <w:tc>
          <w:tcPr>
            <w:tcW w:w="141" w:type="dxa"/>
            <w:shd w:val="clear" w:color="auto" w:fill="auto"/>
          </w:tcPr>
          <w:p w:rsidR="0025312D" w:rsidRPr="00561FD8" w:rsidRDefault="0025312D" w:rsidP="009F6F95">
            <w:pPr>
              <w:pStyle w:val="Textintable"/>
              <w:jc w:val="right"/>
            </w:pPr>
          </w:p>
        </w:tc>
      </w:tr>
      <w:tr w:rsidR="0025312D" w:rsidRPr="00561FD8" w:rsidTr="009F6F95">
        <w:tc>
          <w:tcPr>
            <w:tcW w:w="1080" w:type="dxa"/>
          </w:tcPr>
          <w:p w:rsidR="0025312D" w:rsidRDefault="0025312D" w:rsidP="009F6F95">
            <w:pPr>
              <w:pStyle w:val="Textintable"/>
            </w:pPr>
            <w:r>
              <w:t>3Q14</w:t>
            </w:r>
          </w:p>
        </w:tc>
        <w:tc>
          <w:tcPr>
            <w:tcW w:w="1620" w:type="dxa"/>
          </w:tcPr>
          <w:p w:rsidR="0025312D" w:rsidRPr="00561FD8" w:rsidRDefault="0025312D" w:rsidP="009F6F95">
            <w:pPr>
              <w:pStyle w:val="Textintable"/>
            </w:pPr>
            <w:r>
              <w:t>Prosensa</w:t>
            </w:r>
          </w:p>
        </w:tc>
        <w:tc>
          <w:tcPr>
            <w:tcW w:w="1260" w:type="dxa"/>
          </w:tcPr>
          <w:p w:rsidR="0025312D" w:rsidRPr="00561FD8" w:rsidRDefault="0025312D" w:rsidP="009F6F95">
            <w:pPr>
              <w:pStyle w:val="Textintable"/>
            </w:pPr>
            <w:r>
              <w:t>Drisapersen</w:t>
            </w:r>
          </w:p>
        </w:tc>
        <w:tc>
          <w:tcPr>
            <w:tcW w:w="900" w:type="dxa"/>
          </w:tcPr>
          <w:p w:rsidR="0025312D" w:rsidRPr="00561FD8" w:rsidRDefault="0025312D" w:rsidP="009F6F95">
            <w:pPr>
              <w:pStyle w:val="Textintable"/>
            </w:pPr>
            <w:r>
              <w:t>DMD</w:t>
            </w:r>
          </w:p>
        </w:tc>
        <w:tc>
          <w:tcPr>
            <w:tcW w:w="4638" w:type="dxa"/>
            <w:shd w:val="clear" w:color="auto" w:fill="auto"/>
          </w:tcPr>
          <w:p w:rsidR="0025312D" w:rsidRPr="00561FD8" w:rsidRDefault="0025312D" w:rsidP="009F6F95">
            <w:pPr>
              <w:pStyle w:val="Textintable"/>
            </w:pPr>
            <w:r>
              <w:t>Rolling filing launched at FDA</w:t>
            </w:r>
          </w:p>
        </w:tc>
        <w:tc>
          <w:tcPr>
            <w:tcW w:w="141" w:type="dxa"/>
            <w:shd w:val="clear" w:color="auto" w:fill="auto"/>
          </w:tcPr>
          <w:p w:rsidR="0025312D" w:rsidRPr="00561FD8" w:rsidRDefault="0025312D" w:rsidP="009F6F95">
            <w:pPr>
              <w:pStyle w:val="Textintable"/>
              <w:jc w:val="right"/>
            </w:pPr>
          </w:p>
        </w:tc>
      </w:tr>
      <w:tr w:rsidR="0025312D" w:rsidRPr="00561FD8" w:rsidTr="009F6F95">
        <w:tc>
          <w:tcPr>
            <w:tcW w:w="1080" w:type="dxa"/>
          </w:tcPr>
          <w:p w:rsidR="0025312D" w:rsidRPr="00561FD8" w:rsidRDefault="0025312D" w:rsidP="009F6F95">
            <w:pPr>
              <w:pStyle w:val="Textintable"/>
            </w:pPr>
            <w:r>
              <w:t>2Q14</w:t>
            </w:r>
          </w:p>
        </w:tc>
        <w:tc>
          <w:tcPr>
            <w:tcW w:w="1620" w:type="dxa"/>
          </w:tcPr>
          <w:p w:rsidR="0025312D" w:rsidRPr="00561FD8" w:rsidRDefault="0025312D" w:rsidP="009F6F95">
            <w:pPr>
              <w:pStyle w:val="Textintable"/>
            </w:pPr>
            <w:r>
              <w:t>Thrombogenics</w:t>
            </w:r>
          </w:p>
        </w:tc>
        <w:tc>
          <w:tcPr>
            <w:tcW w:w="1260" w:type="dxa"/>
          </w:tcPr>
          <w:p w:rsidR="0025312D" w:rsidRPr="00561FD8" w:rsidRDefault="0025312D" w:rsidP="009F6F95">
            <w:pPr>
              <w:pStyle w:val="Textintable"/>
            </w:pPr>
            <w:proofErr w:type="spellStart"/>
            <w:r>
              <w:t>Jetrea</w:t>
            </w:r>
            <w:proofErr w:type="spellEnd"/>
          </w:p>
        </w:tc>
        <w:tc>
          <w:tcPr>
            <w:tcW w:w="900" w:type="dxa"/>
          </w:tcPr>
          <w:p w:rsidR="0025312D" w:rsidRPr="00561FD8" w:rsidRDefault="0025312D" w:rsidP="009F6F95">
            <w:pPr>
              <w:pStyle w:val="Textintable"/>
            </w:pPr>
            <w:r>
              <w:t>VMA</w:t>
            </w:r>
          </w:p>
        </w:tc>
        <w:tc>
          <w:tcPr>
            <w:tcW w:w="4638" w:type="dxa"/>
            <w:shd w:val="clear" w:color="auto" w:fill="auto"/>
          </w:tcPr>
          <w:p w:rsidR="0025312D" w:rsidRPr="00561FD8" w:rsidRDefault="0025312D" w:rsidP="009F6F95">
            <w:pPr>
              <w:pStyle w:val="Textintable"/>
            </w:pPr>
            <w:r>
              <w:t>Disappointing ramp-up + restructuring</w:t>
            </w:r>
          </w:p>
        </w:tc>
        <w:tc>
          <w:tcPr>
            <w:tcW w:w="141" w:type="dxa"/>
            <w:shd w:val="clear" w:color="auto" w:fill="auto"/>
          </w:tcPr>
          <w:p w:rsidR="0025312D" w:rsidRPr="00561FD8" w:rsidRDefault="0025312D" w:rsidP="009F6F95">
            <w:pPr>
              <w:pStyle w:val="Textintable"/>
              <w:jc w:val="right"/>
            </w:pPr>
          </w:p>
        </w:tc>
      </w:tr>
      <w:tr w:rsidR="0025312D" w:rsidRPr="00561FD8" w:rsidTr="009F6F95">
        <w:tc>
          <w:tcPr>
            <w:tcW w:w="1080" w:type="dxa"/>
          </w:tcPr>
          <w:p w:rsidR="0025312D" w:rsidRPr="00561FD8" w:rsidRDefault="0025312D" w:rsidP="009F6F95">
            <w:pPr>
              <w:pStyle w:val="Textintable"/>
            </w:pPr>
            <w:r>
              <w:t>1Q14</w:t>
            </w:r>
          </w:p>
        </w:tc>
        <w:tc>
          <w:tcPr>
            <w:tcW w:w="1620" w:type="dxa"/>
          </w:tcPr>
          <w:p w:rsidR="0025312D" w:rsidRPr="00561FD8" w:rsidRDefault="0025312D" w:rsidP="009F6F95">
            <w:pPr>
              <w:pStyle w:val="Textintable"/>
            </w:pPr>
            <w:r>
              <w:t>Tigenix</w:t>
            </w:r>
          </w:p>
        </w:tc>
        <w:tc>
          <w:tcPr>
            <w:tcW w:w="1260" w:type="dxa"/>
          </w:tcPr>
          <w:p w:rsidR="0025312D" w:rsidRPr="00561FD8" w:rsidRDefault="0025312D" w:rsidP="009F6F95">
            <w:pPr>
              <w:pStyle w:val="Textintable"/>
            </w:pPr>
            <w:proofErr w:type="spellStart"/>
            <w:r>
              <w:t>ChondroCelect</w:t>
            </w:r>
            <w:proofErr w:type="spellEnd"/>
          </w:p>
        </w:tc>
        <w:tc>
          <w:tcPr>
            <w:tcW w:w="900" w:type="dxa"/>
          </w:tcPr>
          <w:p w:rsidR="0025312D" w:rsidRPr="00561FD8" w:rsidRDefault="0025312D" w:rsidP="009F6F95">
            <w:pPr>
              <w:pStyle w:val="Textintable"/>
            </w:pPr>
            <w:r>
              <w:t>Cartilage</w:t>
            </w:r>
          </w:p>
        </w:tc>
        <w:tc>
          <w:tcPr>
            <w:tcW w:w="4638" w:type="dxa"/>
            <w:shd w:val="clear" w:color="auto" w:fill="auto"/>
          </w:tcPr>
          <w:p w:rsidR="0025312D" w:rsidRPr="00561FD8" w:rsidRDefault="0025312D" w:rsidP="009F6F95">
            <w:pPr>
              <w:pStyle w:val="Textintable"/>
            </w:pPr>
            <w:r>
              <w:t xml:space="preserve">Divestment </w:t>
            </w:r>
            <w:proofErr w:type="spellStart"/>
            <w:r>
              <w:t>ChondoCelect</w:t>
            </w:r>
            <w:proofErr w:type="spellEnd"/>
            <w:r>
              <w:t xml:space="preserve"> asset, finalizing enrolment Cx611</w:t>
            </w:r>
          </w:p>
        </w:tc>
        <w:tc>
          <w:tcPr>
            <w:tcW w:w="141" w:type="dxa"/>
            <w:shd w:val="clear" w:color="auto" w:fill="auto"/>
          </w:tcPr>
          <w:p w:rsidR="0025312D" w:rsidRPr="00561FD8" w:rsidRDefault="0025312D" w:rsidP="009F6F95">
            <w:pPr>
              <w:pStyle w:val="Textintable"/>
              <w:jc w:val="right"/>
            </w:pPr>
          </w:p>
        </w:tc>
      </w:tr>
      <w:tr w:rsidR="0025312D" w:rsidRPr="00561FD8" w:rsidTr="009F6F95">
        <w:tc>
          <w:tcPr>
            <w:tcW w:w="1080" w:type="dxa"/>
          </w:tcPr>
          <w:p w:rsidR="0025312D" w:rsidRDefault="0025312D" w:rsidP="009F6F95">
            <w:pPr>
              <w:pStyle w:val="Textintable"/>
            </w:pPr>
            <w:r>
              <w:t>4Q14</w:t>
            </w:r>
          </w:p>
        </w:tc>
        <w:tc>
          <w:tcPr>
            <w:tcW w:w="1620" w:type="dxa"/>
          </w:tcPr>
          <w:p w:rsidR="0025312D" w:rsidRDefault="0025312D" w:rsidP="009F6F95">
            <w:pPr>
              <w:pStyle w:val="Textintable"/>
            </w:pPr>
            <w:r>
              <w:t>UCB</w:t>
            </w:r>
          </w:p>
        </w:tc>
        <w:tc>
          <w:tcPr>
            <w:tcW w:w="1260" w:type="dxa"/>
          </w:tcPr>
          <w:p w:rsidR="0025312D" w:rsidRDefault="0025312D" w:rsidP="009F6F95">
            <w:pPr>
              <w:pStyle w:val="Textintable"/>
            </w:pPr>
            <w:proofErr w:type="spellStart"/>
            <w:r>
              <w:t>Briva</w:t>
            </w:r>
            <w:proofErr w:type="spellEnd"/>
            <w:r>
              <w:t>/</w:t>
            </w:r>
            <w:proofErr w:type="spellStart"/>
            <w:r>
              <w:t>Vimpat</w:t>
            </w:r>
            <w:proofErr w:type="spellEnd"/>
          </w:p>
        </w:tc>
        <w:tc>
          <w:tcPr>
            <w:tcW w:w="900" w:type="dxa"/>
          </w:tcPr>
          <w:p w:rsidR="0025312D" w:rsidRDefault="0025312D" w:rsidP="009F6F95">
            <w:pPr>
              <w:pStyle w:val="Textintable"/>
            </w:pPr>
            <w:r>
              <w:t>Epilepsy</w:t>
            </w:r>
          </w:p>
        </w:tc>
        <w:tc>
          <w:tcPr>
            <w:tcW w:w="4638" w:type="dxa"/>
            <w:shd w:val="clear" w:color="auto" w:fill="auto"/>
          </w:tcPr>
          <w:p w:rsidR="0025312D" w:rsidRDefault="0025312D" w:rsidP="009F6F95">
            <w:pPr>
              <w:pStyle w:val="Textintable"/>
            </w:pPr>
            <w:r>
              <w:t xml:space="preserve">Positive p3 </w:t>
            </w:r>
            <w:proofErr w:type="spellStart"/>
            <w:r>
              <w:t>briva</w:t>
            </w:r>
            <w:proofErr w:type="spellEnd"/>
            <w:r>
              <w:t xml:space="preserve">, approval monotherapy </w:t>
            </w:r>
            <w:proofErr w:type="spellStart"/>
            <w:r>
              <w:t>Vimpat</w:t>
            </w:r>
            <w:proofErr w:type="spellEnd"/>
            <w:r>
              <w:t>, divestment KU</w:t>
            </w:r>
          </w:p>
        </w:tc>
        <w:tc>
          <w:tcPr>
            <w:tcW w:w="141" w:type="dxa"/>
            <w:shd w:val="clear" w:color="auto" w:fill="auto"/>
          </w:tcPr>
          <w:p w:rsidR="0025312D" w:rsidRPr="00561FD8" w:rsidRDefault="0025312D" w:rsidP="009F6F95">
            <w:pPr>
              <w:pStyle w:val="Textintable"/>
              <w:jc w:val="right"/>
            </w:pPr>
          </w:p>
        </w:tc>
      </w:tr>
      <w:tr w:rsidR="0025312D" w:rsidRPr="00561FD8" w:rsidTr="009F6F95">
        <w:tc>
          <w:tcPr>
            <w:tcW w:w="1080" w:type="dxa"/>
          </w:tcPr>
          <w:p w:rsidR="0025312D" w:rsidRDefault="0025312D" w:rsidP="009F6F95">
            <w:pPr>
              <w:pStyle w:val="Textintable"/>
            </w:pPr>
            <w:r>
              <w:t>2Q14</w:t>
            </w:r>
          </w:p>
        </w:tc>
        <w:tc>
          <w:tcPr>
            <w:tcW w:w="1620" w:type="dxa"/>
          </w:tcPr>
          <w:p w:rsidR="0025312D" w:rsidRDefault="0025312D" w:rsidP="009F6F95">
            <w:pPr>
              <w:pStyle w:val="Textintable"/>
            </w:pPr>
            <w:proofErr w:type="spellStart"/>
            <w:r>
              <w:t>Uniqure</w:t>
            </w:r>
            <w:proofErr w:type="spellEnd"/>
          </w:p>
        </w:tc>
        <w:tc>
          <w:tcPr>
            <w:tcW w:w="1260" w:type="dxa"/>
          </w:tcPr>
          <w:p w:rsidR="0025312D" w:rsidRDefault="0025312D" w:rsidP="009F6F95">
            <w:pPr>
              <w:pStyle w:val="Textintable"/>
            </w:pPr>
            <w:proofErr w:type="spellStart"/>
            <w:r>
              <w:t>Glybera</w:t>
            </w:r>
            <w:proofErr w:type="spellEnd"/>
          </w:p>
        </w:tc>
        <w:tc>
          <w:tcPr>
            <w:tcW w:w="900" w:type="dxa"/>
          </w:tcPr>
          <w:p w:rsidR="0025312D" w:rsidRDefault="0025312D" w:rsidP="009F6F95">
            <w:pPr>
              <w:pStyle w:val="Textintable"/>
            </w:pPr>
            <w:r>
              <w:t>LLP</w:t>
            </w:r>
          </w:p>
        </w:tc>
        <w:tc>
          <w:tcPr>
            <w:tcW w:w="4638" w:type="dxa"/>
            <w:shd w:val="clear" w:color="auto" w:fill="auto"/>
          </w:tcPr>
          <w:p w:rsidR="0025312D" w:rsidRDefault="0025312D" w:rsidP="009F6F95">
            <w:pPr>
              <w:pStyle w:val="Textintable"/>
            </w:pPr>
            <w:r>
              <w:t>Delay in European launch + IPO</w:t>
            </w:r>
          </w:p>
        </w:tc>
        <w:tc>
          <w:tcPr>
            <w:tcW w:w="141" w:type="dxa"/>
            <w:shd w:val="clear" w:color="auto" w:fill="auto"/>
          </w:tcPr>
          <w:p w:rsidR="0025312D" w:rsidRPr="00561FD8" w:rsidRDefault="0025312D" w:rsidP="009F6F95">
            <w:pPr>
              <w:pStyle w:val="Textintable"/>
              <w:jc w:val="right"/>
            </w:pPr>
          </w:p>
        </w:tc>
      </w:tr>
      <w:tr w:rsidR="0025312D" w:rsidRPr="00561FD8" w:rsidTr="009F6F95">
        <w:tc>
          <w:tcPr>
            <w:tcW w:w="9639" w:type="dxa"/>
            <w:gridSpan w:val="6"/>
          </w:tcPr>
          <w:p w:rsidR="0025312D" w:rsidRPr="00561FD8" w:rsidRDefault="0025312D" w:rsidP="009F6F95">
            <w:pPr>
              <w:pStyle w:val="Source"/>
              <w:rPr>
                <w:lang w:eastAsia="nl-NL"/>
              </w:rPr>
            </w:pPr>
            <w:r>
              <w:rPr>
                <w:lang w:eastAsia="nl-NL"/>
              </w:rPr>
              <w:t xml:space="preserve">Source: KBC Securities </w:t>
            </w:r>
          </w:p>
        </w:tc>
      </w:tr>
    </w:tbl>
    <w:p w:rsidR="0025312D" w:rsidRDefault="0025312D" w:rsidP="0025312D"/>
    <w:tbl>
      <w:tblPr>
        <w:tblW w:w="9639" w:type="dxa"/>
        <w:tblLayout w:type="fixed"/>
        <w:tblCellMar>
          <w:left w:w="0" w:type="dxa"/>
          <w:right w:w="0" w:type="dxa"/>
        </w:tblCellMar>
        <w:tblLook w:val="01E0" w:firstRow="1" w:lastRow="1" w:firstColumn="1" w:lastColumn="1" w:noHBand="0" w:noVBand="0"/>
      </w:tblPr>
      <w:tblGrid>
        <w:gridCol w:w="3118"/>
        <w:gridCol w:w="567"/>
        <w:gridCol w:w="5954"/>
      </w:tblGrid>
      <w:tr w:rsidR="0025312D" w:rsidRPr="003803C6" w:rsidTr="009F6F95">
        <w:tc>
          <w:tcPr>
            <w:tcW w:w="3118" w:type="dxa"/>
            <w:shd w:val="clear" w:color="auto" w:fill="auto"/>
          </w:tcPr>
          <w:p w:rsidR="0025312D" w:rsidRDefault="0025312D" w:rsidP="009F6F95">
            <w:pPr>
              <w:pStyle w:val="Heading40"/>
              <w:jc w:val="both"/>
            </w:pPr>
            <w:r>
              <w:t xml:space="preserve">3 </w:t>
            </w:r>
            <w:proofErr w:type="spellStart"/>
            <w:r>
              <w:t>biotechs</w:t>
            </w:r>
            <w:proofErr w:type="spellEnd"/>
            <w:r>
              <w:t xml:space="preserve"> divested commercial assets</w:t>
            </w:r>
          </w:p>
          <w:p w:rsidR="0025312D" w:rsidRDefault="0025312D" w:rsidP="009F6F95">
            <w:pPr>
              <w:pStyle w:val="Heading40"/>
              <w:jc w:val="both"/>
            </w:pPr>
          </w:p>
          <w:p w:rsidR="0025312D" w:rsidRDefault="0025312D" w:rsidP="009F6F95">
            <w:pPr>
              <w:pStyle w:val="Heading40"/>
              <w:jc w:val="both"/>
            </w:pPr>
          </w:p>
          <w:p w:rsidR="0025312D" w:rsidRDefault="0025312D" w:rsidP="009F6F95">
            <w:pPr>
              <w:pStyle w:val="Heading40"/>
              <w:jc w:val="both"/>
            </w:pPr>
          </w:p>
          <w:p w:rsidR="0025312D" w:rsidRDefault="0025312D" w:rsidP="009F6F95">
            <w:pPr>
              <w:pStyle w:val="Heading40"/>
              <w:jc w:val="both"/>
            </w:pPr>
          </w:p>
          <w:p w:rsidR="0025312D" w:rsidRDefault="0025312D" w:rsidP="009F6F95">
            <w:pPr>
              <w:pStyle w:val="Heading40"/>
              <w:jc w:val="both"/>
            </w:pPr>
          </w:p>
          <w:p w:rsidR="0025312D" w:rsidRDefault="0025312D" w:rsidP="009F6F95">
            <w:pPr>
              <w:pStyle w:val="Heading40"/>
              <w:jc w:val="both"/>
            </w:pPr>
          </w:p>
          <w:p w:rsidR="0025312D" w:rsidRPr="00C36E05" w:rsidRDefault="0025312D" w:rsidP="009F6F95">
            <w:pPr>
              <w:pStyle w:val="Heading40"/>
              <w:jc w:val="both"/>
            </w:pPr>
            <w:r>
              <w:t>3 companies acquired add-on platforms</w:t>
            </w:r>
          </w:p>
        </w:tc>
        <w:tc>
          <w:tcPr>
            <w:tcW w:w="567" w:type="dxa"/>
            <w:shd w:val="clear" w:color="auto" w:fill="auto"/>
          </w:tcPr>
          <w:p w:rsidR="0025312D" w:rsidRPr="003803C6" w:rsidRDefault="0025312D" w:rsidP="009F6F95">
            <w:pPr>
              <w:spacing w:line="260" w:lineRule="exact"/>
              <w:jc w:val="both"/>
              <w:rPr>
                <w:sz w:val="19"/>
                <w:szCs w:val="19"/>
                <w:lang w:eastAsia="nl-NL"/>
              </w:rPr>
            </w:pPr>
          </w:p>
        </w:tc>
        <w:tc>
          <w:tcPr>
            <w:tcW w:w="5954" w:type="dxa"/>
            <w:shd w:val="clear" w:color="auto" w:fill="auto"/>
          </w:tcPr>
          <w:p w:rsidR="0025312D" w:rsidRDefault="0025312D" w:rsidP="009F6F95">
            <w:pPr>
              <w:pStyle w:val="Text"/>
            </w:pPr>
            <w:r>
              <w:t xml:space="preserve">Next to the IPOs, several companies made important corporate development choices, based on strategic considerations. Galapagos sold its profitable Services unit to Charles River, Tigenix divested its </w:t>
            </w:r>
            <w:proofErr w:type="spellStart"/>
            <w:r>
              <w:t>ChondroCelect</w:t>
            </w:r>
            <w:proofErr w:type="spellEnd"/>
            <w:r>
              <w:t xml:space="preserve"> asset and UCB sold its US generics business to private equity. All decisions were driven be a move to free up resources for the companies’ core value drivers. Several companies also acquired new assets. Cardio3 closed a joint venture to develop its C-Cure in China and acquired US assets that strengthen its cardio product portfolio. Pharming and </w:t>
            </w:r>
            <w:proofErr w:type="spellStart"/>
            <w:r>
              <w:t>uniQure</w:t>
            </w:r>
            <w:proofErr w:type="spellEnd"/>
            <w:r>
              <w:t xml:space="preserve"> also acquired new technologies that complement their core platforms. </w:t>
            </w:r>
          </w:p>
        </w:tc>
      </w:tr>
    </w:tbl>
    <w:p w:rsidR="0025312D" w:rsidRDefault="0025312D" w:rsidP="0025312D"/>
    <w:tbl>
      <w:tblPr>
        <w:tblW w:w="9639" w:type="dxa"/>
        <w:tblLayout w:type="fixed"/>
        <w:tblCellMar>
          <w:left w:w="0" w:type="dxa"/>
          <w:right w:w="0" w:type="dxa"/>
        </w:tblCellMar>
        <w:tblLook w:val="01E0" w:firstRow="1" w:lastRow="1" w:firstColumn="1" w:lastColumn="1" w:noHBand="0" w:noVBand="0"/>
      </w:tblPr>
      <w:tblGrid>
        <w:gridCol w:w="3118"/>
        <w:gridCol w:w="567"/>
        <w:gridCol w:w="5954"/>
      </w:tblGrid>
      <w:tr w:rsidR="0025312D" w:rsidRPr="003803C6" w:rsidTr="009F6F95">
        <w:tc>
          <w:tcPr>
            <w:tcW w:w="3118" w:type="dxa"/>
            <w:shd w:val="clear" w:color="auto" w:fill="auto"/>
          </w:tcPr>
          <w:p w:rsidR="0025312D" w:rsidRDefault="0025312D" w:rsidP="009F6F95">
            <w:pPr>
              <w:pStyle w:val="Heading40"/>
              <w:jc w:val="both"/>
            </w:pPr>
            <w:r>
              <w:t>Commercial and pipeline setbacks are part of the business</w:t>
            </w:r>
          </w:p>
        </w:tc>
        <w:tc>
          <w:tcPr>
            <w:tcW w:w="567" w:type="dxa"/>
            <w:shd w:val="clear" w:color="auto" w:fill="auto"/>
          </w:tcPr>
          <w:p w:rsidR="0025312D" w:rsidRPr="003803C6" w:rsidRDefault="0025312D" w:rsidP="009F6F95">
            <w:pPr>
              <w:spacing w:line="260" w:lineRule="exact"/>
              <w:jc w:val="both"/>
              <w:rPr>
                <w:sz w:val="19"/>
                <w:szCs w:val="19"/>
                <w:lang w:eastAsia="nl-NL"/>
              </w:rPr>
            </w:pPr>
          </w:p>
        </w:tc>
        <w:tc>
          <w:tcPr>
            <w:tcW w:w="5954" w:type="dxa"/>
            <w:shd w:val="clear" w:color="auto" w:fill="auto"/>
          </w:tcPr>
          <w:p w:rsidR="0025312D" w:rsidRDefault="0025312D" w:rsidP="009F6F95">
            <w:pPr>
              <w:pStyle w:val="Text"/>
            </w:pPr>
            <w:r>
              <w:t xml:space="preserve">Typical of the biotech sector are its notorious setbacks. Thrombogenics’ </w:t>
            </w:r>
            <w:proofErr w:type="spellStart"/>
            <w:r>
              <w:t>Jetrea</w:t>
            </w:r>
            <w:proofErr w:type="spellEnd"/>
            <w:r>
              <w:t xml:space="preserve"> faced commercial hiccups and the company failed to transform itself into an attractive acquisition target. Galapagos also faced setbacks in its pipeline development</w:t>
            </w:r>
            <w:r w:rsidR="00FC67DB">
              <w:t xml:space="preserve"> with its ulcerative colitis compound and the immunology alliance with GSK.</w:t>
            </w:r>
          </w:p>
        </w:tc>
      </w:tr>
      <w:tr w:rsidR="0025312D" w:rsidRPr="003803C6" w:rsidTr="009F6F95">
        <w:tc>
          <w:tcPr>
            <w:tcW w:w="3118" w:type="dxa"/>
            <w:shd w:val="clear" w:color="auto" w:fill="auto"/>
          </w:tcPr>
          <w:p w:rsidR="0025312D" w:rsidRDefault="0025312D" w:rsidP="009F6F95">
            <w:pPr>
              <w:pStyle w:val="Heading40"/>
              <w:jc w:val="both"/>
            </w:pPr>
          </w:p>
        </w:tc>
        <w:tc>
          <w:tcPr>
            <w:tcW w:w="567" w:type="dxa"/>
            <w:shd w:val="clear" w:color="auto" w:fill="auto"/>
          </w:tcPr>
          <w:p w:rsidR="0025312D" w:rsidRPr="003803C6" w:rsidRDefault="0025312D" w:rsidP="009F6F95">
            <w:pPr>
              <w:spacing w:line="260" w:lineRule="exact"/>
              <w:jc w:val="both"/>
              <w:rPr>
                <w:sz w:val="19"/>
                <w:szCs w:val="19"/>
                <w:lang w:eastAsia="nl-NL"/>
              </w:rPr>
            </w:pPr>
          </w:p>
        </w:tc>
        <w:tc>
          <w:tcPr>
            <w:tcW w:w="5954" w:type="dxa"/>
            <w:shd w:val="clear" w:color="auto" w:fill="auto"/>
          </w:tcPr>
          <w:p w:rsidR="0025312D" w:rsidRDefault="0025312D" w:rsidP="009F6F95">
            <w:pPr>
              <w:pStyle w:val="HEADING20"/>
            </w:pPr>
            <w:r>
              <w:t>Strong cash positions</w:t>
            </w:r>
          </w:p>
        </w:tc>
      </w:tr>
      <w:tr w:rsidR="0025312D" w:rsidRPr="003803C6" w:rsidTr="009F6F95">
        <w:tc>
          <w:tcPr>
            <w:tcW w:w="3118" w:type="dxa"/>
            <w:shd w:val="clear" w:color="auto" w:fill="auto"/>
          </w:tcPr>
          <w:p w:rsidR="0025312D" w:rsidRDefault="0025312D" w:rsidP="009F6F95">
            <w:pPr>
              <w:pStyle w:val="Heading40"/>
              <w:jc w:val="both"/>
            </w:pPr>
          </w:p>
        </w:tc>
        <w:tc>
          <w:tcPr>
            <w:tcW w:w="567" w:type="dxa"/>
            <w:shd w:val="clear" w:color="auto" w:fill="auto"/>
          </w:tcPr>
          <w:p w:rsidR="0025312D" w:rsidRPr="003803C6" w:rsidRDefault="0025312D" w:rsidP="009F6F95">
            <w:pPr>
              <w:spacing w:line="260" w:lineRule="exact"/>
              <w:jc w:val="both"/>
              <w:rPr>
                <w:sz w:val="19"/>
                <w:szCs w:val="19"/>
                <w:lang w:eastAsia="nl-NL"/>
              </w:rPr>
            </w:pPr>
          </w:p>
        </w:tc>
        <w:tc>
          <w:tcPr>
            <w:tcW w:w="5954" w:type="dxa"/>
            <w:shd w:val="clear" w:color="auto" w:fill="auto"/>
          </w:tcPr>
          <w:p w:rsidR="0025312D" w:rsidRPr="00FE275C" w:rsidRDefault="0025312D" w:rsidP="009F6F95">
            <w:pPr>
              <w:pStyle w:val="BEFORECHART"/>
            </w:pPr>
            <w:r>
              <w:t>Cash metrics of Benelux biotech</w:t>
            </w:r>
          </w:p>
        </w:tc>
      </w:tr>
      <w:tr w:rsidR="0025312D" w:rsidRPr="003803C6" w:rsidTr="009F6F95">
        <w:tc>
          <w:tcPr>
            <w:tcW w:w="3118" w:type="dxa"/>
            <w:shd w:val="clear" w:color="auto" w:fill="auto"/>
            <w:vAlign w:val="center"/>
          </w:tcPr>
          <w:p w:rsidR="0025312D" w:rsidRPr="00952253" w:rsidRDefault="0025312D" w:rsidP="009F6F95">
            <w:pPr>
              <w:pStyle w:val="Heading40"/>
              <w:jc w:val="both"/>
              <w:rPr>
                <w:i/>
                <w:color w:val="0088CE"/>
              </w:rPr>
            </w:pPr>
            <w:r>
              <w:rPr>
                <w:i/>
                <w:color w:val="0088CE"/>
              </w:rPr>
              <w:t>Very strong c</w:t>
            </w:r>
            <w:r w:rsidRPr="00952253">
              <w:rPr>
                <w:i/>
                <w:color w:val="0088CE"/>
              </w:rPr>
              <w:t xml:space="preserve">ash positions for Benelux </w:t>
            </w:r>
            <w:proofErr w:type="spellStart"/>
            <w:r w:rsidRPr="00952253">
              <w:rPr>
                <w:i/>
                <w:color w:val="0088CE"/>
              </w:rPr>
              <w:t>Biotechs</w:t>
            </w:r>
            <w:proofErr w:type="spellEnd"/>
            <w:r w:rsidRPr="00952253">
              <w:rPr>
                <w:i/>
                <w:color w:val="0088CE"/>
              </w:rPr>
              <w:t xml:space="preserve"> </w:t>
            </w:r>
          </w:p>
          <w:p w:rsidR="0025312D" w:rsidRPr="00952253" w:rsidRDefault="0025312D" w:rsidP="009F6F95">
            <w:pPr>
              <w:pStyle w:val="Heading40"/>
              <w:jc w:val="both"/>
              <w:rPr>
                <w:i/>
                <w:color w:val="0088CE"/>
              </w:rPr>
            </w:pPr>
          </w:p>
          <w:p w:rsidR="0025312D" w:rsidRDefault="0025312D" w:rsidP="009F6F95">
            <w:pPr>
              <w:pStyle w:val="Heading40"/>
              <w:jc w:val="both"/>
              <w:rPr>
                <w:i/>
                <w:color w:val="0088CE"/>
              </w:rPr>
            </w:pPr>
            <w:r w:rsidRPr="00952253">
              <w:rPr>
                <w:i/>
                <w:color w:val="0088CE"/>
              </w:rPr>
              <w:t xml:space="preserve">- Over half of the companies have a market value </w:t>
            </w:r>
            <w:r>
              <w:rPr>
                <w:i/>
                <w:color w:val="0088CE"/>
              </w:rPr>
              <w:t>where</w:t>
            </w:r>
            <w:r w:rsidRPr="00952253">
              <w:rPr>
                <w:i/>
                <w:color w:val="0088CE"/>
              </w:rPr>
              <w:t xml:space="preserve"> cash </w:t>
            </w:r>
            <w:r>
              <w:rPr>
                <w:i/>
                <w:color w:val="0088CE"/>
              </w:rPr>
              <w:t>represents</w:t>
            </w:r>
            <w:r w:rsidRPr="00952253">
              <w:rPr>
                <w:i/>
                <w:color w:val="0088CE"/>
              </w:rPr>
              <w:t xml:space="preserve"> &gt;35%. For ABLX, ARGX, GLPG, THR, the cash position is even half the market value (bulb size &amp; colour).</w:t>
            </w:r>
          </w:p>
          <w:p w:rsidR="0025312D" w:rsidRPr="00952253" w:rsidRDefault="0025312D" w:rsidP="009F6F95">
            <w:pPr>
              <w:pStyle w:val="Heading40"/>
              <w:jc w:val="both"/>
              <w:rPr>
                <w:i/>
                <w:color w:val="0088CE"/>
              </w:rPr>
            </w:pPr>
          </w:p>
          <w:p w:rsidR="0025312D" w:rsidRPr="00952253" w:rsidRDefault="0025312D" w:rsidP="009F6F95">
            <w:pPr>
              <w:pStyle w:val="Heading40"/>
              <w:jc w:val="both"/>
              <w:rPr>
                <w:i/>
                <w:color w:val="0088CE"/>
              </w:rPr>
            </w:pPr>
            <w:r w:rsidRPr="00952253">
              <w:rPr>
                <w:i/>
                <w:color w:val="0088CE"/>
              </w:rPr>
              <w:t>- </w:t>
            </w:r>
            <w:r>
              <w:rPr>
                <w:i/>
                <w:color w:val="0088CE"/>
              </w:rPr>
              <w:t xml:space="preserve">8 of </w:t>
            </w:r>
            <w:r w:rsidRPr="00952253">
              <w:rPr>
                <w:i/>
                <w:color w:val="0088CE"/>
              </w:rPr>
              <w:t>11 companies have cash until 2017 and beyond (blue zone). At current burn rates, MDXH, TIG, QURE will have to refinance in 12-18 months (grey zone).</w:t>
            </w:r>
          </w:p>
          <w:p w:rsidR="0025312D" w:rsidRDefault="0025312D" w:rsidP="009F6F95">
            <w:pPr>
              <w:pStyle w:val="Heading40"/>
            </w:pPr>
          </w:p>
        </w:tc>
        <w:tc>
          <w:tcPr>
            <w:tcW w:w="567" w:type="dxa"/>
            <w:shd w:val="clear" w:color="auto" w:fill="auto"/>
          </w:tcPr>
          <w:p w:rsidR="0025312D" w:rsidRPr="003803C6" w:rsidRDefault="0025312D" w:rsidP="009F6F95">
            <w:pPr>
              <w:spacing w:line="260" w:lineRule="exact"/>
              <w:jc w:val="both"/>
              <w:rPr>
                <w:sz w:val="19"/>
                <w:szCs w:val="19"/>
                <w:lang w:eastAsia="nl-NL"/>
              </w:rPr>
            </w:pPr>
          </w:p>
        </w:tc>
        <w:tc>
          <w:tcPr>
            <w:tcW w:w="5954" w:type="dxa"/>
            <w:shd w:val="clear" w:color="auto" w:fill="auto"/>
          </w:tcPr>
          <w:p w:rsidR="0025312D" w:rsidRDefault="0025312D" w:rsidP="009F6F95">
            <w:pPr>
              <w:pStyle w:val="Text"/>
              <w:spacing w:line="240" w:lineRule="auto"/>
            </w:pPr>
            <w:r>
              <w:rPr>
                <w:noProof/>
                <w:lang w:eastAsia="en-GB"/>
              </w:rPr>
              <w:drawing>
                <wp:inline distT="0" distB="0" distL="0" distR="0">
                  <wp:extent cx="3778885" cy="2467610"/>
                  <wp:effectExtent l="0" t="0" r="0" b="8890"/>
                  <wp:docPr id="1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778885" cy="2467610"/>
                          </a:xfrm>
                          <a:prstGeom prst="rect">
                            <a:avLst/>
                          </a:prstGeom>
                          <a:noFill/>
                          <a:ln>
                            <a:noFill/>
                          </a:ln>
                        </pic:spPr>
                      </pic:pic>
                    </a:graphicData>
                  </a:graphic>
                </wp:inline>
              </w:drawing>
            </w:r>
          </w:p>
        </w:tc>
      </w:tr>
      <w:tr w:rsidR="0025312D" w:rsidRPr="003803C6" w:rsidTr="009F6F95">
        <w:tc>
          <w:tcPr>
            <w:tcW w:w="3118" w:type="dxa"/>
            <w:shd w:val="clear" w:color="auto" w:fill="auto"/>
          </w:tcPr>
          <w:p w:rsidR="0025312D" w:rsidRDefault="0025312D" w:rsidP="009F6F95">
            <w:pPr>
              <w:pStyle w:val="Heading40"/>
              <w:jc w:val="both"/>
            </w:pPr>
          </w:p>
        </w:tc>
        <w:tc>
          <w:tcPr>
            <w:tcW w:w="567" w:type="dxa"/>
            <w:shd w:val="clear" w:color="auto" w:fill="auto"/>
          </w:tcPr>
          <w:p w:rsidR="0025312D" w:rsidRPr="003803C6" w:rsidRDefault="0025312D" w:rsidP="009F6F95">
            <w:pPr>
              <w:spacing w:line="260" w:lineRule="exact"/>
              <w:jc w:val="both"/>
              <w:rPr>
                <w:sz w:val="19"/>
                <w:szCs w:val="19"/>
                <w:lang w:eastAsia="nl-NL"/>
              </w:rPr>
            </w:pPr>
          </w:p>
        </w:tc>
        <w:tc>
          <w:tcPr>
            <w:tcW w:w="5954" w:type="dxa"/>
            <w:shd w:val="clear" w:color="auto" w:fill="auto"/>
          </w:tcPr>
          <w:p w:rsidR="0025312D" w:rsidRPr="00FE275C" w:rsidRDefault="0025312D" w:rsidP="009F6F95">
            <w:pPr>
              <w:pStyle w:val="Source"/>
            </w:pPr>
            <w:r>
              <w:t>Source:  KBC Securities research</w:t>
            </w:r>
          </w:p>
        </w:tc>
      </w:tr>
    </w:tbl>
    <w:p w:rsidR="0025312D" w:rsidRDefault="0025312D" w:rsidP="0025312D"/>
    <w:tbl>
      <w:tblPr>
        <w:tblW w:w="9639" w:type="dxa"/>
        <w:tblLayout w:type="fixed"/>
        <w:tblCellMar>
          <w:left w:w="0" w:type="dxa"/>
          <w:right w:w="0" w:type="dxa"/>
        </w:tblCellMar>
        <w:tblLook w:val="01E0" w:firstRow="1" w:lastRow="1" w:firstColumn="1" w:lastColumn="1" w:noHBand="0" w:noVBand="0"/>
      </w:tblPr>
      <w:tblGrid>
        <w:gridCol w:w="3118"/>
        <w:gridCol w:w="567"/>
        <w:gridCol w:w="5954"/>
      </w:tblGrid>
      <w:tr w:rsidR="0025312D" w:rsidTr="009F6F95">
        <w:tc>
          <w:tcPr>
            <w:tcW w:w="3118" w:type="dxa"/>
            <w:shd w:val="clear" w:color="auto" w:fill="auto"/>
          </w:tcPr>
          <w:p w:rsidR="0025312D" w:rsidRDefault="0025312D" w:rsidP="009F6F95">
            <w:pPr>
              <w:pStyle w:val="Heading40"/>
              <w:jc w:val="both"/>
            </w:pPr>
          </w:p>
        </w:tc>
        <w:tc>
          <w:tcPr>
            <w:tcW w:w="567" w:type="dxa"/>
            <w:shd w:val="clear" w:color="auto" w:fill="auto"/>
          </w:tcPr>
          <w:p w:rsidR="0025312D" w:rsidRPr="003803C6" w:rsidRDefault="0025312D" w:rsidP="009F6F95">
            <w:pPr>
              <w:spacing w:line="260" w:lineRule="exact"/>
              <w:jc w:val="both"/>
              <w:rPr>
                <w:sz w:val="19"/>
                <w:szCs w:val="19"/>
                <w:lang w:eastAsia="nl-NL"/>
              </w:rPr>
            </w:pPr>
          </w:p>
        </w:tc>
        <w:tc>
          <w:tcPr>
            <w:tcW w:w="5954" w:type="dxa"/>
            <w:shd w:val="clear" w:color="auto" w:fill="auto"/>
          </w:tcPr>
          <w:p w:rsidR="0025312D" w:rsidRDefault="0025312D" w:rsidP="009F6F95">
            <w:pPr>
              <w:pStyle w:val="HEADING20"/>
            </w:pPr>
            <w:r>
              <w:t>Increasing interest from US specialist investors</w:t>
            </w:r>
          </w:p>
        </w:tc>
      </w:tr>
      <w:tr w:rsidR="0025312D" w:rsidTr="009F6F95">
        <w:tc>
          <w:tcPr>
            <w:tcW w:w="3118" w:type="dxa"/>
            <w:shd w:val="clear" w:color="auto" w:fill="auto"/>
          </w:tcPr>
          <w:p w:rsidR="0025312D" w:rsidRDefault="0025312D" w:rsidP="009F6F95">
            <w:pPr>
              <w:pStyle w:val="Heading40"/>
              <w:jc w:val="both"/>
            </w:pPr>
            <w:r>
              <w:t>US investors took two thirds of the public raisings in 2014</w:t>
            </w:r>
          </w:p>
        </w:tc>
        <w:tc>
          <w:tcPr>
            <w:tcW w:w="567" w:type="dxa"/>
            <w:shd w:val="clear" w:color="auto" w:fill="auto"/>
          </w:tcPr>
          <w:p w:rsidR="0025312D" w:rsidRPr="003803C6" w:rsidRDefault="0025312D" w:rsidP="009F6F95">
            <w:pPr>
              <w:spacing w:line="260" w:lineRule="exact"/>
              <w:jc w:val="both"/>
              <w:rPr>
                <w:sz w:val="19"/>
                <w:szCs w:val="19"/>
                <w:lang w:eastAsia="nl-NL"/>
              </w:rPr>
            </w:pPr>
          </w:p>
        </w:tc>
        <w:tc>
          <w:tcPr>
            <w:tcW w:w="5954" w:type="dxa"/>
            <w:shd w:val="clear" w:color="auto" w:fill="auto"/>
          </w:tcPr>
          <w:p w:rsidR="0025312D" w:rsidRDefault="0025312D" w:rsidP="00FC67DB">
            <w:pPr>
              <w:pStyle w:val="Text"/>
            </w:pPr>
            <w:r>
              <w:t>All of the above has led to increasing interest from US investors, which means that US investments now represent around two thirds of the funds raised during the 2014 IPOs and refinancing transactions. This continued interest was highly visible in the success of the KBCS Biotech &amp; Healthcare event, which has grown in less than 3 years to become a must-attend event for both the executives of the publicly-listed healthcare companies and US investors who are focused on</w:t>
            </w:r>
            <w:r w:rsidR="00FC67DB">
              <w:t xml:space="preserve"> finding interesting opportunities in Biotech and Healthcare</w:t>
            </w:r>
            <w:r>
              <w:t>.</w:t>
            </w:r>
          </w:p>
        </w:tc>
      </w:tr>
    </w:tbl>
    <w:p w:rsidR="0025312D" w:rsidRDefault="0025312D" w:rsidP="0025312D"/>
    <w:tbl>
      <w:tblPr>
        <w:tblW w:w="9639" w:type="dxa"/>
        <w:tblLayout w:type="fixed"/>
        <w:tblCellMar>
          <w:left w:w="0" w:type="dxa"/>
          <w:right w:w="0" w:type="dxa"/>
        </w:tblCellMar>
        <w:tblLook w:val="01E0" w:firstRow="1" w:lastRow="1" w:firstColumn="1" w:lastColumn="1" w:noHBand="0" w:noVBand="0"/>
      </w:tblPr>
      <w:tblGrid>
        <w:gridCol w:w="3118"/>
        <w:gridCol w:w="567"/>
        <w:gridCol w:w="5954"/>
      </w:tblGrid>
      <w:tr w:rsidR="0025312D" w:rsidRPr="003803C6" w:rsidTr="009F6F95">
        <w:tc>
          <w:tcPr>
            <w:tcW w:w="3118" w:type="dxa"/>
            <w:shd w:val="clear" w:color="auto" w:fill="auto"/>
          </w:tcPr>
          <w:p w:rsidR="0025312D" w:rsidRDefault="0025312D" w:rsidP="009F6F95">
            <w:pPr>
              <w:pStyle w:val="Heading40"/>
              <w:jc w:val="both"/>
            </w:pPr>
            <w:r>
              <w:t>KBCS Biotech and Healthcare conference enjoys increasing interest from investors and companies</w:t>
            </w:r>
          </w:p>
        </w:tc>
        <w:tc>
          <w:tcPr>
            <w:tcW w:w="567" w:type="dxa"/>
            <w:shd w:val="clear" w:color="auto" w:fill="auto"/>
          </w:tcPr>
          <w:p w:rsidR="0025312D" w:rsidRPr="003803C6" w:rsidRDefault="0025312D" w:rsidP="009F6F95">
            <w:pPr>
              <w:spacing w:line="260" w:lineRule="exact"/>
              <w:jc w:val="both"/>
              <w:rPr>
                <w:sz w:val="19"/>
                <w:szCs w:val="19"/>
                <w:lang w:eastAsia="nl-NL"/>
              </w:rPr>
            </w:pPr>
          </w:p>
        </w:tc>
        <w:tc>
          <w:tcPr>
            <w:tcW w:w="5954" w:type="dxa"/>
            <w:shd w:val="clear" w:color="auto" w:fill="auto"/>
          </w:tcPr>
          <w:p w:rsidR="0025312D" w:rsidRDefault="0025312D" w:rsidP="009F6F95">
            <w:pPr>
              <w:pStyle w:val="Text"/>
            </w:pPr>
            <w:r>
              <w:t xml:space="preserve">The Conference has grown organically over the years. In November 2011, KBC Securities organized its generalist Benelux Conference, and of the 12 companies present, four were </w:t>
            </w:r>
            <w:proofErr w:type="spellStart"/>
            <w:r>
              <w:t>LifeSci</w:t>
            </w:r>
            <w:proofErr w:type="spellEnd"/>
            <w:r>
              <w:t xml:space="preserve"> companies. Given the good traction and significant investor interest in these companies, the idea was born to set up a dedicated Conference for this sector.</w:t>
            </w:r>
          </w:p>
        </w:tc>
      </w:tr>
    </w:tbl>
    <w:p w:rsidR="0025312D" w:rsidRDefault="0025312D" w:rsidP="0025312D"/>
    <w:tbl>
      <w:tblPr>
        <w:tblW w:w="9639" w:type="dxa"/>
        <w:tblLayout w:type="fixed"/>
        <w:tblCellMar>
          <w:left w:w="0" w:type="dxa"/>
          <w:right w:w="0" w:type="dxa"/>
        </w:tblCellMar>
        <w:tblLook w:val="01E0" w:firstRow="1" w:lastRow="1" w:firstColumn="1" w:lastColumn="1" w:noHBand="0" w:noVBand="0"/>
      </w:tblPr>
      <w:tblGrid>
        <w:gridCol w:w="4536"/>
        <w:gridCol w:w="567"/>
        <w:gridCol w:w="4536"/>
      </w:tblGrid>
      <w:tr w:rsidR="0025312D" w:rsidRPr="008606AF" w:rsidTr="009F6F95">
        <w:tc>
          <w:tcPr>
            <w:tcW w:w="4536" w:type="dxa"/>
            <w:shd w:val="clear" w:color="auto" w:fill="auto"/>
          </w:tcPr>
          <w:p w:rsidR="0025312D" w:rsidRPr="005B07BB" w:rsidRDefault="0025312D" w:rsidP="009F6F95">
            <w:pPr>
              <w:pStyle w:val="BEFORECHART"/>
            </w:pPr>
            <w:r>
              <w:t>number of listed companies attending</w:t>
            </w:r>
          </w:p>
        </w:tc>
        <w:tc>
          <w:tcPr>
            <w:tcW w:w="567" w:type="dxa"/>
            <w:shd w:val="clear" w:color="auto" w:fill="auto"/>
          </w:tcPr>
          <w:p w:rsidR="0025312D" w:rsidRPr="008606AF" w:rsidRDefault="0025312D" w:rsidP="009F6F95">
            <w:pPr>
              <w:pStyle w:val="Header"/>
              <w:tabs>
                <w:tab w:val="clear" w:pos="4320"/>
                <w:tab w:val="clear" w:pos="8640"/>
              </w:tabs>
              <w:spacing w:line="260" w:lineRule="exact"/>
              <w:rPr>
                <w:rFonts w:cs="Arial"/>
                <w:b/>
                <w:bCs/>
                <w:color w:val="0088CE"/>
                <w:sz w:val="16"/>
                <w:szCs w:val="16"/>
                <w:lang w:eastAsia="nl-NL"/>
              </w:rPr>
            </w:pPr>
          </w:p>
        </w:tc>
        <w:tc>
          <w:tcPr>
            <w:tcW w:w="4536" w:type="dxa"/>
            <w:shd w:val="clear" w:color="auto" w:fill="auto"/>
          </w:tcPr>
          <w:p w:rsidR="0025312D" w:rsidRPr="005B07BB" w:rsidRDefault="0025312D" w:rsidP="009F6F95">
            <w:pPr>
              <w:pStyle w:val="BEFORECHART"/>
            </w:pPr>
            <w:r>
              <w:t>number of investor meetings</w:t>
            </w:r>
          </w:p>
        </w:tc>
      </w:tr>
      <w:tr w:rsidR="0025312D" w:rsidTr="009F6F95">
        <w:tc>
          <w:tcPr>
            <w:tcW w:w="4536" w:type="dxa"/>
            <w:shd w:val="clear" w:color="auto" w:fill="auto"/>
          </w:tcPr>
          <w:p w:rsidR="0025312D" w:rsidRPr="005B07BB" w:rsidRDefault="0025312D" w:rsidP="009F6F95">
            <w:pPr>
              <w:spacing w:before="60" w:after="60"/>
            </w:pPr>
            <w:r>
              <w:rPr>
                <w:noProof/>
                <w:lang w:eastAsia="en-GB"/>
              </w:rPr>
              <w:drawing>
                <wp:inline distT="0" distB="0" distL="0" distR="0">
                  <wp:extent cx="2870835" cy="1875790"/>
                  <wp:effectExtent l="0" t="0" r="0" b="0"/>
                  <wp:docPr id="1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870835" cy="1875790"/>
                          </a:xfrm>
                          <a:prstGeom prst="rect">
                            <a:avLst/>
                          </a:prstGeom>
                          <a:noFill/>
                          <a:ln>
                            <a:noFill/>
                          </a:ln>
                        </pic:spPr>
                      </pic:pic>
                    </a:graphicData>
                  </a:graphic>
                </wp:inline>
              </w:drawing>
            </w:r>
          </w:p>
        </w:tc>
        <w:tc>
          <w:tcPr>
            <w:tcW w:w="567" w:type="dxa"/>
            <w:shd w:val="clear" w:color="auto" w:fill="auto"/>
          </w:tcPr>
          <w:p w:rsidR="0025312D" w:rsidRDefault="0025312D" w:rsidP="009F6F95"/>
        </w:tc>
        <w:tc>
          <w:tcPr>
            <w:tcW w:w="4536" w:type="dxa"/>
            <w:shd w:val="clear" w:color="auto" w:fill="auto"/>
          </w:tcPr>
          <w:p w:rsidR="0025312D" w:rsidRPr="005B07BB" w:rsidRDefault="0025312D" w:rsidP="009F6F95">
            <w:pPr>
              <w:spacing w:before="60" w:after="60"/>
            </w:pPr>
            <w:r>
              <w:rPr>
                <w:noProof/>
                <w:lang w:eastAsia="en-GB"/>
              </w:rPr>
              <w:drawing>
                <wp:inline distT="0" distB="0" distL="0" distR="0">
                  <wp:extent cx="2877820" cy="1869440"/>
                  <wp:effectExtent l="0" t="0" r="0" b="0"/>
                  <wp:docPr id="1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877820" cy="1869440"/>
                          </a:xfrm>
                          <a:prstGeom prst="rect">
                            <a:avLst/>
                          </a:prstGeom>
                          <a:noFill/>
                          <a:ln>
                            <a:noFill/>
                          </a:ln>
                        </pic:spPr>
                      </pic:pic>
                    </a:graphicData>
                  </a:graphic>
                </wp:inline>
              </w:drawing>
            </w:r>
          </w:p>
        </w:tc>
      </w:tr>
      <w:tr w:rsidR="0025312D" w:rsidTr="009F6F95">
        <w:tc>
          <w:tcPr>
            <w:tcW w:w="4536" w:type="dxa"/>
            <w:shd w:val="clear" w:color="auto" w:fill="auto"/>
          </w:tcPr>
          <w:p w:rsidR="0025312D" w:rsidRDefault="0025312D" w:rsidP="009F6F95">
            <w:pPr>
              <w:pStyle w:val="Source"/>
            </w:pPr>
            <w:r>
              <w:rPr>
                <w:lang w:eastAsia="nl-NL"/>
              </w:rPr>
              <w:t>Source: KBC Securities</w:t>
            </w:r>
          </w:p>
        </w:tc>
        <w:tc>
          <w:tcPr>
            <w:tcW w:w="567" w:type="dxa"/>
            <w:shd w:val="clear" w:color="auto" w:fill="auto"/>
          </w:tcPr>
          <w:p w:rsidR="0025312D" w:rsidRDefault="0025312D" w:rsidP="009F6F95">
            <w:pPr>
              <w:spacing w:line="260" w:lineRule="exact"/>
            </w:pPr>
          </w:p>
        </w:tc>
        <w:tc>
          <w:tcPr>
            <w:tcW w:w="4536" w:type="dxa"/>
            <w:shd w:val="clear" w:color="auto" w:fill="auto"/>
          </w:tcPr>
          <w:p w:rsidR="0025312D" w:rsidRDefault="0025312D" w:rsidP="009F6F95">
            <w:pPr>
              <w:pStyle w:val="Source"/>
            </w:pPr>
            <w:r>
              <w:rPr>
                <w:lang w:eastAsia="nl-NL"/>
              </w:rPr>
              <w:t>Source: KBC Securities</w:t>
            </w:r>
          </w:p>
        </w:tc>
      </w:tr>
    </w:tbl>
    <w:p w:rsidR="0025312D" w:rsidRDefault="0025312D" w:rsidP="0025312D"/>
    <w:tbl>
      <w:tblPr>
        <w:tblW w:w="9639" w:type="dxa"/>
        <w:tblLayout w:type="fixed"/>
        <w:tblCellMar>
          <w:left w:w="0" w:type="dxa"/>
          <w:right w:w="0" w:type="dxa"/>
        </w:tblCellMar>
        <w:tblLook w:val="01E0" w:firstRow="1" w:lastRow="1" w:firstColumn="1" w:lastColumn="1" w:noHBand="0" w:noVBand="0"/>
      </w:tblPr>
      <w:tblGrid>
        <w:gridCol w:w="3118"/>
        <w:gridCol w:w="567"/>
        <w:gridCol w:w="5954"/>
      </w:tblGrid>
      <w:tr w:rsidR="0025312D" w:rsidRPr="003803C6" w:rsidTr="009F6F95">
        <w:tc>
          <w:tcPr>
            <w:tcW w:w="3118" w:type="dxa"/>
            <w:shd w:val="clear" w:color="auto" w:fill="auto"/>
          </w:tcPr>
          <w:p w:rsidR="0025312D" w:rsidRDefault="0025312D" w:rsidP="009F6F95">
            <w:pPr>
              <w:pStyle w:val="Heading40"/>
              <w:jc w:val="both"/>
            </w:pPr>
            <w:r>
              <w:t>Value represented increased by 70%</w:t>
            </w:r>
          </w:p>
        </w:tc>
        <w:tc>
          <w:tcPr>
            <w:tcW w:w="567" w:type="dxa"/>
            <w:shd w:val="clear" w:color="auto" w:fill="auto"/>
          </w:tcPr>
          <w:p w:rsidR="0025312D" w:rsidRPr="003803C6" w:rsidRDefault="0025312D" w:rsidP="009F6F95">
            <w:pPr>
              <w:spacing w:line="260" w:lineRule="exact"/>
              <w:jc w:val="both"/>
              <w:rPr>
                <w:sz w:val="19"/>
                <w:szCs w:val="19"/>
                <w:lang w:eastAsia="nl-NL"/>
              </w:rPr>
            </w:pPr>
          </w:p>
        </w:tc>
        <w:tc>
          <w:tcPr>
            <w:tcW w:w="5954" w:type="dxa"/>
            <w:shd w:val="clear" w:color="auto" w:fill="auto"/>
          </w:tcPr>
          <w:p w:rsidR="0025312D" w:rsidRDefault="0025312D" w:rsidP="009F6F95">
            <w:pPr>
              <w:pStyle w:val="Text"/>
            </w:pPr>
            <w:r>
              <w:t>In 2012, at the first edition of the event, nine listed companies participated, for a total market cap of € 2.1bn, and € 9.6bn including UCB. This year, the 14 companies attending represent a € 3.8bn market cap, or € 16.3bn including UCB.</w:t>
            </w:r>
          </w:p>
        </w:tc>
      </w:tr>
    </w:tbl>
    <w:p w:rsidR="0025312D" w:rsidRDefault="0025312D" w:rsidP="0025312D"/>
    <w:tbl>
      <w:tblPr>
        <w:tblW w:w="9639" w:type="dxa"/>
        <w:tblLayout w:type="fixed"/>
        <w:tblCellMar>
          <w:left w:w="0" w:type="dxa"/>
          <w:right w:w="0" w:type="dxa"/>
        </w:tblCellMar>
        <w:tblLook w:val="01E0" w:firstRow="1" w:lastRow="1" w:firstColumn="1" w:lastColumn="1" w:noHBand="0" w:noVBand="0"/>
      </w:tblPr>
      <w:tblGrid>
        <w:gridCol w:w="4536"/>
        <w:gridCol w:w="567"/>
        <w:gridCol w:w="4536"/>
      </w:tblGrid>
      <w:tr w:rsidR="0025312D" w:rsidRPr="008606AF" w:rsidTr="009F6F95">
        <w:tc>
          <w:tcPr>
            <w:tcW w:w="4536" w:type="dxa"/>
            <w:shd w:val="clear" w:color="auto" w:fill="auto"/>
          </w:tcPr>
          <w:p w:rsidR="0025312D" w:rsidRPr="005B07BB" w:rsidRDefault="0025312D" w:rsidP="009F6F95">
            <w:pPr>
              <w:pStyle w:val="BEFORECHART"/>
            </w:pPr>
            <w:r>
              <w:t>Market value represented (€ bn)</w:t>
            </w:r>
          </w:p>
        </w:tc>
        <w:tc>
          <w:tcPr>
            <w:tcW w:w="567" w:type="dxa"/>
            <w:shd w:val="clear" w:color="auto" w:fill="auto"/>
          </w:tcPr>
          <w:p w:rsidR="0025312D" w:rsidRPr="008606AF" w:rsidRDefault="0025312D" w:rsidP="009F6F95">
            <w:pPr>
              <w:pStyle w:val="Header"/>
              <w:tabs>
                <w:tab w:val="clear" w:pos="4320"/>
                <w:tab w:val="clear" w:pos="8640"/>
              </w:tabs>
              <w:spacing w:line="260" w:lineRule="exact"/>
              <w:rPr>
                <w:rFonts w:cs="Arial"/>
                <w:b/>
                <w:bCs/>
                <w:color w:val="0088CE"/>
                <w:sz w:val="16"/>
                <w:szCs w:val="16"/>
                <w:lang w:eastAsia="nl-NL"/>
              </w:rPr>
            </w:pPr>
          </w:p>
        </w:tc>
        <w:tc>
          <w:tcPr>
            <w:tcW w:w="4536" w:type="dxa"/>
            <w:shd w:val="clear" w:color="auto" w:fill="auto"/>
          </w:tcPr>
          <w:p w:rsidR="0025312D" w:rsidRPr="005B07BB" w:rsidRDefault="0025312D" w:rsidP="009F6F95">
            <w:pPr>
              <w:pStyle w:val="BEFORECHART"/>
            </w:pPr>
            <w:r>
              <w:t>average number of meetings per fund</w:t>
            </w:r>
          </w:p>
        </w:tc>
      </w:tr>
      <w:tr w:rsidR="0025312D" w:rsidTr="009F6F95">
        <w:tc>
          <w:tcPr>
            <w:tcW w:w="4536" w:type="dxa"/>
            <w:shd w:val="clear" w:color="auto" w:fill="auto"/>
          </w:tcPr>
          <w:p w:rsidR="0025312D" w:rsidRPr="005B07BB" w:rsidRDefault="0025312D" w:rsidP="009F6F95">
            <w:pPr>
              <w:spacing w:before="60" w:after="60"/>
            </w:pPr>
            <w:r>
              <w:rPr>
                <w:noProof/>
                <w:lang w:eastAsia="en-GB"/>
              </w:rPr>
              <w:drawing>
                <wp:inline distT="0" distB="0" distL="0" distR="0">
                  <wp:extent cx="2877820" cy="1869440"/>
                  <wp:effectExtent l="0" t="0" r="0" b="0"/>
                  <wp:docPr id="1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877820" cy="1869440"/>
                          </a:xfrm>
                          <a:prstGeom prst="rect">
                            <a:avLst/>
                          </a:prstGeom>
                          <a:noFill/>
                          <a:ln>
                            <a:noFill/>
                          </a:ln>
                        </pic:spPr>
                      </pic:pic>
                    </a:graphicData>
                  </a:graphic>
                </wp:inline>
              </w:drawing>
            </w:r>
          </w:p>
        </w:tc>
        <w:tc>
          <w:tcPr>
            <w:tcW w:w="567" w:type="dxa"/>
            <w:shd w:val="clear" w:color="auto" w:fill="auto"/>
          </w:tcPr>
          <w:p w:rsidR="0025312D" w:rsidRDefault="0025312D" w:rsidP="009F6F95"/>
        </w:tc>
        <w:tc>
          <w:tcPr>
            <w:tcW w:w="4536" w:type="dxa"/>
            <w:shd w:val="clear" w:color="auto" w:fill="auto"/>
          </w:tcPr>
          <w:p w:rsidR="0025312D" w:rsidRPr="005B07BB" w:rsidRDefault="0025312D" w:rsidP="009F6F95">
            <w:pPr>
              <w:spacing w:before="60" w:after="60"/>
            </w:pPr>
            <w:r>
              <w:rPr>
                <w:noProof/>
                <w:lang w:eastAsia="en-GB"/>
              </w:rPr>
              <w:drawing>
                <wp:inline distT="0" distB="0" distL="0" distR="0">
                  <wp:extent cx="2877820" cy="1869440"/>
                  <wp:effectExtent l="0" t="0" r="0" b="0"/>
                  <wp:docPr id="1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877820" cy="1869440"/>
                          </a:xfrm>
                          <a:prstGeom prst="rect">
                            <a:avLst/>
                          </a:prstGeom>
                          <a:noFill/>
                          <a:ln>
                            <a:noFill/>
                          </a:ln>
                        </pic:spPr>
                      </pic:pic>
                    </a:graphicData>
                  </a:graphic>
                </wp:inline>
              </w:drawing>
            </w:r>
          </w:p>
        </w:tc>
      </w:tr>
      <w:tr w:rsidR="0025312D" w:rsidTr="009F6F95">
        <w:tc>
          <w:tcPr>
            <w:tcW w:w="4536" w:type="dxa"/>
            <w:shd w:val="clear" w:color="auto" w:fill="auto"/>
          </w:tcPr>
          <w:p w:rsidR="0025312D" w:rsidRDefault="0025312D" w:rsidP="009F6F95">
            <w:pPr>
              <w:pStyle w:val="Source"/>
            </w:pPr>
            <w:r>
              <w:rPr>
                <w:lang w:eastAsia="nl-NL"/>
              </w:rPr>
              <w:t>Source: KBC Securities</w:t>
            </w:r>
          </w:p>
        </w:tc>
        <w:tc>
          <w:tcPr>
            <w:tcW w:w="567" w:type="dxa"/>
            <w:shd w:val="clear" w:color="auto" w:fill="auto"/>
          </w:tcPr>
          <w:p w:rsidR="0025312D" w:rsidRDefault="0025312D" w:rsidP="009F6F95">
            <w:pPr>
              <w:spacing w:line="260" w:lineRule="exact"/>
            </w:pPr>
          </w:p>
        </w:tc>
        <w:tc>
          <w:tcPr>
            <w:tcW w:w="4536" w:type="dxa"/>
            <w:shd w:val="clear" w:color="auto" w:fill="auto"/>
          </w:tcPr>
          <w:p w:rsidR="0025312D" w:rsidRDefault="0025312D" w:rsidP="009F6F95">
            <w:pPr>
              <w:pStyle w:val="Source"/>
            </w:pPr>
            <w:r>
              <w:rPr>
                <w:lang w:eastAsia="nl-NL"/>
              </w:rPr>
              <w:t>Source: KBC Securities</w:t>
            </w:r>
          </w:p>
        </w:tc>
      </w:tr>
    </w:tbl>
    <w:p w:rsidR="0025312D" w:rsidRDefault="0025312D" w:rsidP="0025312D"/>
    <w:tbl>
      <w:tblPr>
        <w:tblW w:w="9639" w:type="dxa"/>
        <w:tblLayout w:type="fixed"/>
        <w:tblCellMar>
          <w:left w:w="0" w:type="dxa"/>
          <w:right w:w="0" w:type="dxa"/>
        </w:tblCellMar>
        <w:tblLook w:val="01E0" w:firstRow="1" w:lastRow="1" w:firstColumn="1" w:lastColumn="1" w:noHBand="0" w:noVBand="0"/>
      </w:tblPr>
      <w:tblGrid>
        <w:gridCol w:w="3118"/>
        <w:gridCol w:w="567"/>
        <w:gridCol w:w="5954"/>
      </w:tblGrid>
      <w:tr w:rsidR="0025312D" w:rsidRPr="003803C6" w:rsidTr="009F6F95">
        <w:tc>
          <w:tcPr>
            <w:tcW w:w="3118" w:type="dxa"/>
            <w:shd w:val="clear" w:color="auto" w:fill="auto"/>
          </w:tcPr>
          <w:p w:rsidR="0025312D" w:rsidRDefault="0025312D" w:rsidP="009F6F95">
            <w:pPr>
              <w:pStyle w:val="Heading40"/>
              <w:jc w:val="both"/>
            </w:pPr>
            <w:r>
              <w:t>Investor contacts increased by 60%</w:t>
            </w:r>
          </w:p>
        </w:tc>
        <w:tc>
          <w:tcPr>
            <w:tcW w:w="567" w:type="dxa"/>
            <w:shd w:val="clear" w:color="auto" w:fill="auto"/>
          </w:tcPr>
          <w:p w:rsidR="0025312D" w:rsidRPr="003803C6" w:rsidRDefault="0025312D" w:rsidP="009F6F95">
            <w:pPr>
              <w:spacing w:line="260" w:lineRule="exact"/>
              <w:jc w:val="both"/>
              <w:rPr>
                <w:sz w:val="19"/>
                <w:szCs w:val="19"/>
                <w:lang w:eastAsia="nl-NL"/>
              </w:rPr>
            </w:pPr>
          </w:p>
        </w:tc>
        <w:tc>
          <w:tcPr>
            <w:tcW w:w="5954" w:type="dxa"/>
            <w:shd w:val="clear" w:color="auto" w:fill="auto"/>
          </w:tcPr>
          <w:p w:rsidR="0025312D" w:rsidRDefault="0025312D" w:rsidP="009F6F95">
            <w:pPr>
              <w:pStyle w:val="Text"/>
            </w:pPr>
            <w:r w:rsidRPr="00DB58EE">
              <w:t>The number of investor contacts in this third edition increase</w:t>
            </w:r>
            <w:r>
              <w:t>d</w:t>
            </w:r>
            <w:r w:rsidRPr="00DB58EE">
              <w:t xml:space="preserve"> by 60% </w:t>
            </w:r>
            <w:r>
              <w:t>compared to</w:t>
            </w:r>
            <w:r w:rsidRPr="00DB58EE">
              <w:t xml:space="preserve"> the 2012 edition, driven by a 25% increase in individual investors attending</w:t>
            </w:r>
            <w:r>
              <w:t>,</w:t>
            </w:r>
            <w:r w:rsidRPr="00DB58EE">
              <w:t xml:space="preserve"> but also because investors </w:t>
            </w:r>
            <w:r>
              <w:t xml:space="preserve">want to meet more </w:t>
            </w:r>
            <w:r w:rsidRPr="00DB58EE">
              <w:t>companies</w:t>
            </w:r>
            <w:r>
              <w:t xml:space="preserve"> (growing from 2.8 meetings per investor in 2012 to 3.8 in 2014)</w:t>
            </w:r>
            <w:r w:rsidRPr="00DB58EE">
              <w:t xml:space="preserve">. This is an example of the increasing quality of the investment opportunities being offered to the US specialist investor. </w:t>
            </w:r>
          </w:p>
        </w:tc>
      </w:tr>
    </w:tbl>
    <w:p w:rsidR="0025312D" w:rsidRDefault="0025312D" w:rsidP="0025312D"/>
    <w:tbl>
      <w:tblPr>
        <w:tblW w:w="9639" w:type="dxa"/>
        <w:tblLayout w:type="fixed"/>
        <w:tblCellMar>
          <w:left w:w="0" w:type="dxa"/>
          <w:right w:w="0" w:type="dxa"/>
        </w:tblCellMar>
        <w:tblLook w:val="01E0" w:firstRow="1" w:lastRow="1" w:firstColumn="1" w:lastColumn="1" w:noHBand="0" w:noVBand="0"/>
      </w:tblPr>
      <w:tblGrid>
        <w:gridCol w:w="4536"/>
        <w:gridCol w:w="567"/>
        <w:gridCol w:w="4536"/>
      </w:tblGrid>
      <w:tr w:rsidR="0025312D" w:rsidRPr="008606AF" w:rsidTr="009F6F95">
        <w:tc>
          <w:tcPr>
            <w:tcW w:w="4536" w:type="dxa"/>
            <w:shd w:val="clear" w:color="auto" w:fill="auto"/>
          </w:tcPr>
          <w:p w:rsidR="0025312D" w:rsidRPr="005B07BB" w:rsidRDefault="0025312D" w:rsidP="009F6F95">
            <w:pPr>
              <w:pStyle w:val="BEFORECHART"/>
            </w:pPr>
            <w:r>
              <w:t>Meetings per fund type</w:t>
            </w:r>
          </w:p>
        </w:tc>
        <w:tc>
          <w:tcPr>
            <w:tcW w:w="567" w:type="dxa"/>
            <w:shd w:val="clear" w:color="auto" w:fill="auto"/>
          </w:tcPr>
          <w:p w:rsidR="0025312D" w:rsidRPr="008606AF" w:rsidRDefault="0025312D" w:rsidP="009F6F95">
            <w:pPr>
              <w:pStyle w:val="Header"/>
              <w:tabs>
                <w:tab w:val="clear" w:pos="4320"/>
                <w:tab w:val="clear" w:pos="8640"/>
              </w:tabs>
              <w:spacing w:line="260" w:lineRule="exact"/>
              <w:rPr>
                <w:rFonts w:cs="Arial"/>
                <w:b/>
                <w:bCs/>
                <w:color w:val="0088CE"/>
                <w:sz w:val="16"/>
                <w:szCs w:val="16"/>
                <w:lang w:eastAsia="nl-NL"/>
              </w:rPr>
            </w:pPr>
          </w:p>
        </w:tc>
        <w:tc>
          <w:tcPr>
            <w:tcW w:w="4536" w:type="dxa"/>
            <w:shd w:val="clear" w:color="auto" w:fill="auto"/>
          </w:tcPr>
          <w:p w:rsidR="0025312D" w:rsidRPr="005B07BB" w:rsidRDefault="0025312D" w:rsidP="009F6F95">
            <w:pPr>
              <w:pStyle w:val="BEFORECHART"/>
            </w:pPr>
            <w:r>
              <w:t>% meetings with top US healthcare funds</w:t>
            </w:r>
          </w:p>
        </w:tc>
      </w:tr>
      <w:tr w:rsidR="0025312D" w:rsidTr="009F6F95">
        <w:tc>
          <w:tcPr>
            <w:tcW w:w="4536" w:type="dxa"/>
            <w:shd w:val="clear" w:color="auto" w:fill="auto"/>
          </w:tcPr>
          <w:p w:rsidR="0025312D" w:rsidRPr="005B07BB" w:rsidRDefault="0025312D" w:rsidP="009F6F95">
            <w:pPr>
              <w:spacing w:before="60" w:after="60"/>
            </w:pPr>
            <w:r>
              <w:rPr>
                <w:noProof/>
                <w:lang w:eastAsia="en-GB"/>
              </w:rPr>
              <w:drawing>
                <wp:inline distT="0" distB="0" distL="0" distR="0">
                  <wp:extent cx="2877820" cy="1875790"/>
                  <wp:effectExtent l="0" t="0" r="0" b="0"/>
                  <wp:docPr id="1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877820" cy="1875790"/>
                          </a:xfrm>
                          <a:prstGeom prst="rect">
                            <a:avLst/>
                          </a:prstGeom>
                          <a:noFill/>
                          <a:ln>
                            <a:noFill/>
                          </a:ln>
                        </pic:spPr>
                      </pic:pic>
                    </a:graphicData>
                  </a:graphic>
                </wp:inline>
              </w:drawing>
            </w:r>
          </w:p>
        </w:tc>
        <w:tc>
          <w:tcPr>
            <w:tcW w:w="567" w:type="dxa"/>
            <w:shd w:val="clear" w:color="auto" w:fill="auto"/>
          </w:tcPr>
          <w:p w:rsidR="0025312D" w:rsidRDefault="0025312D" w:rsidP="009F6F95"/>
        </w:tc>
        <w:tc>
          <w:tcPr>
            <w:tcW w:w="4536" w:type="dxa"/>
            <w:shd w:val="clear" w:color="auto" w:fill="auto"/>
          </w:tcPr>
          <w:p w:rsidR="0025312D" w:rsidRPr="005B07BB" w:rsidRDefault="0025312D" w:rsidP="009F6F95">
            <w:pPr>
              <w:spacing w:before="60" w:after="60"/>
            </w:pPr>
            <w:r>
              <w:rPr>
                <w:noProof/>
                <w:lang w:eastAsia="en-GB"/>
              </w:rPr>
              <w:drawing>
                <wp:inline distT="0" distB="0" distL="0" distR="0">
                  <wp:extent cx="2877820" cy="1869440"/>
                  <wp:effectExtent l="0" t="0" r="0" b="0"/>
                  <wp:docPr id="1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877820" cy="1869440"/>
                          </a:xfrm>
                          <a:prstGeom prst="rect">
                            <a:avLst/>
                          </a:prstGeom>
                          <a:noFill/>
                          <a:ln>
                            <a:noFill/>
                          </a:ln>
                        </pic:spPr>
                      </pic:pic>
                    </a:graphicData>
                  </a:graphic>
                </wp:inline>
              </w:drawing>
            </w:r>
          </w:p>
        </w:tc>
      </w:tr>
      <w:tr w:rsidR="0025312D" w:rsidTr="009F6F95">
        <w:tc>
          <w:tcPr>
            <w:tcW w:w="4536" w:type="dxa"/>
            <w:shd w:val="clear" w:color="auto" w:fill="auto"/>
          </w:tcPr>
          <w:p w:rsidR="0025312D" w:rsidRDefault="0025312D" w:rsidP="009F6F95">
            <w:pPr>
              <w:pStyle w:val="Source"/>
            </w:pPr>
            <w:r>
              <w:rPr>
                <w:lang w:eastAsia="nl-NL"/>
              </w:rPr>
              <w:t>Source: KBC Securities</w:t>
            </w:r>
          </w:p>
        </w:tc>
        <w:tc>
          <w:tcPr>
            <w:tcW w:w="567" w:type="dxa"/>
            <w:shd w:val="clear" w:color="auto" w:fill="auto"/>
          </w:tcPr>
          <w:p w:rsidR="0025312D" w:rsidRDefault="0025312D" w:rsidP="009F6F95">
            <w:pPr>
              <w:spacing w:line="260" w:lineRule="exact"/>
            </w:pPr>
          </w:p>
        </w:tc>
        <w:tc>
          <w:tcPr>
            <w:tcW w:w="4536" w:type="dxa"/>
            <w:shd w:val="clear" w:color="auto" w:fill="auto"/>
          </w:tcPr>
          <w:p w:rsidR="0025312D" w:rsidRDefault="0025312D" w:rsidP="009F6F95">
            <w:pPr>
              <w:pStyle w:val="Source"/>
            </w:pPr>
            <w:r>
              <w:rPr>
                <w:lang w:eastAsia="nl-NL"/>
              </w:rPr>
              <w:t>Source: KBC Securities</w:t>
            </w:r>
          </w:p>
        </w:tc>
      </w:tr>
    </w:tbl>
    <w:p w:rsidR="0025312D" w:rsidRDefault="0025312D" w:rsidP="0025312D"/>
    <w:tbl>
      <w:tblPr>
        <w:tblW w:w="9639" w:type="dxa"/>
        <w:tblLayout w:type="fixed"/>
        <w:tblCellMar>
          <w:left w:w="0" w:type="dxa"/>
          <w:right w:w="0" w:type="dxa"/>
        </w:tblCellMar>
        <w:tblLook w:val="01E0" w:firstRow="1" w:lastRow="1" w:firstColumn="1" w:lastColumn="1" w:noHBand="0" w:noVBand="0"/>
      </w:tblPr>
      <w:tblGrid>
        <w:gridCol w:w="3118"/>
        <w:gridCol w:w="567"/>
        <w:gridCol w:w="5954"/>
      </w:tblGrid>
      <w:tr w:rsidR="0025312D" w:rsidRPr="003803C6" w:rsidTr="009F6F95">
        <w:tc>
          <w:tcPr>
            <w:tcW w:w="3118" w:type="dxa"/>
            <w:shd w:val="clear" w:color="auto" w:fill="auto"/>
          </w:tcPr>
          <w:p w:rsidR="0025312D" w:rsidRDefault="0025312D" w:rsidP="009F6F95">
            <w:pPr>
              <w:pStyle w:val="Heading40"/>
              <w:jc w:val="both"/>
            </w:pPr>
            <w:r>
              <w:t>Close to 50% of the meetings are with top US biotech funds</w:t>
            </w:r>
          </w:p>
        </w:tc>
        <w:tc>
          <w:tcPr>
            <w:tcW w:w="567" w:type="dxa"/>
            <w:shd w:val="clear" w:color="auto" w:fill="auto"/>
          </w:tcPr>
          <w:p w:rsidR="0025312D" w:rsidRPr="003803C6" w:rsidRDefault="0025312D" w:rsidP="009F6F95">
            <w:pPr>
              <w:spacing w:line="260" w:lineRule="exact"/>
              <w:jc w:val="both"/>
              <w:rPr>
                <w:sz w:val="19"/>
                <w:szCs w:val="19"/>
                <w:lang w:eastAsia="nl-NL"/>
              </w:rPr>
            </w:pPr>
          </w:p>
        </w:tc>
        <w:tc>
          <w:tcPr>
            <w:tcW w:w="5954" w:type="dxa"/>
            <w:shd w:val="clear" w:color="auto" w:fill="auto"/>
          </w:tcPr>
          <w:p w:rsidR="0025312D" w:rsidRDefault="0025312D" w:rsidP="00FC67DB">
            <w:pPr>
              <w:pStyle w:val="Text"/>
            </w:pPr>
            <w:r w:rsidRPr="00DB58EE">
              <w:t>Moreover, close to half of the meetings are with top</w:t>
            </w:r>
            <w:r>
              <w:t xml:space="preserve"> US </w:t>
            </w:r>
            <w:r w:rsidRPr="00DB58EE">
              <w:t xml:space="preserve">biotech </w:t>
            </w:r>
            <w:r w:rsidR="00FC67DB">
              <w:t>funds</w:t>
            </w:r>
            <w:r w:rsidRPr="00DB58EE">
              <w:t>, something that was almost unima</w:t>
            </w:r>
            <w:bookmarkStart w:id="0" w:name="_GoBack"/>
            <w:bookmarkEnd w:id="0"/>
            <w:r w:rsidRPr="00DB58EE">
              <w:t>ginable 3 years ago.</w:t>
            </w:r>
            <w:r>
              <w:t xml:space="preserve"> </w:t>
            </w:r>
          </w:p>
        </w:tc>
      </w:tr>
    </w:tbl>
    <w:p w:rsidR="00E564A2" w:rsidRDefault="00E564A2" w:rsidP="00A00FC7">
      <w:pPr>
        <w:pStyle w:val="Text"/>
      </w:pPr>
    </w:p>
    <w:p w:rsidR="00E564A2" w:rsidRPr="00407664" w:rsidRDefault="00E564A2" w:rsidP="00A00FC7">
      <w:pPr>
        <w:pStyle w:val="Text"/>
      </w:pPr>
      <w:r>
        <w:br w:type="page"/>
      </w:r>
    </w:p>
    <w:p w:rsidR="00E31644" w:rsidRDefault="00E31644" w:rsidP="00A00FC7">
      <w:pPr>
        <w:pStyle w:val="Text"/>
        <w:rPr>
          <w:rStyle w:val="TextChar"/>
        </w:rPr>
      </w:pPr>
    </w:p>
    <w:p w:rsidR="00E564A2" w:rsidRPr="00A00FC7" w:rsidRDefault="00E564A2" w:rsidP="00A00FC7">
      <w:pPr>
        <w:pStyle w:val="Text"/>
        <w:rPr>
          <w:b/>
          <w:color w:val="5B2B2F"/>
          <w:sz w:val="16"/>
        </w:rPr>
      </w:pPr>
      <w:r w:rsidRPr="00A00FC7">
        <w:rPr>
          <w:b/>
          <w:color w:val="5B2B2F"/>
          <w:sz w:val="16"/>
        </w:rPr>
        <w:t>DISCLOSURE &amp; DISCLAIMER SECTION</w:t>
      </w:r>
    </w:p>
    <w:p w:rsidR="00E564A2" w:rsidRDefault="00E564A2" w:rsidP="007B7EB4"/>
    <w:p w:rsidR="00E564A2" w:rsidRPr="00E6158A" w:rsidRDefault="00E564A2" w:rsidP="007B7EB4">
      <w:pPr>
        <w:autoSpaceDE w:val="0"/>
        <w:autoSpaceDN w:val="0"/>
        <w:adjustRightInd w:val="0"/>
        <w:rPr>
          <w:rFonts w:ascii="ArialMT" w:hAnsi="ArialMT" w:cs="ArialMT"/>
          <w:color w:val="766A62"/>
          <w:sz w:val="16"/>
          <w:szCs w:val="16"/>
          <w:lang w:eastAsia="nl-NL"/>
        </w:rPr>
      </w:pPr>
      <w:r w:rsidRPr="00E6158A">
        <w:rPr>
          <w:rFonts w:ascii="ArialMT" w:hAnsi="ArialMT" w:cs="ArialMT"/>
          <w:color w:val="766A62"/>
          <w:sz w:val="16"/>
          <w:szCs w:val="16"/>
          <w:lang w:eastAsia="nl-NL"/>
        </w:rPr>
        <w:t xml:space="preserve">The company disclosures can also be consulted on our website </w:t>
      </w:r>
      <w:hyperlink r:id="rId21" w:history="1">
        <w:r w:rsidR="0094733A">
          <w:rPr>
            <w:rFonts w:ascii="ArialMT" w:hAnsi="ArialMT" w:cs="ArialMT"/>
            <w:color w:val="766A62"/>
            <w:sz w:val="16"/>
            <w:szCs w:val="16"/>
            <w:lang w:eastAsia="nl-NL"/>
          </w:rPr>
          <w:t>http://www.kbcsecurities.com/disclosures</w:t>
        </w:r>
      </w:hyperlink>
      <w:r w:rsidRPr="00E6158A">
        <w:rPr>
          <w:rFonts w:ascii="ArialMT" w:hAnsi="ArialMT" w:cs="ArialMT"/>
          <w:color w:val="766A62"/>
          <w:sz w:val="16"/>
          <w:szCs w:val="16"/>
          <w:lang w:eastAsia="nl-NL"/>
        </w:rPr>
        <w:t>.</w:t>
      </w:r>
    </w:p>
    <w:p w:rsidR="00E564A2" w:rsidRDefault="00E564A2" w:rsidP="007B7EB4"/>
    <w:p w:rsidR="00E564A2" w:rsidRDefault="00E564A2" w:rsidP="007B7EB4">
      <w:pPr>
        <w:rPr>
          <w:sz w:val="14"/>
        </w:rPr>
      </w:pPr>
      <w:r>
        <w:rPr>
          <w:sz w:val="14"/>
        </w:rPr>
        <w:t xml:space="preserve">KBC Securities uses an absolute rating system including terms such as Buy, Accumulate, </w:t>
      </w:r>
      <w:proofErr w:type="gramStart"/>
      <w:r>
        <w:rPr>
          <w:sz w:val="14"/>
        </w:rPr>
        <w:t>Hold</w:t>
      </w:r>
      <w:proofErr w:type="gramEnd"/>
      <w:r>
        <w:rPr>
          <w:sz w:val="14"/>
        </w:rPr>
        <w:t>, Reduce and Sell (see definitions below).</w:t>
      </w:r>
    </w:p>
    <w:p w:rsidR="00E564A2" w:rsidRPr="00D655D6" w:rsidRDefault="00E564A2" w:rsidP="007B7EB4"/>
    <w:tbl>
      <w:tblPr>
        <w:tblW w:w="9639" w:type="dxa"/>
        <w:tblLayout w:type="fixed"/>
        <w:tblCellMar>
          <w:left w:w="0" w:type="dxa"/>
          <w:right w:w="0" w:type="dxa"/>
        </w:tblCellMar>
        <w:tblLook w:val="0000" w:firstRow="0" w:lastRow="0" w:firstColumn="0" w:lastColumn="0" w:noHBand="0" w:noVBand="0"/>
      </w:tblPr>
      <w:tblGrid>
        <w:gridCol w:w="1458"/>
        <w:gridCol w:w="8181"/>
      </w:tblGrid>
      <w:tr w:rsidR="00E564A2" w:rsidRPr="00C7225D" w:rsidTr="00E564A2">
        <w:tc>
          <w:tcPr>
            <w:tcW w:w="1276" w:type="dxa"/>
            <w:tcBorders>
              <w:top w:val="dashSmallGap" w:sz="8" w:space="0" w:color="766A62"/>
              <w:bottom w:val="dashSmallGap" w:sz="8" w:space="0" w:color="766A62"/>
            </w:tcBorders>
          </w:tcPr>
          <w:p w:rsidR="00E564A2" w:rsidRPr="00C7225D" w:rsidRDefault="00E564A2" w:rsidP="007B7EB4">
            <w:pPr>
              <w:spacing w:line="240" w:lineRule="exact"/>
              <w:rPr>
                <w:rFonts w:cs="Arial"/>
                <w:b/>
                <w:color w:val="0088CE"/>
                <w:sz w:val="14"/>
                <w:szCs w:val="14"/>
              </w:rPr>
            </w:pPr>
            <w:r w:rsidRPr="00C7225D">
              <w:rPr>
                <w:rFonts w:cs="Arial"/>
                <w:b/>
                <w:color w:val="0088CE"/>
                <w:sz w:val="14"/>
                <w:szCs w:val="14"/>
              </w:rPr>
              <w:t>Stock rating</w:t>
            </w:r>
          </w:p>
        </w:tc>
        <w:tc>
          <w:tcPr>
            <w:tcW w:w="7157" w:type="dxa"/>
            <w:tcBorders>
              <w:top w:val="dashSmallGap" w:sz="8" w:space="0" w:color="766A62"/>
              <w:bottom w:val="dashSmallGap" w:sz="8" w:space="0" w:color="766A62"/>
            </w:tcBorders>
          </w:tcPr>
          <w:p w:rsidR="00E564A2" w:rsidRPr="00C7225D" w:rsidRDefault="00E564A2" w:rsidP="007B7EB4">
            <w:pPr>
              <w:spacing w:line="240" w:lineRule="exact"/>
              <w:rPr>
                <w:rFonts w:cs="Arial"/>
                <w:b/>
                <w:color w:val="0088CE"/>
                <w:sz w:val="14"/>
                <w:szCs w:val="14"/>
              </w:rPr>
            </w:pPr>
            <w:r w:rsidRPr="00C7225D">
              <w:rPr>
                <w:rFonts w:cs="Arial"/>
                <w:b/>
                <w:color w:val="0088CE"/>
                <w:sz w:val="14"/>
                <w:szCs w:val="14"/>
              </w:rPr>
              <w:t>Definition</w:t>
            </w:r>
          </w:p>
        </w:tc>
      </w:tr>
      <w:tr w:rsidR="00E564A2" w:rsidTr="00E564A2">
        <w:tc>
          <w:tcPr>
            <w:tcW w:w="1276" w:type="dxa"/>
            <w:tcBorders>
              <w:top w:val="dashSmallGap" w:sz="8" w:space="0" w:color="766A62"/>
            </w:tcBorders>
          </w:tcPr>
          <w:p w:rsidR="00E564A2" w:rsidRDefault="00E564A2" w:rsidP="007B7EB4">
            <w:pPr>
              <w:spacing w:line="240" w:lineRule="exact"/>
              <w:rPr>
                <w:sz w:val="14"/>
              </w:rPr>
            </w:pPr>
            <w:r>
              <w:rPr>
                <w:sz w:val="14"/>
              </w:rPr>
              <w:t>BUY</w:t>
            </w:r>
          </w:p>
        </w:tc>
        <w:tc>
          <w:tcPr>
            <w:tcW w:w="7157" w:type="dxa"/>
            <w:tcBorders>
              <w:top w:val="dashSmallGap" w:sz="8" w:space="0" w:color="766A62"/>
            </w:tcBorders>
          </w:tcPr>
          <w:p w:rsidR="00E564A2" w:rsidRDefault="00E564A2" w:rsidP="007B7EB4">
            <w:pPr>
              <w:spacing w:line="240" w:lineRule="exact"/>
              <w:rPr>
                <w:sz w:val="14"/>
              </w:rPr>
            </w:pPr>
            <w:r>
              <w:rPr>
                <w:sz w:val="14"/>
              </w:rPr>
              <w:t>Expected total return (including dividends) of 10% or more over a 6-month period</w:t>
            </w:r>
          </w:p>
        </w:tc>
      </w:tr>
      <w:tr w:rsidR="00E564A2" w:rsidTr="00E564A2">
        <w:tc>
          <w:tcPr>
            <w:tcW w:w="1276" w:type="dxa"/>
          </w:tcPr>
          <w:p w:rsidR="00E564A2" w:rsidRDefault="00E564A2" w:rsidP="007B7EB4">
            <w:pPr>
              <w:spacing w:line="240" w:lineRule="exact"/>
              <w:rPr>
                <w:sz w:val="14"/>
              </w:rPr>
            </w:pPr>
            <w:r>
              <w:rPr>
                <w:sz w:val="14"/>
              </w:rPr>
              <w:t>ACCUMULATE</w:t>
            </w:r>
          </w:p>
        </w:tc>
        <w:tc>
          <w:tcPr>
            <w:tcW w:w="7157" w:type="dxa"/>
          </w:tcPr>
          <w:p w:rsidR="00E564A2" w:rsidRDefault="00E564A2" w:rsidP="007B7EB4">
            <w:pPr>
              <w:spacing w:line="240" w:lineRule="exact"/>
              <w:rPr>
                <w:sz w:val="14"/>
              </w:rPr>
            </w:pPr>
            <w:r>
              <w:rPr>
                <w:sz w:val="14"/>
              </w:rPr>
              <w:t>Expected total return (including dividends) between 0% and 15% over a 6-month period</w:t>
            </w:r>
          </w:p>
        </w:tc>
      </w:tr>
      <w:tr w:rsidR="00E564A2" w:rsidTr="00E564A2">
        <w:tc>
          <w:tcPr>
            <w:tcW w:w="1276" w:type="dxa"/>
          </w:tcPr>
          <w:p w:rsidR="00E564A2" w:rsidRDefault="00E564A2" w:rsidP="007B7EB4">
            <w:pPr>
              <w:spacing w:line="240" w:lineRule="exact"/>
              <w:rPr>
                <w:sz w:val="14"/>
              </w:rPr>
            </w:pPr>
            <w:r>
              <w:rPr>
                <w:sz w:val="14"/>
              </w:rPr>
              <w:t>HOLD</w:t>
            </w:r>
          </w:p>
        </w:tc>
        <w:tc>
          <w:tcPr>
            <w:tcW w:w="7157" w:type="dxa"/>
          </w:tcPr>
          <w:p w:rsidR="00E564A2" w:rsidRDefault="00E564A2" w:rsidP="007B7EB4">
            <w:pPr>
              <w:spacing w:line="240" w:lineRule="exact"/>
              <w:rPr>
                <w:sz w:val="14"/>
              </w:rPr>
            </w:pPr>
            <w:r>
              <w:rPr>
                <w:sz w:val="14"/>
              </w:rPr>
              <w:t>Expected total return (including dividends) between -5% and 5% over a 6-month period</w:t>
            </w:r>
          </w:p>
        </w:tc>
      </w:tr>
      <w:tr w:rsidR="00E564A2" w:rsidTr="00E564A2">
        <w:tc>
          <w:tcPr>
            <w:tcW w:w="1276" w:type="dxa"/>
          </w:tcPr>
          <w:p w:rsidR="00E564A2" w:rsidRDefault="00E564A2" w:rsidP="007B7EB4">
            <w:pPr>
              <w:spacing w:line="240" w:lineRule="exact"/>
              <w:rPr>
                <w:sz w:val="14"/>
              </w:rPr>
            </w:pPr>
            <w:r>
              <w:rPr>
                <w:sz w:val="14"/>
              </w:rPr>
              <w:t>REDUCE</w:t>
            </w:r>
          </w:p>
        </w:tc>
        <w:tc>
          <w:tcPr>
            <w:tcW w:w="7157" w:type="dxa"/>
          </w:tcPr>
          <w:p w:rsidR="00E564A2" w:rsidRDefault="00E564A2" w:rsidP="007B7EB4">
            <w:pPr>
              <w:spacing w:line="240" w:lineRule="exact"/>
              <w:rPr>
                <w:sz w:val="14"/>
              </w:rPr>
            </w:pPr>
            <w:r>
              <w:rPr>
                <w:sz w:val="14"/>
              </w:rPr>
              <w:t>Expected total return (including dividends) between –15% and 0% over a 6-month period</w:t>
            </w:r>
          </w:p>
        </w:tc>
      </w:tr>
      <w:tr w:rsidR="00E564A2" w:rsidTr="00E564A2">
        <w:tc>
          <w:tcPr>
            <w:tcW w:w="1276" w:type="dxa"/>
            <w:tcBorders>
              <w:bottom w:val="dashSmallGap" w:sz="8" w:space="0" w:color="766A62"/>
            </w:tcBorders>
          </w:tcPr>
          <w:p w:rsidR="00E564A2" w:rsidRDefault="00E564A2" w:rsidP="007B7EB4">
            <w:pPr>
              <w:spacing w:line="240" w:lineRule="exact"/>
              <w:rPr>
                <w:sz w:val="14"/>
              </w:rPr>
            </w:pPr>
            <w:r>
              <w:rPr>
                <w:sz w:val="14"/>
              </w:rPr>
              <w:t>SELL</w:t>
            </w:r>
          </w:p>
        </w:tc>
        <w:tc>
          <w:tcPr>
            <w:tcW w:w="7157" w:type="dxa"/>
            <w:tcBorders>
              <w:bottom w:val="dashSmallGap" w:sz="8" w:space="0" w:color="766A62"/>
            </w:tcBorders>
          </w:tcPr>
          <w:p w:rsidR="00E564A2" w:rsidRDefault="00E564A2" w:rsidP="007B7EB4">
            <w:pPr>
              <w:spacing w:line="240" w:lineRule="exact"/>
              <w:rPr>
                <w:sz w:val="14"/>
              </w:rPr>
            </w:pPr>
            <w:r>
              <w:rPr>
                <w:sz w:val="14"/>
              </w:rPr>
              <w:t>Expected total return (including dividends) of -10% or worse over a 6-month period</w:t>
            </w:r>
          </w:p>
        </w:tc>
      </w:tr>
    </w:tbl>
    <w:p w:rsidR="00E564A2" w:rsidRDefault="00E564A2" w:rsidP="007B7EB4">
      <w:pPr>
        <w:rPr>
          <w:sz w:val="14"/>
        </w:rPr>
      </w:pPr>
    </w:p>
    <w:p w:rsidR="00E564A2" w:rsidRDefault="00E564A2" w:rsidP="007B7EB4">
      <w:pPr>
        <w:rPr>
          <w:sz w:val="14"/>
        </w:rPr>
      </w:pPr>
    </w:p>
    <w:p w:rsidR="00E564A2" w:rsidRDefault="00E564A2" w:rsidP="007B7EB4">
      <w:pPr>
        <w:jc w:val="both"/>
        <w:rPr>
          <w:sz w:val="14"/>
        </w:rPr>
      </w:pPr>
      <w:r>
        <w:rPr>
          <w:sz w:val="14"/>
        </w:rPr>
        <w:t>Due to external factors and in exceptional cases, KBC Securities allows the use of ratings such as Accept the Offer, Black Out, No Recommendation or Suspended.</w:t>
      </w:r>
    </w:p>
    <w:p w:rsidR="00E564A2" w:rsidRPr="005B50B9" w:rsidRDefault="00E564A2" w:rsidP="007B7EB4">
      <w:pPr>
        <w:jc w:val="both"/>
        <w:rPr>
          <w:sz w:val="14"/>
        </w:rPr>
      </w:pPr>
      <w:r>
        <w:rPr>
          <w:sz w:val="14"/>
        </w:rPr>
        <w:t xml:space="preserve">Our analysts assign one of those ratings based on their investment outlook and valuation for the concerned stock. The valuation can be based on different methodologies such as DCF (discounted cash flow), absolute multiples, peer group multiples, sum-of-parts or NAV (Net Asset Value). The valuation is reflected in a 6-month target price. Occasionally, the expected total return may fall outside of these ranges because of price movement and/or volatility. Such deviations will be permitted but will be closely monitored. Investors should carefully read the definitions of all ratings used in each research report. In addition, since the report contains more complete information concerning the analyst’s view, investors should carefully read the entire report and not infer its contents from the rating alone. </w:t>
      </w:r>
      <w:r w:rsidR="000B10FE">
        <w:rPr>
          <w:sz w:val="14"/>
        </w:rPr>
        <w:t>KBC Securities may disclose</w:t>
      </w:r>
      <w:r w:rsidR="005B50B9" w:rsidRPr="005B50B9">
        <w:rPr>
          <w:sz w:val="14"/>
        </w:rPr>
        <w:t xml:space="preserve"> the drafts of its reports to the issuers before their dissemination for the purpose of verifying the accuracy of factual statements, except when the draft includes a rating or a target price. In case the draft has been amended following this disclosure, such amendments will be indicated in the concerned report.</w:t>
      </w:r>
    </w:p>
    <w:p w:rsidR="00E564A2" w:rsidRDefault="00E564A2" w:rsidP="007B7EB4">
      <w:pPr>
        <w:rPr>
          <w:sz w:val="14"/>
        </w:rPr>
      </w:pPr>
    </w:p>
    <w:p w:rsidR="00E564A2" w:rsidRDefault="00E564A2" w:rsidP="007B7EB4">
      <w:pPr>
        <w:rPr>
          <w:sz w:val="14"/>
        </w:rPr>
      </w:pPr>
    </w:p>
    <w:p w:rsidR="00E564A2" w:rsidRDefault="00E564A2" w:rsidP="007B7EB4">
      <w:pPr>
        <w:rPr>
          <w:sz w:val="14"/>
        </w:rPr>
      </w:pPr>
    </w:p>
    <w:p w:rsidR="00E564A2" w:rsidRDefault="00E564A2" w:rsidP="007B7EB4">
      <w:pPr>
        <w:jc w:val="both"/>
        <w:rPr>
          <w:sz w:val="14"/>
        </w:rPr>
      </w:pPr>
      <w:r>
        <w:rPr>
          <w:sz w:val="14"/>
        </w:rPr>
        <w:t>KBC Securities will provide periodic updates on companies/industries based on company-specific developments or announcements, market conditions or any other publicly available information.</w:t>
      </w:r>
    </w:p>
    <w:p w:rsidR="00E564A2" w:rsidRDefault="00E564A2" w:rsidP="007B7EB4">
      <w:pPr>
        <w:rPr>
          <w:sz w:val="14"/>
        </w:rPr>
      </w:pPr>
    </w:p>
    <w:p w:rsidR="00E564A2" w:rsidRDefault="00E564A2" w:rsidP="007B7EB4">
      <w:pPr>
        <w:rPr>
          <w:sz w:val="14"/>
        </w:rPr>
      </w:pPr>
    </w:p>
    <w:tbl>
      <w:tblPr>
        <w:tblW w:w="9639" w:type="dxa"/>
        <w:tblLayout w:type="fixed"/>
        <w:tblCellMar>
          <w:left w:w="0" w:type="dxa"/>
          <w:right w:w="0" w:type="dxa"/>
        </w:tblCellMar>
        <w:tblLook w:val="0000" w:firstRow="0" w:lastRow="0" w:firstColumn="0" w:lastColumn="0" w:noHBand="0" w:noVBand="0"/>
      </w:tblPr>
      <w:tblGrid>
        <w:gridCol w:w="9639"/>
      </w:tblGrid>
      <w:tr w:rsidR="00E564A2" w:rsidTr="00E564A2">
        <w:tc>
          <w:tcPr>
            <w:tcW w:w="10139" w:type="dxa"/>
          </w:tcPr>
          <w:p w:rsidR="00E564A2" w:rsidRDefault="00E564A2" w:rsidP="007B7EB4">
            <w:pPr>
              <w:jc w:val="both"/>
              <w:rPr>
                <w:sz w:val="14"/>
              </w:rPr>
            </w:pPr>
            <w:r>
              <w:rPr>
                <w:sz w:val="14"/>
              </w:rPr>
              <w:t>KBC Securities policy prohibits its analysts and members of their households from owning securities of any company in the analyst's area of coverage.</w:t>
            </w:r>
          </w:p>
        </w:tc>
      </w:tr>
    </w:tbl>
    <w:p w:rsidR="00E564A2" w:rsidRPr="007A7178" w:rsidRDefault="00E564A2" w:rsidP="007B7EB4">
      <w:pPr>
        <w:rPr>
          <w:rFonts w:cs="Arial"/>
        </w:rPr>
        <w:sectPr w:rsidR="00E564A2" w:rsidRPr="007A7178" w:rsidSect="0025312D">
          <w:footerReference w:type="default" r:id="rId22"/>
          <w:footerReference w:type="first" r:id="rId23"/>
          <w:pgSz w:w="11907" w:h="16840" w:code="9"/>
          <w:pgMar w:top="2552" w:right="1134" w:bottom="1134" w:left="1134" w:header="567" w:footer="284" w:gutter="0"/>
          <w:pgNumType w:start="1"/>
          <w:cols w:space="720"/>
          <w:docGrid w:linePitch="360"/>
        </w:sectPr>
      </w:pPr>
    </w:p>
    <w:p w:rsidR="00E31644" w:rsidRDefault="00E31644" w:rsidP="00E31644"/>
    <w:tbl>
      <w:tblPr>
        <w:tblW w:w="9639" w:type="dxa"/>
        <w:tblLayout w:type="fixed"/>
        <w:tblCellMar>
          <w:left w:w="0" w:type="dxa"/>
          <w:right w:w="0" w:type="dxa"/>
        </w:tblCellMar>
        <w:tblLook w:val="04A0" w:firstRow="1" w:lastRow="0" w:firstColumn="1" w:lastColumn="0" w:noHBand="0" w:noVBand="1"/>
      </w:tblPr>
      <w:tblGrid>
        <w:gridCol w:w="3544"/>
        <w:gridCol w:w="2882"/>
        <w:gridCol w:w="3213"/>
      </w:tblGrid>
      <w:tr w:rsidR="00E31644" w:rsidRPr="00D15ED7" w:rsidTr="00FB2239">
        <w:tc>
          <w:tcPr>
            <w:tcW w:w="9639" w:type="dxa"/>
            <w:gridSpan w:val="3"/>
            <w:shd w:val="clear" w:color="auto" w:fill="auto"/>
          </w:tcPr>
          <w:p w:rsidR="00E31644" w:rsidRPr="00D15ED7" w:rsidRDefault="00E31644" w:rsidP="00FB2239">
            <w:pPr>
              <w:pStyle w:val="BEFORECHART"/>
            </w:pPr>
            <w:r>
              <w:t>CONTACT DETAILS</w:t>
            </w:r>
          </w:p>
        </w:tc>
      </w:tr>
      <w:tr w:rsidR="00E31644" w:rsidRPr="00D15ED7" w:rsidTr="00FB2239">
        <w:tc>
          <w:tcPr>
            <w:tcW w:w="3544" w:type="dxa"/>
            <w:shd w:val="clear" w:color="auto" w:fill="auto"/>
          </w:tcPr>
          <w:p w:rsidR="00E31644" w:rsidRPr="00FB2239" w:rsidRDefault="00E31644" w:rsidP="00FB2239">
            <w:pPr>
              <w:pStyle w:val="Text"/>
              <w:rPr>
                <w:b/>
                <w:color w:val="0088CE"/>
                <w:sz w:val="16"/>
                <w:szCs w:val="16"/>
              </w:rPr>
            </w:pPr>
            <w:r w:rsidRPr="00FB2239">
              <w:rPr>
                <w:b/>
                <w:color w:val="0088CE"/>
                <w:sz w:val="16"/>
                <w:szCs w:val="16"/>
              </w:rPr>
              <w:t>ANALYST TEAM</w:t>
            </w:r>
          </w:p>
        </w:tc>
        <w:tc>
          <w:tcPr>
            <w:tcW w:w="2882" w:type="dxa"/>
            <w:shd w:val="clear" w:color="auto" w:fill="auto"/>
          </w:tcPr>
          <w:p w:rsidR="00E31644" w:rsidRPr="00FB2239" w:rsidRDefault="00E31644" w:rsidP="00FB2239">
            <w:pPr>
              <w:pStyle w:val="Text"/>
              <w:rPr>
                <w:sz w:val="16"/>
                <w:szCs w:val="16"/>
              </w:rPr>
            </w:pPr>
          </w:p>
        </w:tc>
        <w:tc>
          <w:tcPr>
            <w:tcW w:w="3213" w:type="dxa"/>
            <w:shd w:val="clear" w:color="auto" w:fill="auto"/>
          </w:tcPr>
          <w:p w:rsidR="00E31644" w:rsidRPr="00FB2239" w:rsidRDefault="00E31644" w:rsidP="00FB2239">
            <w:pPr>
              <w:pStyle w:val="Text"/>
              <w:rPr>
                <w:sz w:val="16"/>
                <w:szCs w:val="16"/>
              </w:rPr>
            </w:pPr>
          </w:p>
        </w:tc>
      </w:tr>
      <w:tr w:rsidR="00E31644" w:rsidRPr="00D15ED7" w:rsidTr="00FB2239">
        <w:tc>
          <w:tcPr>
            <w:tcW w:w="3544" w:type="dxa"/>
            <w:shd w:val="clear" w:color="auto" w:fill="auto"/>
          </w:tcPr>
          <w:p w:rsidR="00E31644" w:rsidRPr="00D15ED7" w:rsidRDefault="00E31644" w:rsidP="00FB2239">
            <w:pPr>
              <w:pStyle w:val="Columnheading"/>
              <w:jc w:val="left"/>
            </w:pPr>
            <w:r w:rsidRPr="00D15ED7">
              <w:t>Analyst</w:t>
            </w:r>
          </w:p>
        </w:tc>
        <w:tc>
          <w:tcPr>
            <w:tcW w:w="2882" w:type="dxa"/>
            <w:shd w:val="clear" w:color="auto" w:fill="auto"/>
          </w:tcPr>
          <w:p w:rsidR="00E31644" w:rsidRPr="00D15ED7" w:rsidRDefault="00E31644" w:rsidP="00FB2239">
            <w:pPr>
              <w:pStyle w:val="Columnheading"/>
              <w:jc w:val="left"/>
            </w:pPr>
            <w:r w:rsidRPr="00D15ED7">
              <w:t>Contact</w:t>
            </w:r>
          </w:p>
        </w:tc>
        <w:tc>
          <w:tcPr>
            <w:tcW w:w="3213" w:type="dxa"/>
            <w:shd w:val="clear" w:color="auto" w:fill="auto"/>
          </w:tcPr>
          <w:p w:rsidR="00E31644" w:rsidRPr="00D15ED7" w:rsidRDefault="00E31644" w:rsidP="00FB2239">
            <w:pPr>
              <w:pStyle w:val="Columnheading"/>
              <w:jc w:val="left"/>
            </w:pPr>
            <w:r w:rsidRPr="00D15ED7">
              <w:t>Coverage</w:t>
            </w:r>
          </w:p>
        </w:tc>
      </w:tr>
      <w:tr w:rsidR="00E31644" w:rsidRPr="00D15ED7" w:rsidTr="00FB2239">
        <w:tc>
          <w:tcPr>
            <w:tcW w:w="3544" w:type="dxa"/>
            <w:shd w:val="clear" w:color="auto" w:fill="auto"/>
          </w:tcPr>
          <w:p w:rsidR="00E31644" w:rsidRPr="00FB2239" w:rsidRDefault="00E31644" w:rsidP="00FB2239">
            <w:pPr>
              <w:pStyle w:val="Text"/>
              <w:rPr>
                <w:sz w:val="16"/>
                <w:szCs w:val="16"/>
              </w:rPr>
            </w:pPr>
            <w:proofErr w:type="spellStart"/>
            <w:r w:rsidRPr="00FB2239">
              <w:rPr>
                <w:sz w:val="16"/>
                <w:szCs w:val="16"/>
              </w:rPr>
              <w:t>Wouter</w:t>
            </w:r>
            <w:proofErr w:type="spellEnd"/>
            <w:r w:rsidRPr="00FB2239">
              <w:rPr>
                <w:sz w:val="16"/>
                <w:szCs w:val="16"/>
              </w:rPr>
              <w:t xml:space="preserve"> </w:t>
            </w:r>
            <w:proofErr w:type="spellStart"/>
            <w:r w:rsidRPr="00FB2239">
              <w:rPr>
                <w:sz w:val="16"/>
                <w:szCs w:val="16"/>
              </w:rPr>
              <w:t>Vanderhaeghen</w:t>
            </w:r>
            <w:proofErr w:type="spellEnd"/>
            <w:r w:rsidRPr="00FB2239">
              <w:rPr>
                <w:sz w:val="16"/>
                <w:szCs w:val="16"/>
              </w:rPr>
              <w:t xml:space="preserve"> (Head of Research)</w:t>
            </w:r>
          </w:p>
        </w:tc>
        <w:tc>
          <w:tcPr>
            <w:tcW w:w="2882" w:type="dxa"/>
            <w:shd w:val="clear" w:color="auto" w:fill="auto"/>
          </w:tcPr>
          <w:p w:rsidR="00E31644" w:rsidRPr="00FB2239" w:rsidRDefault="00E31644" w:rsidP="00FB2239">
            <w:pPr>
              <w:pStyle w:val="Text"/>
              <w:rPr>
                <w:sz w:val="16"/>
                <w:szCs w:val="16"/>
              </w:rPr>
            </w:pPr>
            <w:r w:rsidRPr="00FB2239">
              <w:rPr>
                <w:sz w:val="16"/>
                <w:szCs w:val="16"/>
              </w:rPr>
              <w:t>+32 2 429 37 30</w:t>
            </w:r>
          </w:p>
        </w:tc>
        <w:tc>
          <w:tcPr>
            <w:tcW w:w="3213" w:type="dxa"/>
            <w:shd w:val="clear" w:color="auto" w:fill="auto"/>
          </w:tcPr>
          <w:p w:rsidR="00E31644" w:rsidRPr="00FB2239" w:rsidRDefault="00E31644" w:rsidP="00FB2239">
            <w:pPr>
              <w:pStyle w:val="Text"/>
              <w:rPr>
                <w:sz w:val="16"/>
                <w:szCs w:val="16"/>
              </w:rPr>
            </w:pPr>
            <w:r w:rsidRPr="00FB2239">
              <w:rPr>
                <w:sz w:val="16"/>
                <w:szCs w:val="16"/>
              </w:rPr>
              <w:t>Shipping &amp; Industrials</w:t>
            </w:r>
          </w:p>
        </w:tc>
      </w:tr>
      <w:tr w:rsidR="00E31644" w:rsidRPr="00D15ED7" w:rsidTr="00FB2239">
        <w:tc>
          <w:tcPr>
            <w:tcW w:w="3544" w:type="dxa"/>
            <w:shd w:val="clear" w:color="auto" w:fill="auto"/>
          </w:tcPr>
          <w:p w:rsidR="00E31644" w:rsidRPr="00FB2239" w:rsidRDefault="00E31644" w:rsidP="00FB2239">
            <w:pPr>
              <w:pStyle w:val="Text"/>
              <w:rPr>
                <w:sz w:val="16"/>
                <w:szCs w:val="16"/>
                <w:lang w:val="nl-BE"/>
              </w:rPr>
            </w:pPr>
            <w:r w:rsidRPr="00FB2239">
              <w:rPr>
                <w:sz w:val="16"/>
                <w:szCs w:val="16"/>
                <w:lang w:val="nl-BE"/>
              </w:rPr>
              <w:t>Jan De Kerpel</w:t>
            </w:r>
          </w:p>
        </w:tc>
        <w:tc>
          <w:tcPr>
            <w:tcW w:w="2882" w:type="dxa"/>
            <w:shd w:val="clear" w:color="auto" w:fill="auto"/>
          </w:tcPr>
          <w:p w:rsidR="00E31644" w:rsidRPr="00FB2239" w:rsidRDefault="00E31644" w:rsidP="00FB2239">
            <w:pPr>
              <w:pStyle w:val="Text"/>
              <w:rPr>
                <w:sz w:val="16"/>
                <w:szCs w:val="16"/>
                <w:lang w:val="nl-BE"/>
              </w:rPr>
            </w:pPr>
            <w:r w:rsidRPr="00FB2239">
              <w:rPr>
                <w:sz w:val="16"/>
                <w:szCs w:val="16"/>
                <w:lang w:val="nl-BE"/>
              </w:rPr>
              <w:t>+32 2 429 84 67</w:t>
            </w:r>
          </w:p>
        </w:tc>
        <w:tc>
          <w:tcPr>
            <w:tcW w:w="3213" w:type="dxa"/>
            <w:shd w:val="clear" w:color="auto" w:fill="auto"/>
          </w:tcPr>
          <w:p w:rsidR="00E31644" w:rsidRPr="00FB2239" w:rsidRDefault="00E31644" w:rsidP="00FB2239">
            <w:pPr>
              <w:pStyle w:val="Text"/>
              <w:rPr>
                <w:sz w:val="16"/>
                <w:szCs w:val="16"/>
                <w:lang w:val="nl-BE"/>
              </w:rPr>
            </w:pPr>
            <w:proofErr w:type="spellStart"/>
            <w:r w:rsidRPr="00FB2239">
              <w:rPr>
                <w:sz w:val="16"/>
                <w:szCs w:val="16"/>
                <w:lang w:val="nl-BE"/>
              </w:rPr>
              <w:t>Biotech</w:t>
            </w:r>
            <w:proofErr w:type="spellEnd"/>
            <w:r w:rsidRPr="00FB2239">
              <w:rPr>
                <w:sz w:val="16"/>
                <w:szCs w:val="16"/>
                <w:lang w:val="nl-BE"/>
              </w:rPr>
              <w:t xml:space="preserve"> &amp; </w:t>
            </w:r>
            <w:proofErr w:type="spellStart"/>
            <w:r w:rsidRPr="00FB2239">
              <w:rPr>
                <w:sz w:val="16"/>
                <w:szCs w:val="16"/>
                <w:lang w:val="nl-BE"/>
              </w:rPr>
              <w:t>Pharma</w:t>
            </w:r>
            <w:proofErr w:type="spellEnd"/>
          </w:p>
        </w:tc>
      </w:tr>
      <w:tr w:rsidR="00E31644" w:rsidRPr="00D15ED7" w:rsidTr="00FB2239">
        <w:tc>
          <w:tcPr>
            <w:tcW w:w="3544" w:type="dxa"/>
            <w:shd w:val="clear" w:color="auto" w:fill="auto"/>
          </w:tcPr>
          <w:p w:rsidR="00E31644" w:rsidRPr="00FB2239" w:rsidRDefault="00E31644" w:rsidP="00FB2239">
            <w:pPr>
              <w:pStyle w:val="Text"/>
              <w:rPr>
                <w:sz w:val="16"/>
                <w:szCs w:val="16"/>
                <w:lang w:val="nl-BE"/>
              </w:rPr>
            </w:pPr>
            <w:r w:rsidRPr="00FB2239">
              <w:rPr>
                <w:sz w:val="16"/>
                <w:szCs w:val="16"/>
                <w:lang w:val="nl-BE"/>
              </w:rPr>
              <w:t>Ruben Devos</w:t>
            </w:r>
          </w:p>
        </w:tc>
        <w:tc>
          <w:tcPr>
            <w:tcW w:w="2882" w:type="dxa"/>
            <w:shd w:val="clear" w:color="auto" w:fill="auto"/>
          </w:tcPr>
          <w:p w:rsidR="00E31644" w:rsidRPr="00FB2239" w:rsidRDefault="00E31644" w:rsidP="00FB2239">
            <w:pPr>
              <w:pStyle w:val="Text"/>
              <w:rPr>
                <w:sz w:val="16"/>
                <w:szCs w:val="16"/>
                <w:lang w:val="nl-BE"/>
              </w:rPr>
            </w:pPr>
            <w:r w:rsidRPr="00FB2239">
              <w:rPr>
                <w:sz w:val="16"/>
                <w:szCs w:val="16"/>
                <w:lang w:val="nl-BE"/>
              </w:rPr>
              <w:t>+32 2 429 58 43</w:t>
            </w:r>
          </w:p>
        </w:tc>
        <w:tc>
          <w:tcPr>
            <w:tcW w:w="3213" w:type="dxa"/>
            <w:shd w:val="clear" w:color="auto" w:fill="auto"/>
          </w:tcPr>
          <w:p w:rsidR="00E31644" w:rsidRPr="00FB2239" w:rsidRDefault="00E31644" w:rsidP="00FB2239">
            <w:pPr>
              <w:pStyle w:val="Text"/>
              <w:rPr>
                <w:sz w:val="16"/>
                <w:szCs w:val="16"/>
                <w:lang w:val="nl-BE"/>
              </w:rPr>
            </w:pPr>
            <w:proofErr w:type="spellStart"/>
            <w:r w:rsidRPr="00FB2239">
              <w:rPr>
                <w:sz w:val="16"/>
                <w:szCs w:val="16"/>
                <w:lang w:val="nl-BE"/>
              </w:rPr>
              <w:t>Telco</w:t>
            </w:r>
            <w:proofErr w:type="spellEnd"/>
            <w:r w:rsidRPr="00FB2239">
              <w:rPr>
                <w:sz w:val="16"/>
                <w:szCs w:val="16"/>
                <w:lang w:val="nl-BE"/>
              </w:rPr>
              <w:t xml:space="preserve"> &amp; Media</w:t>
            </w:r>
          </w:p>
        </w:tc>
      </w:tr>
      <w:tr w:rsidR="00E31644" w:rsidRPr="00D15ED7" w:rsidTr="00FB2239">
        <w:tc>
          <w:tcPr>
            <w:tcW w:w="3544" w:type="dxa"/>
            <w:shd w:val="clear" w:color="auto" w:fill="auto"/>
          </w:tcPr>
          <w:p w:rsidR="00E31644" w:rsidRPr="00FB2239" w:rsidRDefault="00E31644" w:rsidP="00FB2239">
            <w:pPr>
              <w:pStyle w:val="Text"/>
              <w:rPr>
                <w:sz w:val="16"/>
                <w:szCs w:val="16"/>
              </w:rPr>
            </w:pPr>
            <w:r w:rsidRPr="00FB2239">
              <w:rPr>
                <w:sz w:val="16"/>
                <w:szCs w:val="16"/>
              </w:rPr>
              <w:t>Matthias De Wit</w:t>
            </w:r>
          </w:p>
        </w:tc>
        <w:tc>
          <w:tcPr>
            <w:tcW w:w="2882" w:type="dxa"/>
            <w:shd w:val="clear" w:color="auto" w:fill="auto"/>
          </w:tcPr>
          <w:p w:rsidR="00E31644" w:rsidRPr="00FB2239" w:rsidRDefault="00E31644" w:rsidP="00FB2239">
            <w:pPr>
              <w:pStyle w:val="Text"/>
              <w:rPr>
                <w:sz w:val="16"/>
                <w:szCs w:val="16"/>
              </w:rPr>
            </w:pPr>
            <w:r w:rsidRPr="00FB2239">
              <w:rPr>
                <w:sz w:val="16"/>
                <w:szCs w:val="16"/>
              </w:rPr>
              <w:t>+32 2 429 37 17</w:t>
            </w:r>
          </w:p>
        </w:tc>
        <w:tc>
          <w:tcPr>
            <w:tcW w:w="3213" w:type="dxa"/>
            <w:shd w:val="clear" w:color="auto" w:fill="auto"/>
          </w:tcPr>
          <w:p w:rsidR="00E31644" w:rsidRPr="00FB2239" w:rsidRDefault="00E31644" w:rsidP="00FB2239">
            <w:pPr>
              <w:pStyle w:val="Text"/>
              <w:rPr>
                <w:sz w:val="16"/>
                <w:szCs w:val="16"/>
              </w:rPr>
            </w:pPr>
            <w:r w:rsidRPr="00FB2239">
              <w:rPr>
                <w:sz w:val="16"/>
                <w:szCs w:val="16"/>
              </w:rPr>
              <w:t>Financials</w:t>
            </w:r>
          </w:p>
        </w:tc>
      </w:tr>
      <w:tr w:rsidR="00E31644" w:rsidRPr="00D15ED7" w:rsidTr="00FB2239">
        <w:tc>
          <w:tcPr>
            <w:tcW w:w="3544" w:type="dxa"/>
            <w:shd w:val="clear" w:color="auto" w:fill="auto"/>
          </w:tcPr>
          <w:p w:rsidR="00E31644" w:rsidRPr="00FB2239" w:rsidRDefault="00E31644" w:rsidP="00FB2239">
            <w:pPr>
              <w:pStyle w:val="Text"/>
              <w:rPr>
                <w:sz w:val="16"/>
                <w:szCs w:val="16"/>
              </w:rPr>
            </w:pPr>
            <w:r w:rsidRPr="00FB2239">
              <w:rPr>
                <w:sz w:val="16"/>
                <w:szCs w:val="16"/>
              </w:rPr>
              <w:t>Yves Franco</w:t>
            </w:r>
          </w:p>
        </w:tc>
        <w:tc>
          <w:tcPr>
            <w:tcW w:w="2882" w:type="dxa"/>
            <w:shd w:val="clear" w:color="auto" w:fill="auto"/>
          </w:tcPr>
          <w:p w:rsidR="00E31644" w:rsidRPr="00FB2239" w:rsidRDefault="00E31644" w:rsidP="00FB2239">
            <w:pPr>
              <w:pStyle w:val="Text"/>
              <w:rPr>
                <w:sz w:val="16"/>
                <w:szCs w:val="16"/>
              </w:rPr>
            </w:pPr>
            <w:r w:rsidRPr="00FB2239">
              <w:rPr>
                <w:sz w:val="16"/>
                <w:szCs w:val="16"/>
              </w:rPr>
              <w:t>+32 2 429 45 04</w:t>
            </w:r>
          </w:p>
        </w:tc>
        <w:tc>
          <w:tcPr>
            <w:tcW w:w="3213" w:type="dxa"/>
            <w:shd w:val="clear" w:color="auto" w:fill="auto"/>
          </w:tcPr>
          <w:p w:rsidR="00E31644" w:rsidRPr="00FB2239" w:rsidRDefault="00E31644" w:rsidP="00FB2239">
            <w:pPr>
              <w:pStyle w:val="Text"/>
              <w:rPr>
                <w:sz w:val="16"/>
                <w:szCs w:val="16"/>
              </w:rPr>
            </w:pPr>
            <w:r w:rsidRPr="00FB2239">
              <w:rPr>
                <w:sz w:val="16"/>
                <w:szCs w:val="16"/>
              </w:rPr>
              <w:t>Holdings &amp; Staffing</w:t>
            </w:r>
          </w:p>
        </w:tc>
      </w:tr>
      <w:tr w:rsidR="00E31644" w:rsidRPr="00D15ED7" w:rsidTr="00FB2239">
        <w:tc>
          <w:tcPr>
            <w:tcW w:w="3544" w:type="dxa"/>
            <w:shd w:val="clear" w:color="auto" w:fill="auto"/>
          </w:tcPr>
          <w:p w:rsidR="00E31644" w:rsidRPr="00FB2239" w:rsidRDefault="00E31644" w:rsidP="00FB2239">
            <w:pPr>
              <w:pStyle w:val="Text"/>
              <w:rPr>
                <w:sz w:val="16"/>
                <w:szCs w:val="16"/>
              </w:rPr>
            </w:pPr>
            <w:r w:rsidRPr="00FB2239">
              <w:rPr>
                <w:sz w:val="16"/>
                <w:szCs w:val="16"/>
              </w:rPr>
              <w:t>Dieter Furniere</w:t>
            </w:r>
          </w:p>
        </w:tc>
        <w:tc>
          <w:tcPr>
            <w:tcW w:w="2882" w:type="dxa"/>
            <w:shd w:val="clear" w:color="auto" w:fill="auto"/>
          </w:tcPr>
          <w:p w:rsidR="00E31644" w:rsidRPr="00FB2239" w:rsidRDefault="00E31644" w:rsidP="00FB2239">
            <w:pPr>
              <w:pStyle w:val="Text"/>
              <w:rPr>
                <w:sz w:val="16"/>
                <w:szCs w:val="16"/>
              </w:rPr>
            </w:pPr>
            <w:r w:rsidRPr="00FB2239">
              <w:rPr>
                <w:sz w:val="16"/>
                <w:szCs w:val="16"/>
              </w:rPr>
              <w:t>+32 2 429 18 96</w:t>
            </w:r>
          </w:p>
        </w:tc>
        <w:tc>
          <w:tcPr>
            <w:tcW w:w="3213" w:type="dxa"/>
            <w:shd w:val="clear" w:color="auto" w:fill="auto"/>
          </w:tcPr>
          <w:p w:rsidR="00E31644" w:rsidRPr="00FB2239" w:rsidRDefault="00A823EA" w:rsidP="00FB2239">
            <w:pPr>
              <w:pStyle w:val="Text"/>
              <w:rPr>
                <w:sz w:val="16"/>
                <w:szCs w:val="16"/>
              </w:rPr>
            </w:pPr>
            <w:r w:rsidRPr="00A823EA">
              <w:rPr>
                <w:sz w:val="16"/>
                <w:szCs w:val="16"/>
              </w:rPr>
              <w:t>Engineering, Transport &amp; Utilities</w:t>
            </w:r>
          </w:p>
        </w:tc>
      </w:tr>
      <w:tr w:rsidR="00E31644" w:rsidRPr="00D15ED7" w:rsidTr="00FB2239">
        <w:tc>
          <w:tcPr>
            <w:tcW w:w="3544" w:type="dxa"/>
            <w:shd w:val="clear" w:color="auto" w:fill="auto"/>
          </w:tcPr>
          <w:p w:rsidR="00E31644" w:rsidRPr="00FB2239" w:rsidRDefault="00E31644" w:rsidP="00FB2239">
            <w:pPr>
              <w:pStyle w:val="Text"/>
              <w:rPr>
                <w:sz w:val="16"/>
                <w:szCs w:val="16"/>
              </w:rPr>
            </w:pPr>
            <w:proofErr w:type="spellStart"/>
            <w:r w:rsidRPr="00FB2239">
              <w:rPr>
                <w:sz w:val="16"/>
                <w:szCs w:val="16"/>
              </w:rPr>
              <w:t>Wim</w:t>
            </w:r>
            <w:proofErr w:type="spellEnd"/>
            <w:r w:rsidRPr="00FB2239">
              <w:rPr>
                <w:sz w:val="16"/>
                <w:szCs w:val="16"/>
              </w:rPr>
              <w:t xml:space="preserve"> </w:t>
            </w:r>
            <w:proofErr w:type="spellStart"/>
            <w:r w:rsidRPr="00FB2239">
              <w:rPr>
                <w:sz w:val="16"/>
                <w:szCs w:val="16"/>
              </w:rPr>
              <w:t>Hoste</w:t>
            </w:r>
            <w:proofErr w:type="spellEnd"/>
          </w:p>
        </w:tc>
        <w:tc>
          <w:tcPr>
            <w:tcW w:w="2882" w:type="dxa"/>
            <w:shd w:val="clear" w:color="auto" w:fill="auto"/>
          </w:tcPr>
          <w:p w:rsidR="00E31644" w:rsidRPr="00FB2239" w:rsidRDefault="00E31644" w:rsidP="00FB2239">
            <w:pPr>
              <w:pStyle w:val="Text"/>
              <w:rPr>
                <w:sz w:val="16"/>
                <w:szCs w:val="16"/>
              </w:rPr>
            </w:pPr>
            <w:r w:rsidRPr="00FB2239">
              <w:rPr>
                <w:sz w:val="16"/>
                <w:szCs w:val="16"/>
              </w:rPr>
              <w:t>+32 2 429 37 13</w:t>
            </w:r>
          </w:p>
        </w:tc>
        <w:tc>
          <w:tcPr>
            <w:tcW w:w="3213" w:type="dxa"/>
            <w:shd w:val="clear" w:color="auto" w:fill="auto"/>
          </w:tcPr>
          <w:p w:rsidR="00E31644" w:rsidRPr="00FB2239" w:rsidRDefault="00E31644" w:rsidP="00FB2239">
            <w:pPr>
              <w:pStyle w:val="Text"/>
              <w:rPr>
                <w:sz w:val="16"/>
                <w:szCs w:val="16"/>
              </w:rPr>
            </w:pPr>
            <w:r w:rsidRPr="00FB2239">
              <w:rPr>
                <w:sz w:val="16"/>
                <w:szCs w:val="16"/>
              </w:rPr>
              <w:t>Chemicals &amp; Breweries</w:t>
            </w:r>
          </w:p>
        </w:tc>
      </w:tr>
      <w:tr w:rsidR="00E31644" w:rsidRPr="00D15ED7" w:rsidTr="00FB2239">
        <w:tc>
          <w:tcPr>
            <w:tcW w:w="3544" w:type="dxa"/>
            <w:shd w:val="clear" w:color="auto" w:fill="auto"/>
          </w:tcPr>
          <w:p w:rsidR="00E31644" w:rsidRPr="00FB2239" w:rsidRDefault="00E31644" w:rsidP="00FB2239">
            <w:pPr>
              <w:pStyle w:val="Text"/>
              <w:rPr>
                <w:sz w:val="16"/>
                <w:szCs w:val="16"/>
              </w:rPr>
            </w:pPr>
            <w:r w:rsidRPr="00FB2239">
              <w:rPr>
                <w:sz w:val="16"/>
                <w:szCs w:val="16"/>
              </w:rPr>
              <w:t>Guy Sips</w:t>
            </w:r>
          </w:p>
        </w:tc>
        <w:tc>
          <w:tcPr>
            <w:tcW w:w="2882" w:type="dxa"/>
            <w:shd w:val="clear" w:color="auto" w:fill="auto"/>
          </w:tcPr>
          <w:p w:rsidR="00E31644" w:rsidRPr="00FB2239" w:rsidRDefault="00E31644" w:rsidP="00FB2239">
            <w:pPr>
              <w:pStyle w:val="Text"/>
              <w:rPr>
                <w:sz w:val="16"/>
                <w:szCs w:val="16"/>
              </w:rPr>
            </w:pPr>
            <w:r w:rsidRPr="00FB2239">
              <w:rPr>
                <w:sz w:val="16"/>
                <w:szCs w:val="16"/>
              </w:rPr>
              <w:t>+32 2 429 30 02</w:t>
            </w:r>
          </w:p>
        </w:tc>
        <w:tc>
          <w:tcPr>
            <w:tcW w:w="3213" w:type="dxa"/>
            <w:shd w:val="clear" w:color="auto" w:fill="auto"/>
          </w:tcPr>
          <w:p w:rsidR="00E31644" w:rsidRPr="00FB2239" w:rsidRDefault="00E31644" w:rsidP="00FB2239">
            <w:pPr>
              <w:pStyle w:val="Text"/>
              <w:rPr>
                <w:sz w:val="16"/>
                <w:szCs w:val="16"/>
              </w:rPr>
            </w:pPr>
            <w:r w:rsidRPr="00FB2239">
              <w:rPr>
                <w:sz w:val="16"/>
                <w:szCs w:val="16"/>
              </w:rPr>
              <w:t>Small &amp; Midcaps Benelux</w:t>
            </w:r>
          </w:p>
        </w:tc>
      </w:tr>
      <w:tr w:rsidR="00E31644" w:rsidRPr="00D15ED7" w:rsidTr="00FB2239">
        <w:tc>
          <w:tcPr>
            <w:tcW w:w="3544" w:type="dxa"/>
            <w:shd w:val="clear" w:color="auto" w:fill="auto"/>
          </w:tcPr>
          <w:p w:rsidR="00E31644" w:rsidRPr="00FB2239" w:rsidRDefault="00E31644" w:rsidP="00FB2239">
            <w:pPr>
              <w:pStyle w:val="Text"/>
              <w:rPr>
                <w:sz w:val="16"/>
                <w:szCs w:val="16"/>
              </w:rPr>
            </w:pPr>
            <w:r w:rsidRPr="00FB2239">
              <w:rPr>
                <w:sz w:val="16"/>
                <w:szCs w:val="16"/>
              </w:rPr>
              <w:t>Koen Overlaet-Michiels</w:t>
            </w:r>
          </w:p>
        </w:tc>
        <w:tc>
          <w:tcPr>
            <w:tcW w:w="2882" w:type="dxa"/>
            <w:shd w:val="clear" w:color="auto" w:fill="auto"/>
          </w:tcPr>
          <w:p w:rsidR="00E31644" w:rsidRPr="00FB2239" w:rsidRDefault="00E31644" w:rsidP="00FB2239">
            <w:pPr>
              <w:pStyle w:val="Text"/>
              <w:rPr>
                <w:sz w:val="16"/>
                <w:szCs w:val="16"/>
              </w:rPr>
            </w:pPr>
            <w:r w:rsidRPr="00FB2239">
              <w:rPr>
                <w:sz w:val="16"/>
                <w:szCs w:val="16"/>
              </w:rPr>
              <w:t>+32 2 429 37 21</w:t>
            </w:r>
          </w:p>
        </w:tc>
        <w:tc>
          <w:tcPr>
            <w:tcW w:w="3213" w:type="dxa"/>
            <w:shd w:val="clear" w:color="auto" w:fill="auto"/>
          </w:tcPr>
          <w:p w:rsidR="00E31644" w:rsidRPr="00FB2239" w:rsidRDefault="00E31644" w:rsidP="00FB2239">
            <w:pPr>
              <w:pStyle w:val="Text"/>
              <w:rPr>
                <w:sz w:val="16"/>
                <w:szCs w:val="16"/>
              </w:rPr>
            </w:pPr>
            <w:r w:rsidRPr="00FB2239">
              <w:rPr>
                <w:sz w:val="16"/>
                <w:szCs w:val="16"/>
              </w:rPr>
              <w:t>Real Estate</w:t>
            </w:r>
          </w:p>
        </w:tc>
      </w:tr>
      <w:tr w:rsidR="00E31644" w:rsidRPr="00D15ED7" w:rsidTr="00FB2239">
        <w:tc>
          <w:tcPr>
            <w:tcW w:w="3544" w:type="dxa"/>
            <w:shd w:val="clear" w:color="auto" w:fill="auto"/>
          </w:tcPr>
          <w:p w:rsidR="00E31644" w:rsidRPr="00FB2239" w:rsidRDefault="00E31644" w:rsidP="00FB2239">
            <w:pPr>
              <w:pStyle w:val="Text"/>
              <w:rPr>
                <w:sz w:val="16"/>
                <w:szCs w:val="16"/>
              </w:rPr>
            </w:pPr>
            <w:r w:rsidRPr="00FB2239">
              <w:rPr>
                <w:sz w:val="16"/>
                <w:szCs w:val="16"/>
              </w:rPr>
              <w:t xml:space="preserve">Alan </w:t>
            </w:r>
            <w:proofErr w:type="spellStart"/>
            <w:r w:rsidRPr="00FB2239">
              <w:rPr>
                <w:sz w:val="16"/>
                <w:szCs w:val="16"/>
              </w:rPr>
              <w:t>Vandenberghe</w:t>
            </w:r>
            <w:proofErr w:type="spellEnd"/>
          </w:p>
        </w:tc>
        <w:tc>
          <w:tcPr>
            <w:tcW w:w="2882" w:type="dxa"/>
            <w:shd w:val="clear" w:color="auto" w:fill="auto"/>
          </w:tcPr>
          <w:p w:rsidR="00E31644" w:rsidRPr="00FB2239" w:rsidRDefault="00E31644" w:rsidP="00FB2239">
            <w:pPr>
              <w:pStyle w:val="Text"/>
              <w:rPr>
                <w:sz w:val="16"/>
                <w:szCs w:val="16"/>
              </w:rPr>
            </w:pPr>
            <w:r w:rsidRPr="00FB2239">
              <w:rPr>
                <w:sz w:val="16"/>
                <w:szCs w:val="16"/>
              </w:rPr>
              <w:t>+32 2 429 18 06</w:t>
            </w:r>
          </w:p>
        </w:tc>
        <w:tc>
          <w:tcPr>
            <w:tcW w:w="3213" w:type="dxa"/>
            <w:shd w:val="clear" w:color="auto" w:fill="auto"/>
          </w:tcPr>
          <w:p w:rsidR="00E31644" w:rsidRPr="00FB2239" w:rsidRDefault="00E31644" w:rsidP="00FB2239">
            <w:pPr>
              <w:pStyle w:val="Text"/>
              <w:rPr>
                <w:sz w:val="16"/>
                <w:szCs w:val="16"/>
              </w:rPr>
            </w:pPr>
            <w:r w:rsidRPr="00FB2239">
              <w:rPr>
                <w:sz w:val="16"/>
                <w:szCs w:val="16"/>
              </w:rPr>
              <w:t>Credit Research</w:t>
            </w:r>
          </w:p>
        </w:tc>
      </w:tr>
      <w:tr w:rsidR="00E31644" w:rsidRPr="00D15ED7" w:rsidTr="00FB2239">
        <w:tc>
          <w:tcPr>
            <w:tcW w:w="3544" w:type="dxa"/>
            <w:shd w:val="clear" w:color="auto" w:fill="auto"/>
          </w:tcPr>
          <w:p w:rsidR="00E31644" w:rsidRPr="00FB2239" w:rsidRDefault="00E31644" w:rsidP="00FB2239">
            <w:pPr>
              <w:pStyle w:val="Text"/>
              <w:rPr>
                <w:sz w:val="16"/>
                <w:szCs w:val="16"/>
              </w:rPr>
            </w:pPr>
            <w:r w:rsidRPr="00FB2239">
              <w:rPr>
                <w:sz w:val="16"/>
                <w:szCs w:val="16"/>
              </w:rPr>
              <w:t>Dirk Verbiesen</w:t>
            </w:r>
          </w:p>
        </w:tc>
        <w:tc>
          <w:tcPr>
            <w:tcW w:w="2882" w:type="dxa"/>
            <w:shd w:val="clear" w:color="auto" w:fill="auto"/>
          </w:tcPr>
          <w:p w:rsidR="00E31644" w:rsidRPr="00FB2239" w:rsidRDefault="00E31644" w:rsidP="00FB2239">
            <w:pPr>
              <w:pStyle w:val="Text"/>
              <w:rPr>
                <w:sz w:val="16"/>
                <w:szCs w:val="16"/>
              </w:rPr>
            </w:pPr>
            <w:r w:rsidRPr="00FB2239">
              <w:rPr>
                <w:sz w:val="16"/>
                <w:szCs w:val="16"/>
              </w:rPr>
              <w:t>+32 2 429 39 41</w:t>
            </w:r>
          </w:p>
        </w:tc>
        <w:tc>
          <w:tcPr>
            <w:tcW w:w="3213" w:type="dxa"/>
            <w:shd w:val="clear" w:color="auto" w:fill="auto"/>
          </w:tcPr>
          <w:p w:rsidR="00E31644" w:rsidRPr="00FB2239" w:rsidRDefault="00E31644" w:rsidP="00FB2239">
            <w:pPr>
              <w:pStyle w:val="Text"/>
              <w:rPr>
                <w:sz w:val="16"/>
                <w:szCs w:val="16"/>
              </w:rPr>
            </w:pPr>
            <w:r w:rsidRPr="00FB2239">
              <w:rPr>
                <w:sz w:val="16"/>
                <w:szCs w:val="16"/>
              </w:rPr>
              <w:t>Oil Services &amp; Construction</w:t>
            </w:r>
          </w:p>
        </w:tc>
      </w:tr>
      <w:tr w:rsidR="00E31644" w:rsidRPr="00D15ED7" w:rsidTr="00FB2239">
        <w:tc>
          <w:tcPr>
            <w:tcW w:w="3544" w:type="dxa"/>
            <w:shd w:val="clear" w:color="auto" w:fill="auto"/>
          </w:tcPr>
          <w:p w:rsidR="00E31644" w:rsidRPr="00FB2239" w:rsidRDefault="00E31644" w:rsidP="00FB2239">
            <w:pPr>
              <w:pStyle w:val="Text"/>
              <w:rPr>
                <w:sz w:val="16"/>
                <w:szCs w:val="16"/>
              </w:rPr>
            </w:pPr>
            <w:r w:rsidRPr="00FB2239">
              <w:rPr>
                <w:sz w:val="16"/>
                <w:szCs w:val="16"/>
              </w:rPr>
              <w:t>Pascale Weber</w:t>
            </w:r>
          </w:p>
        </w:tc>
        <w:tc>
          <w:tcPr>
            <w:tcW w:w="2882" w:type="dxa"/>
            <w:shd w:val="clear" w:color="auto" w:fill="auto"/>
          </w:tcPr>
          <w:p w:rsidR="00E31644" w:rsidRPr="00FB2239" w:rsidRDefault="00E31644" w:rsidP="00FB2239">
            <w:pPr>
              <w:pStyle w:val="Text"/>
              <w:rPr>
                <w:sz w:val="16"/>
                <w:szCs w:val="16"/>
              </w:rPr>
            </w:pPr>
            <w:r w:rsidRPr="00FB2239">
              <w:rPr>
                <w:sz w:val="16"/>
                <w:szCs w:val="16"/>
              </w:rPr>
              <w:t>+32 2 429 37 32</w:t>
            </w:r>
          </w:p>
        </w:tc>
        <w:tc>
          <w:tcPr>
            <w:tcW w:w="3213" w:type="dxa"/>
            <w:shd w:val="clear" w:color="auto" w:fill="auto"/>
          </w:tcPr>
          <w:p w:rsidR="00E31644" w:rsidRPr="00FB2239" w:rsidRDefault="00E31644" w:rsidP="00FB2239">
            <w:pPr>
              <w:pStyle w:val="Text"/>
              <w:rPr>
                <w:sz w:val="16"/>
                <w:szCs w:val="16"/>
              </w:rPr>
            </w:pPr>
            <w:r w:rsidRPr="00FB2239">
              <w:rPr>
                <w:sz w:val="16"/>
                <w:szCs w:val="16"/>
              </w:rPr>
              <w:t>Retail &amp; Food Producers</w:t>
            </w:r>
          </w:p>
        </w:tc>
      </w:tr>
      <w:tr w:rsidR="00E31644" w:rsidRPr="00D15ED7" w:rsidTr="00FB2239">
        <w:tc>
          <w:tcPr>
            <w:tcW w:w="3544" w:type="dxa"/>
            <w:shd w:val="clear" w:color="auto" w:fill="auto"/>
          </w:tcPr>
          <w:p w:rsidR="00E31644" w:rsidRPr="00FB2239" w:rsidRDefault="00E31644" w:rsidP="00FB2239">
            <w:pPr>
              <w:pStyle w:val="Text"/>
              <w:rPr>
                <w:sz w:val="16"/>
                <w:szCs w:val="16"/>
              </w:rPr>
            </w:pPr>
          </w:p>
        </w:tc>
        <w:tc>
          <w:tcPr>
            <w:tcW w:w="2882" w:type="dxa"/>
            <w:shd w:val="clear" w:color="auto" w:fill="auto"/>
          </w:tcPr>
          <w:p w:rsidR="00E31644" w:rsidRPr="00FB2239" w:rsidRDefault="00E31644" w:rsidP="00FB2239">
            <w:pPr>
              <w:pStyle w:val="Text"/>
              <w:rPr>
                <w:sz w:val="16"/>
                <w:szCs w:val="16"/>
              </w:rPr>
            </w:pPr>
          </w:p>
        </w:tc>
        <w:tc>
          <w:tcPr>
            <w:tcW w:w="3213" w:type="dxa"/>
            <w:shd w:val="clear" w:color="auto" w:fill="auto"/>
          </w:tcPr>
          <w:p w:rsidR="00E31644" w:rsidRPr="00FB2239" w:rsidRDefault="00E31644" w:rsidP="00FB2239">
            <w:pPr>
              <w:pStyle w:val="Text"/>
              <w:rPr>
                <w:sz w:val="16"/>
                <w:szCs w:val="16"/>
              </w:rPr>
            </w:pPr>
          </w:p>
        </w:tc>
      </w:tr>
      <w:tr w:rsidR="00E31644" w:rsidRPr="00D15ED7" w:rsidTr="00FB2239">
        <w:tc>
          <w:tcPr>
            <w:tcW w:w="3544" w:type="dxa"/>
            <w:shd w:val="clear" w:color="auto" w:fill="auto"/>
          </w:tcPr>
          <w:p w:rsidR="00E31644" w:rsidRPr="00FB2239" w:rsidRDefault="00E31644" w:rsidP="00FB2239">
            <w:pPr>
              <w:pStyle w:val="Text"/>
              <w:rPr>
                <w:b/>
                <w:color w:val="0088CE"/>
                <w:sz w:val="16"/>
                <w:szCs w:val="16"/>
              </w:rPr>
            </w:pPr>
            <w:r w:rsidRPr="00FB2239">
              <w:rPr>
                <w:b/>
                <w:color w:val="0088CE"/>
                <w:sz w:val="16"/>
                <w:szCs w:val="16"/>
              </w:rPr>
              <w:t>EQUITY SALES TEAM</w:t>
            </w:r>
          </w:p>
        </w:tc>
        <w:tc>
          <w:tcPr>
            <w:tcW w:w="2882" w:type="dxa"/>
            <w:shd w:val="clear" w:color="auto" w:fill="auto"/>
          </w:tcPr>
          <w:p w:rsidR="00E31644" w:rsidRPr="00FB2239" w:rsidRDefault="00E31644" w:rsidP="00FB2239">
            <w:pPr>
              <w:pStyle w:val="Text"/>
              <w:rPr>
                <w:sz w:val="16"/>
                <w:szCs w:val="16"/>
              </w:rPr>
            </w:pPr>
          </w:p>
        </w:tc>
        <w:tc>
          <w:tcPr>
            <w:tcW w:w="3213" w:type="dxa"/>
            <w:shd w:val="clear" w:color="auto" w:fill="auto"/>
          </w:tcPr>
          <w:p w:rsidR="00E31644" w:rsidRPr="00FB2239" w:rsidRDefault="00E31644" w:rsidP="00FB2239">
            <w:pPr>
              <w:pStyle w:val="Text"/>
              <w:rPr>
                <w:sz w:val="16"/>
                <w:szCs w:val="16"/>
              </w:rPr>
            </w:pPr>
          </w:p>
        </w:tc>
      </w:tr>
      <w:tr w:rsidR="00E31644" w:rsidRPr="00D15ED7" w:rsidTr="00FB2239">
        <w:tc>
          <w:tcPr>
            <w:tcW w:w="3544" w:type="dxa"/>
            <w:shd w:val="clear" w:color="auto" w:fill="auto"/>
          </w:tcPr>
          <w:p w:rsidR="00E31644" w:rsidRPr="00D15ED7" w:rsidRDefault="00E31644" w:rsidP="00FB2239">
            <w:pPr>
              <w:pStyle w:val="Columnheading"/>
              <w:jc w:val="left"/>
            </w:pPr>
            <w:r w:rsidRPr="00D15ED7">
              <w:t>Sales</w:t>
            </w:r>
          </w:p>
        </w:tc>
        <w:tc>
          <w:tcPr>
            <w:tcW w:w="2882" w:type="dxa"/>
            <w:shd w:val="clear" w:color="auto" w:fill="auto"/>
          </w:tcPr>
          <w:p w:rsidR="00E31644" w:rsidRPr="00D15ED7" w:rsidRDefault="00E31644" w:rsidP="00FB2239">
            <w:pPr>
              <w:pStyle w:val="Columnheading"/>
              <w:jc w:val="left"/>
            </w:pPr>
            <w:r w:rsidRPr="00D15ED7">
              <w:t>Contact</w:t>
            </w:r>
          </w:p>
        </w:tc>
        <w:tc>
          <w:tcPr>
            <w:tcW w:w="3213" w:type="dxa"/>
            <w:shd w:val="clear" w:color="auto" w:fill="auto"/>
          </w:tcPr>
          <w:p w:rsidR="00E31644" w:rsidRPr="00D15ED7" w:rsidRDefault="00E31644" w:rsidP="00FB2239">
            <w:pPr>
              <w:pStyle w:val="Columnheading"/>
              <w:jc w:val="left"/>
            </w:pPr>
          </w:p>
        </w:tc>
      </w:tr>
      <w:tr w:rsidR="00E31644" w:rsidRPr="00D15ED7" w:rsidTr="00FB2239">
        <w:tc>
          <w:tcPr>
            <w:tcW w:w="3544" w:type="dxa"/>
            <w:shd w:val="clear" w:color="auto" w:fill="auto"/>
          </w:tcPr>
          <w:p w:rsidR="00E31644" w:rsidRPr="00FB2239" w:rsidRDefault="00E31644" w:rsidP="00FB2239">
            <w:pPr>
              <w:pStyle w:val="Text"/>
              <w:rPr>
                <w:sz w:val="16"/>
                <w:szCs w:val="16"/>
              </w:rPr>
            </w:pPr>
            <w:r w:rsidRPr="00FB2239">
              <w:rPr>
                <w:sz w:val="16"/>
                <w:szCs w:val="16"/>
              </w:rPr>
              <w:t xml:space="preserve">Sebastien </w:t>
            </w:r>
            <w:proofErr w:type="spellStart"/>
            <w:r w:rsidRPr="00FB2239">
              <w:rPr>
                <w:sz w:val="16"/>
                <w:szCs w:val="16"/>
              </w:rPr>
              <w:t>Fuki</w:t>
            </w:r>
            <w:proofErr w:type="spellEnd"/>
            <w:r w:rsidRPr="00FB2239">
              <w:rPr>
                <w:sz w:val="16"/>
                <w:szCs w:val="16"/>
              </w:rPr>
              <w:t xml:space="preserve"> (Head of Sales)</w:t>
            </w:r>
          </w:p>
        </w:tc>
        <w:tc>
          <w:tcPr>
            <w:tcW w:w="2882" w:type="dxa"/>
            <w:shd w:val="clear" w:color="auto" w:fill="auto"/>
          </w:tcPr>
          <w:p w:rsidR="00E31644" w:rsidRPr="00FB2239" w:rsidRDefault="00E31644" w:rsidP="00FB2239">
            <w:pPr>
              <w:pStyle w:val="Text"/>
              <w:rPr>
                <w:sz w:val="16"/>
                <w:szCs w:val="16"/>
              </w:rPr>
            </w:pPr>
            <w:r w:rsidRPr="00FB2239">
              <w:rPr>
                <w:sz w:val="16"/>
                <w:szCs w:val="16"/>
              </w:rPr>
              <w:t>+32 2 417 53 43</w:t>
            </w:r>
          </w:p>
        </w:tc>
        <w:tc>
          <w:tcPr>
            <w:tcW w:w="3213" w:type="dxa"/>
            <w:shd w:val="clear" w:color="auto" w:fill="auto"/>
          </w:tcPr>
          <w:p w:rsidR="00E31644" w:rsidRPr="00FB2239" w:rsidRDefault="00E31644" w:rsidP="00FB2239">
            <w:pPr>
              <w:pStyle w:val="Text"/>
              <w:rPr>
                <w:sz w:val="16"/>
                <w:szCs w:val="16"/>
              </w:rPr>
            </w:pPr>
          </w:p>
        </w:tc>
      </w:tr>
      <w:tr w:rsidR="00E31644" w:rsidRPr="00D15ED7" w:rsidTr="00FB2239">
        <w:tc>
          <w:tcPr>
            <w:tcW w:w="3544" w:type="dxa"/>
            <w:shd w:val="clear" w:color="auto" w:fill="auto"/>
          </w:tcPr>
          <w:p w:rsidR="00E31644" w:rsidRPr="00FB2239" w:rsidRDefault="00E31644" w:rsidP="00FB2239">
            <w:pPr>
              <w:pStyle w:val="Text"/>
              <w:rPr>
                <w:sz w:val="16"/>
                <w:szCs w:val="16"/>
                <w:lang w:val="nl-BE"/>
              </w:rPr>
            </w:pPr>
            <w:r w:rsidRPr="00FB2239">
              <w:rPr>
                <w:sz w:val="16"/>
                <w:szCs w:val="16"/>
                <w:lang w:val="nl-BE"/>
              </w:rPr>
              <w:t>Stefaan De Lathouwer</w:t>
            </w:r>
          </w:p>
        </w:tc>
        <w:tc>
          <w:tcPr>
            <w:tcW w:w="2882" w:type="dxa"/>
            <w:shd w:val="clear" w:color="auto" w:fill="auto"/>
          </w:tcPr>
          <w:p w:rsidR="00E31644" w:rsidRPr="00FB2239" w:rsidRDefault="00E31644" w:rsidP="00FB2239">
            <w:pPr>
              <w:pStyle w:val="Text"/>
              <w:rPr>
                <w:sz w:val="16"/>
                <w:szCs w:val="16"/>
                <w:lang w:val="nl-BE"/>
              </w:rPr>
            </w:pPr>
            <w:r w:rsidRPr="00FB2239">
              <w:rPr>
                <w:sz w:val="16"/>
                <w:szCs w:val="16"/>
                <w:lang w:val="nl-BE"/>
              </w:rPr>
              <w:t>+32 2 417 44 68</w:t>
            </w:r>
          </w:p>
        </w:tc>
        <w:tc>
          <w:tcPr>
            <w:tcW w:w="3213" w:type="dxa"/>
            <w:shd w:val="clear" w:color="auto" w:fill="auto"/>
          </w:tcPr>
          <w:p w:rsidR="00E31644" w:rsidRPr="00FB2239" w:rsidRDefault="00E31644" w:rsidP="00FB2239">
            <w:pPr>
              <w:pStyle w:val="Text"/>
              <w:rPr>
                <w:sz w:val="16"/>
                <w:szCs w:val="16"/>
                <w:lang w:val="nl-BE"/>
              </w:rPr>
            </w:pPr>
          </w:p>
        </w:tc>
      </w:tr>
      <w:tr w:rsidR="00E31644" w:rsidRPr="00D15ED7" w:rsidTr="00FB2239">
        <w:tc>
          <w:tcPr>
            <w:tcW w:w="3544" w:type="dxa"/>
            <w:shd w:val="clear" w:color="auto" w:fill="auto"/>
          </w:tcPr>
          <w:p w:rsidR="00E31644" w:rsidRPr="00FB2239" w:rsidRDefault="00E31644" w:rsidP="00FB2239">
            <w:pPr>
              <w:pStyle w:val="Text"/>
              <w:rPr>
                <w:sz w:val="16"/>
                <w:szCs w:val="16"/>
                <w:lang w:val="nl-BE"/>
              </w:rPr>
            </w:pPr>
            <w:r w:rsidRPr="00FB2239">
              <w:rPr>
                <w:sz w:val="16"/>
                <w:szCs w:val="16"/>
                <w:lang w:val="nl-BE"/>
              </w:rPr>
              <w:t>Xavier Gossaert</w:t>
            </w:r>
          </w:p>
        </w:tc>
        <w:tc>
          <w:tcPr>
            <w:tcW w:w="2882" w:type="dxa"/>
            <w:shd w:val="clear" w:color="auto" w:fill="auto"/>
          </w:tcPr>
          <w:p w:rsidR="00E31644" w:rsidRPr="00FB2239" w:rsidRDefault="00E31644" w:rsidP="00FB2239">
            <w:pPr>
              <w:pStyle w:val="Text"/>
              <w:rPr>
                <w:sz w:val="16"/>
                <w:szCs w:val="16"/>
                <w:lang w:val="nl-BE"/>
              </w:rPr>
            </w:pPr>
            <w:r w:rsidRPr="00FB2239">
              <w:rPr>
                <w:sz w:val="16"/>
                <w:szCs w:val="16"/>
                <w:lang w:val="nl-BE"/>
              </w:rPr>
              <w:t>+32 2 417 53 68</w:t>
            </w:r>
          </w:p>
        </w:tc>
        <w:tc>
          <w:tcPr>
            <w:tcW w:w="3213" w:type="dxa"/>
            <w:shd w:val="clear" w:color="auto" w:fill="auto"/>
          </w:tcPr>
          <w:p w:rsidR="00E31644" w:rsidRPr="00FB2239" w:rsidRDefault="00E31644" w:rsidP="00FB2239">
            <w:pPr>
              <w:pStyle w:val="Text"/>
              <w:rPr>
                <w:sz w:val="16"/>
                <w:szCs w:val="16"/>
                <w:lang w:val="nl-BE"/>
              </w:rPr>
            </w:pPr>
          </w:p>
        </w:tc>
      </w:tr>
      <w:tr w:rsidR="00E31644" w:rsidRPr="00D15ED7" w:rsidTr="00FB2239">
        <w:tc>
          <w:tcPr>
            <w:tcW w:w="3544" w:type="dxa"/>
            <w:shd w:val="clear" w:color="auto" w:fill="auto"/>
          </w:tcPr>
          <w:p w:rsidR="00E31644" w:rsidRPr="00FB2239" w:rsidRDefault="00E31644" w:rsidP="00FB2239">
            <w:pPr>
              <w:pStyle w:val="Text"/>
              <w:rPr>
                <w:sz w:val="16"/>
                <w:szCs w:val="16"/>
                <w:lang w:val="nl-BE"/>
              </w:rPr>
            </w:pPr>
            <w:r w:rsidRPr="00FB2239">
              <w:rPr>
                <w:sz w:val="16"/>
                <w:szCs w:val="16"/>
                <w:lang w:val="nl-BE"/>
              </w:rPr>
              <w:t>Margo Joris</w:t>
            </w:r>
          </w:p>
        </w:tc>
        <w:tc>
          <w:tcPr>
            <w:tcW w:w="2882" w:type="dxa"/>
            <w:shd w:val="clear" w:color="auto" w:fill="auto"/>
          </w:tcPr>
          <w:p w:rsidR="00E31644" w:rsidRPr="00FB2239" w:rsidRDefault="00E31644" w:rsidP="00FB2239">
            <w:pPr>
              <w:pStyle w:val="Text"/>
              <w:rPr>
                <w:sz w:val="16"/>
                <w:szCs w:val="16"/>
                <w:lang w:val="nl-BE"/>
              </w:rPr>
            </w:pPr>
            <w:r w:rsidRPr="00FB2239">
              <w:rPr>
                <w:sz w:val="16"/>
                <w:szCs w:val="16"/>
                <w:lang w:val="nl-BE"/>
              </w:rPr>
              <w:t>+32 2 417 25 66</w:t>
            </w:r>
          </w:p>
        </w:tc>
        <w:tc>
          <w:tcPr>
            <w:tcW w:w="3213" w:type="dxa"/>
            <w:shd w:val="clear" w:color="auto" w:fill="auto"/>
          </w:tcPr>
          <w:p w:rsidR="00E31644" w:rsidRPr="00FB2239" w:rsidRDefault="00E31644" w:rsidP="00FB2239">
            <w:pPr>
              <w:pStyle w:val="Text"/>
              <w:rPr>
                <w:sz w:val="16"/>
                <w:szCs w:val="16"/>
                <w:lang w:val="nl-BE"/>
              </w:rPr>
            </w:pPr>
          </w:p>
        </w:tc>
      </w:tr>
      <w:tr w:rsidR="00E31644" w:rsidRPr="00D15ED7" w:rsidTr="00FB2239">
        <w:tc>
          <w:tcPr>
            <w:tcW w:w="3544" w:type="dxa"/>
            <w:shd w:val="clear" w:color="auto" w:fill="auto"/>
          </w:tcPr>
          <w:p w:rsidR="00E31644" w:rsidRPr="00FB2239" w:rsidRDefault="00E31644" w:rsidP="00FB2239">
            <w:pPr>
              <w:pStyle w:val="Text"/>
              <w:rPr>
                <w:sz w:val="16"/>
                <w:szCs w:val="16"/>
                <w:lang w:val="nl-BE"/>
              </w:rPr>
            </w:pPr>
            <w:r w:rsidRPr="00FB2239">
              <w:rPr>
                <w:sz w:val="16"/>
                <w:szCs w:val="16"/>
                <w:lang w:val="nl-BE"/>
              </w:rPr>
              <w:t>Kris Kippers</w:t>
            </w:r>
          </w:p>
        </w:tc>
        <w:tc>
          <w:tcPr>
            <w:tcW w:w="2882" w:type="dxa"/>
            <w:shd w:val="clear" w:color="auto" w:fill="auto"/>
          </w:tcPr>
          <w:p w:rsidR="00E31644" w:rsidRPr="00FB2239" w:rsidRDefault="00E31644" w:rsidP="00FB2239">
            <w:pPr>
              <w:pStyle w:val="Text"/>
              <w:rPr>
                <w:sz w:val="16"/>
                <w:szCs w:val="16"/>
                <w:lang w:val="nl-BE"/>
              </w:rPr>
            </w:pPr>
            <w:r w:rsidRPr="00FB2239">
              <w:rPr>
                <w:sz w:val="16"/>
                <w:szCs w:val="16"/>
                <w:lang w:val="nl-BE"/>
              </w:rPr>
              <w:t>+32 2 417 28 08</w:t>
            </w:r>
          </w:p>
        </w:tc>
        <w:tc>
          <w:tcPr>
            <w:tcW w:w="3213" w:type="dxa"/>
            <w:shd w:val="clear" w:color="auto" w:fill="auto"/>
          </w:tcPr>
          <w:p w:rsidR="00E31644" w:rsidRPr="00FB2239" w:rsidRDefault="00E31644" w:rsidP="00FB2239">
            <w:pPr>
              <w:pStyle w:val="Text"/>
              <w:rPr>
                <w:sz w:val="16"/>
                <w:szCs w:val="16"/>
                <w:lang w:val="nl-BE"/>
              </w:rPr>
            </w:pPr>
          </w:p>
        </w:tc>
      </w:tr>
      <w:tr w:rsidR="00E31644" w:rsidRPr="00D15ED7" w:rsidTr="00FB2239">
        <w:tc>
          <w:tcPr>
            <w:tcW w:w="3544" w:type="dxa"/>
            <w:shd w:val="clear" w:color="auto" w:fill="auto"/>
          </w:tcPr>
          <w:p w:rsidR="00E31644" w:rsidRPr="00FB2239" w:rsidRDefault="00E31644" w:rsidP="00FB2239">
            <w:pPr>
              <w:pStyle w:val="Text"/>
              <w:rPr>
                <w:sz w:val="16"/>
                <w:szCs w:val="16"/>
              </w:rPr>
            </w:pPr>
            <w:r w:rsidRPr="00FB2239">
              <w:rPr>
                <w:sz w:val="16"/>
                <w:szCs w:val="16"/>
              </w:rPr>
              <w:t xml:space="preserve">Augustin </w:t>
            </w:r>
            <w:proofErr w:type="spellStart"/>
            <w:r w:rsidRPr="00FB2239">
              <w:rPr>
                <w:sz w:val="16"/>
                <w:szCs w:val="16"/>
              </w:rPr>
              <w:t>Lanne</w:t>
            </w:r>
            <w:proofErr w:type="spellEnd"/>
          </w:p>
        </w:tc>
        <w:tc>
          <w:tcPr>
            <w:tcW w:w="2882" w:type="dxa"/>
            <w:shd w:val="clear" w:color="auto" w:fill="auto"/>
          </w:tcPr>
          <w:p w:rsidR="00E31644" w:rsidRPr="00FB2239" w:rsidRDefault="00E31644" w:rsidP="00FB2239">
            <w:pPr>
              <w:pStyle w:val="Text"/>
              <w:rPr>
                <w:sz w:val="16"/>
                <w:szCs w:val="16"/>
              </w:rPr>
            </w:pPr>
            <w:r w:rsidRPr="00FB2239">
              <w:rPr>
                <w:sz w:val="16"/>
                <w:szCs w:val="16"/>
              </w:rPr>
              <w:t>+32 2 417 51 45</w:t>
            </w:r>
          </w:p>
        </w:tc>
        <w:tc>
          <w:tcPr>
            <w:tcW w:w="3213" w:type="dxa"/>
            <w:shd w:val="clear" w:color="auto" w:fill="auto"/>
          </w:tcPr>
          <w:p w:rsidR="00E31644" w:rsidRPr="00FB2239" w:rsidRDefault="00E31644" w:rsidP="00FB2239">
            <w:pPr>
              <w:pStyle w:val="Text"/>
              <w:rPr>
                <w:sz w:val="16"/>
                <w:szCs w:val="16"/>
              </w:rPr>
            </w:pPr>
          </w:p>
        </w:tc>
      </w:tr>
      <w:tr w:rsidR="00E31644" w:rsidRPr="00D15ED7" w:rsidTr="00FB2239">
        <w:tc>
          <w:tcPr>
            <w:tcW w:w="3544" w:type="dxa"/>
            <w:shd w:val="clear" w:color="auto" w:fill="auto"/>
          </w:tcPr>
          <w:p w:rsidR="00E31644" w:rsidRPr="00FB2239" w:rsidRDefault="00E31644" w:rsidP="00FB2239">
            <w:pPr>
              <w:pStyle w:val="Text"/>
              <w:rPr>
                <w:sz w:val="16"/>
                <w:szCs w:val="16"/>
              </w:rPr>
            </w:pPr>
            <w:r w:rsidRPr="00FB2239">
              <w:rPr>
                <w:sz w:val="16"/>
                <w:szCs w:val="16"/>
              </w:rPr>
              <w:t>Tim Leemans</w:t>
            </w:r>
          </w:p>
        </w:tc>
        <w:tc>
          <w:tcPr>
            <w:tcW w:w="2882" w:type="dxa"/>
            <w:shd w:val="clear" w:color="auto" w:fill="auto"/>
          </w:tcPr>
          <w:p w:rsidR="00E31644" w:rsidRPr="00FB2239" w:rsidRDefault="00E31644" w:rsidP="00FB2239">
            <w:pPr>
              <w:pStyle w:val="Text"/>
              <w:rPr>
                <w:sz w:val="16"/>
                <w:szCs w:val="16"/>
              </w:rPr>
            </w:pPr>
            <w:r w:rsidRPr="00FB2239">
              <w:rPr>
                <w:sz w:val="16"/>
                <w:szCs w:val="16"/>
              </w:rPr>
              <w:t>+32 2 417 32 28</w:t>
            </w:r>
          </w:p>
        </w:tc>
        <w:tc>
          <w:tcPr>
            <w:tcW w:w="3213" w:type="dxa"/>
            <w:shd w:val="clear" w:color="auto" w:fill="auto"/>
          </w:tcPr>
          <w:p w:rsidR="00E31644" w:rsidRPr="00FB2239" w:rsidRDefault="00E31644" w:rsidP="00FB2239">
            <w:pPr>
              <w:pStyle w:val="Text"/>
              <w:rPr>
                <w:sz w:val="16"/>
                <w:szCs w:val="16"/>
              </w:rPr>
            </w:pPr>
          </w:p>
        </w:tc>
      </w:tr>
      <w:tr w:rsidR="00E31644" w:rsidRPr="00D15ED7" w:rsidTr="00FB2239">
        <w:tc>
          <w:tcPr>
            <w:tcW w:w="3544" w:type="dxa"/>
            <w:shd w:val="clear" w:color="auto" w:fill="auto"/>
          </w:tcPr>
          <w:p w:rsidR="00E31644" w:rsidRPr="00FB2239" w:rsidRDefault="00E31644" w:rsidP="00FB2239">
            <w:pPr>
              <w:pStyle w:val="Text"/>
              <w:rPr>
                <w:sz w:val="16"/>
                <w:szCs w:val="16"/>
              </w:rPr>
            </w:pPr>
            <w:r w:rsidRPr="00FB2239">
              <w:rPr>
                <w:sz w:val="16"/>
                <w:szCs w:val="16"/>
              </w:rPr>
              <w:t>Marco Miserez</w:t>
            </w:r>
          </w:p>
        </w:tc>
        <w:tc>
          <w:tcPr>
            <w:tcW w:w="2882" w:type="dxa"/>
            <w:shd w:val="clear" w:color="auto" w:fill="auto"/>
          </w:tcPr>
          <w:p w:rsidR="00E31644" w:rsidRPr="00FB2239" w:rsidRDefault="00E31644" w:rsidP="00FB2239">
            <w:pPr>
              <w:pStyle w:val="Text"/>
              <w:rPr>
                <w:sz w:val="16"/>
                <w:szCs w:val="16"/>
              </w:rPr>
            </w:pPr>
            <w:r w:rsidRPr="00FB2239">
              <w:rPr>
                <w:sz w:val="16"/>
                <w:szCs w:val="16"/>
              </w:rPr>
              <w:t>+32 2 417 36 81</w:t>
            </w:r>
          </w:p>
        </w:tc>
        <w:tc>
          <w:tcPr>
            <w:tcW w:w="3213" w:type="dxa"/>
            <w:shd w:val="clear" w:color="auto" w:fill="auto"/>
          </w:tcPr>
          <w:p w:rsidR="00E31644" w:rsidRPr="00FB2239" w:rsidRDefault="00E31644" w:rsidP="00FB2239">
            <w:pPr>
              <w:pStyle w:val="Text"/>
              <w:rPr>
                <w:sz w:val="16"/>
                <w:szCs w:val="16"/>
              </w:rPr>
            </w:pPr>
          </w:p>
        </w:tc>
      </w:tr>
      <w:tr w:rsidR="00E31644" w:rsidRPr="00D15ED7" w:rsidTr="00FB2239">
        <w:tc>
          <w:tcPr>
            <w:tcW w:w="3544" w:type="dxa"/>
            <w:shd w:val="clear" w:color="auto" w:fill="auto"/>
          </w:tcPr>
          <w:p w:rsidR="00E31644" w:rsidRPr="00FB2239" w:rsidRDefault="00E31644" w:rsidP="00FB2239">
            <w:pPr>
              <w:pStyle w:val="Text"/>
              <w:rPr>
                <w:sz w:val="16"/>
                <w:szCs w:val="16"/>
              </w:rPr>
            </w:pPr>
          </w:p>
        </w:tc>
        <w:tc>
          <w:tcPr>
            <w:tcW w:w="2882" w:type="dxa"/>
            <w:shd w:val="clear" w:color="auto" w:fill="auto"/>
          </w:tcPr>
          <w:p w:rsidR="00E31644" w:rsidRPr="00FB2239" w:rsidRDefault="00E31644" w:rsidP="00FB2239">
            <w:pPr>
              <w:pStyle w:val="Text"/>
              <w:rPr>
                <w:sz w:val="16"/>
                <w:szCs w:val="16"/>
              </w:rPr>
            </w:pPr>
          </w:p>
        </w:tc>
        <w:tc>
          <w:tcPr>
            <w:tcW w:w="3213" w:type="dxa"/>
            <w:shd w:val="clear" w:color="auto" w:fill="auto"/>
          </w:tcPr>
          <w:p w:rsidR="00E31644" w:rsidRPr="00FB2239" w:rsidRDefault="00E31644" w:rsidP="00FB2239">
            <w:pPr>
              <w:pStyle w:val="Text"/>
              <w:rPr>
                <w:sz w:val="16"/>
                <w:szCs w:val="16"/>
              </w:rPr>
            </w:pPr>
          </w:p>
        </w:tc>
      </w:tr>
      <w:tr w:rsidR="00E31644" w:rsidRPr="00D15ED7" w:rsidTr="00FB2239">
        <w:tc>
          <w:tcPr>
            <w:tcW w:w="3544" w:type="dxa"/>
            <w:shd w:val="clear" w:color="auto" w:fill="auto"/>
          </w:tcPr>
          <w:p w:rsidR="00E31644" w:rsidRPr="00FB2239" w:rsidRDefault="00E31644" w:rsidP="00FB2239">
            <w:pPr>
              <w:pStyle w:val="Text"/>
              <w:rPr>
                <w:color w:val="0088CE"/>
                <w:sz w:val="16"/>
                <w:szCs w:val="16"/>
              </w:rPr>
            </w:pPr>
            <w:r w:rsidRPr="00FB2239">
              <w:rPr>
                <w:color w:val="0088CE"/>
                <w:sz w:val="16"/>
                <w:szCs w:val="16"/>
              </w:rPr>
              <w:t>Sales (US)</w:t>
            </w:r>
          </w:p>
        </w:tc>
        <w:tc>
          <w:tcPr>
            <w:tcW w:w="2882" w:type="dxa"/>
            <w:shd w:val="clear" w:color="auto" w:fill="auto"/>
          </w:tcPr>
          <w:p w:rsidR="00E31644" w:rsidRPr="00FB2239" w:rsidRDefault="00E31644" w:rsidP="00FB2239">
            <w:pPr>
              <w:pStyle w:val="Text"/>
              <w:rPr>
                <w:sz w:val="16"/>
                <w:szCs w:val="16"/>
              </w:rPr>
            </w:pPr>
          </w:p>
        </w:tc>
        <w:tc>
          <w:tcPr>
            <w:tcW w:w="3213" w:type="dxa"/>
            <w:shd w:val="clear" w:color="auto" w:fill="auto"/>
          </w:tcPr>
          <w:p w:rsidR="00E31644" w:rsidRPr="00FB2239" w:rsidRDefault="00E31644" w:rsidP="00FB2239">
            <w:pPr>
              <w:pStyle w:val="Text"/>
              <w:rPr>
                <w:sz w:val="16"/>
                <w:szCs w:val="16"/>
              </w:rPr>
            </w:pPr>
          </w:p>
        </w:tc>
      </w:tr>
      <w:tr w:rsidR="00E31644" w:rsidRPr="00D15ED7" w:rsidTr="00FB2239">
        <w:tc>
          <w:tcPr>
            <w:tcW w:w="3544" w:type="dxa"/>
            <w:shd w:val="clear" w:color="auto" w:fill="auto"/>
          </w:tcPr>
          <w:p w:rsidR="00E31644" w:rsidRPr="00FB2239" w:rsidRDefault="00E31644" w:rsidP="00FB2239">
            <w:pPr>
              <w:pStyle w:val="Text"/>
              <w:rPr>
                <w:sz w:val="16"/>
                <w:szCs w:val="16"/>
              </w:rPr>
            </w:pPr>
            <w:r w:rsidRPr="00FB2239">
              <w:rPr>
                <w:sz w:val="16"/>
                <w:szCs w:val="16"/>
              </w:rPr>
              <w:t>Hubert Dubrule (Head of US Sales)</w:t>
            </w:r>
          </w:p>
        </w:tc>
        <w:tc>
          <w:tcPr>
            <w:tcW w:w="2882" w:type="dxa"/>
            <w:shd w:val="clear" w:color="auto" w:fill="auto"/>
          </w:tcPr>
          <w:p w:rsidR="00E31644" w:rsidRPr="00FB2239" w:rsidRDefault="00E31644" w:rsidP="00FB2239">
            <w:pPr>
              <w:pStyle w:val="Text"/>
              <w:rPr>
                <w:sz w:val="16"/>
                <w:szCs w:val="16"/>
              </w:rPr>
            </w:pPr>
            <w:r w:rsidRPr="00FB2239">
              <w:rPr>
                <w:sz w:val="16"/>
                <w:szCs w:val="16"/>
              </w:rPr>
              <w:t>+1 212 845 22 74</w:t>
            </w:r>
          </w:p>
        </w:tc>
        <w:tc>
          <w:tcPr>
            <w:tcW w:w="3213" w:type="dxa"/>
            <w:shd w:val="clear" w:color="auto" w:fill="auto"/>
          </w:tcPr>
          <w:p w:rsidR="00E31644" w:rsidRPr="00FB2239" w:rsidRDefault="00E31644" w:rsidP="00FB2239">
            <w:pPr>
              <w:pStyle w:val="Text"/>
              <w:rPr>
                <w:sz w:val="16"/>
                <w:szCs w:val="16"/>
              </w:rPr>
            </w:pPr>
          </w:p>
        </w:tc>
      </w:tr>
      <w:tr w:rsidR="00E31644" w:rsidRPr="00D15ED7" w:rsidTr="00FB2239">
        <w:tc>
          <w:tcPr>
            <w:tcW w:w="3544" w:type="dxa"/>
            <w:shd w:val="clear" w:color="auto" w:fill="auto"/>
          </w:tcPr>
          <w:p w:rsidR="00E31644" w:rsidRPr="00FB2239" w:rsidRDefault="00E31644" w:rsidP="00FB2239">
            <w:pPr>
              <w:pStyle w:val="Text"/>
              <w:rPr>
                <w:sz w:val="16"/>
                <w:szCs w:val="16"/>
                <w:lang w:val="nl-BE"/>
              </w:rPr>
            </w:pPr>
            <w:r w:rsidRPr="00FB2239">
              <w:rPr>
                <w:sz w:val="16"/>
                <w:szCs w:val="16"/>
                <w:lang w:val="nl-BE"/>
              </w:rPr>
              <w:t>Sebastiaan Pol</w:t>
            </w:r>
          </w:p>
        </w:tc>
        <w:tc>
          <w:tcPr>
            <w:tcW w:w="2882" w:type="dxa"/>
            <w:shd w:val="clear" w:color="auto" w:fill="auto"/>
          </w:tcPr>
          <w:p w:rsidR="00E31644" w:rsidRPr="00FB2239" w:rsidRDefault="00E31644" w:rsidP="00FB2239">
            <w:pPr>
              <w:pStyle w:val="Text"/>
              <w:rPr>
                <w:sz w:val="16"/>
                <w:szCs w:val="16"/>
                <w:lang w:val="nl-BE"/>
              </w:rPr>
            </w:pPr>
            <w:r w:rsidRPr="00FB2239">
              <w:rPr>
                <w:sz w:val="16"/>
                <w:szCs w:val="16"/>
                <w:lang w:val="nl-BE"/>
              </w:rPr>
              <w:t>+1 212 845 20 52</w:t>
            </w:r>
          </w:p>
        </w:tc>
        <w:tc>
          <w:tcPr>
            <w:tcW w:w="3213" w:type="dxa"/>
            <w:shd w:val="clear" w:color="auto" w:fill="auto"/>
          </w:tcPr>
          <w:p w:rsidR="00E31644" w:rsidRPr="00FB2239" w:rsidRDefault="00E31644" w:rsidP="00FB2239">
            <w:pPr>
              <w:pStyle w:val="Text"/>
              <w:rPr>
                <w:sz w:val="16"/>
                <w:szCs w:val="16"/>
                <w:lang w:val="nl-BE"/>
              </w:rPr>
            </w:pPr>
          </w:p>
        </w:tc>
      </w:tr>
      <w:tr w:rsidR="00E31644" w:rsidRPr="00D15ED7" w:rsidTr="00FB2239">
        <w:tc>
          <w:tcPr>
            <w:tcW w:w="3544" w:type="dxa"/>
            <w:shd w:val="clear" w:color="auto" w:fill="auto"/>
          </w:tcPr>
          <w:p w:rsidR="00E31644" w:rsidRPr="00FB2239" w:rsidRDefault="00E31644" w:rsidP="00FB2239">
            <w:pPr>
              <w:pStyle w:val="Text"/>
              <w:rPr>
                <w:sz w:val="16"/>
                <w:szCs w:val="16"/>
                <w:lang w:val="nl-BE"/>
              </w:rPr>
            </w:pPr>
            <w:r w:rsidRPr="00FB2239">
              <w:rPr>
                <w:sz w:val="16"/>
                <w:szCs w:val="16"/>
                <w:lang w:val="nl-BE"/>
              </w:rPr>
              <w:t>Sofie Van Gijsel</w:t>
            </w:r>
          </w:p>
        </w:tc>
        <w:tc>
          <w:tcPr>
            <w:tcW w:w="2882" w:type="dxa"/>
            <w:shd w:val="clear" w:color="auto" w:fill="auto"/>
          </w:tcPr>
          <w:p w:rsidR="00E31644" w:rsidRPr="00FB2239" w:rsidRDefault="00E31644" w:rsidP="00FB2239">
            <w:pPr>
              <w:pStyle w:val="Text"/>
              <w:rPr>
                <w:sz w:val="16"/>
                <w:szCs w:val="16"/>
                <w:lang w:val="nl-BE"/>
              </w:rPr>
            </w:pPr>
            <w:r w:rsidRPr="00FB2239">
              <w:rPr>
                <w:sz w:val="16"/>
                <w:szCs w:val="16"/>
                <w:lang w:val="nl-BE"/>
              </w:rPr>
              <w:t>+1 212 541 06 48</w:t>
            </w:r>
          </w:p>
        </w:tc>
        <w:tc>
          <w:tcPr>
            <w:tcW w:w="3213" w:type="dxa"/>
            <w:shd w:val="clear" w:color="auto" w:fill="auto"/>
          </w:tcPr>
          <w:p w:rsidR="00E31644" w:rsidRPr="00FB2239" w:rsidRDefault="00E31644" w:rsidP="00FB2239">
            <w:pPr>
              <w:pStyle w:val="Text"/>
              <w:rPr>
                <w:sz w:val="16"/>
                <w:szCs w:val="16"/>
                <w:lang w:val="nl-BE"/>
              </w:rPr>
            </w:pPr>
          </w:p>
        </w:tc>
      </w:tr>
      <w:tr w:rsidR="00E31644" w:rsidRPr="00D15ED7" w:rsidTr="00FB2239">
        <w:tc>
          <w:tcPr>
            <w:tcW w:w="3544" w:type="dxa"/>
            <w:shd w:val="clear" w:color="auto" w:fill="auto"/>
          </w:tcPr>
          <w:p w:rsidR="00E31644" w:rsidRPr="00FB2239" w:rsidRDefault="00E31644" w:rsidP="00FB2239">
            <w:pPr>
              <w:pStyle w:val="Text"/>
              <w:rPr>
                <w:sz w:val="16"/>
                <w:szCs w:val="16"/>
                <w:lang w:val="nl-BE"/>
              </w:rPr>
            </w:pPr>
          </w:p>
        </w:tc>
        <w:tc>
          <w:tcPr>
            <w:tcW w:w="2882" w:type="dxa"/>
            <w:shd w:val="clear" w:color="auto" w:fill="auto"/>
          </w:tcPr>
          <w:p w:rsidR="00E31644" w:rsidRPr="00FB2239" w:rsidRDefault="00E31644" w:rsidP="00FB2239">
            <w:pPr>
              <w:pStyle w:val="Text"/>
              <w:rPr>
                <w:sz w:val="16"/>
                <w:szCs w:val="16"/>
                <w:lang w:val="nl-BE"/>
              </w:rPr>
            </w:pPr>
          </w:p>
        </w:tc>
        <w:tc>
          <w:tcPr>
            <w:tcW w:w="3213" w:type="dxa"/>
            <w:shd w:val="clear" w:color="auto" w:fill="auto"/>
          </w:tcPr>
          <w:p w:rsidR="00E31644" w:rsidRPr="00FB2239" w:rsidRDefault="00E31644" w:rsidP="00FB2239">
            <w:pPr>
              <w:pStyle w:val="Text"/>
              <w:rPr>
                <w:sz w:val="16"/>
                <w:szCs w:val="16"/>
                <w:lang w:val="nl-BE"/>
              </w:rPr>
            </w:pPr>
          </w:p>
        </w:tc>
      </w:tr>
      <w:tr w:rsidR="00E31644" w:rsidRPr="00D15ED7" w:rsidTr="00FB2239">
        <w:tc>
          <w:tcPr>
            <w:tcW w:w="3544" w:type="dxa"/>
            <w:shd w:val="clear" w:color="auto" w:fill="auto"/>
          </w:tcPr>
          <w:p w:rsidR="00E31644" w:rsidRPr="00FB2239" w:rsidRDefault="00E31644" w:rsidP="00FB2239">
            <w:pPr>
              <w:pStyle w:val="Text"/>
              <w:rPr>
                <w:color w:val="0088CE"/>
                <w:sz w:val="16"/>
                <w:szCs w:val="16"/>
              </w:rPr>
            </w:pPr>
            <w:r w:rsidRPr="00FB2239">
              <w:rPr>
                <w:color w:val="0088CE"/>
                <w:sz w:val="16"/>
                <w:szCs w:val="16"/>
              </w:rPr>
              <w:t>Sales Trading</w:t>
            </w:r>
          </w:p>
        </w:tc>
        <w:tc>
          <w:tcPr>
            <w:tcW w:w="2882" w:type="dxa"/>
            <w:shd w:val="clear" w:color="auto" w:fill="auto"/>
          </w:tcPr>
          <w:p w:rsidR="00E31644" w:rsidRPr="00FB2239" w:rsidRDefault="00E31644" w:rsidP="00FB2239">
            <w:pPr>
              <w:pStyle w:val="Text"/>
              <w:rPr>
                <w:sz w:val="16"/>
                <w:szCs w:val="16"/>
              </w:rPr>
            </w:pPr>
          </w:p>
        </w:tc>
        <w:tc>
          <w:tcPr>
            <w:tcW w:w="3213" w:type="dxa"/>
            <w:shd w:val="clear" w:color="auto" w:fill="auto"/>
          </w:tcPr>
          <w:p w:rsidR="00E31644" w:rsidRPr="00FB2239" w:rsidRDefault="00E31644" w:rsidP="00FB2239">
            <w:pPr>
              <w:pStyle w:val="Text"/>
              <w:rPr>
                <w:sz w:val="16"/>
                <w:szCs w:val="16"/>
              </w:rPr>
            </w:pPr>
          </w:p>
        </w:tc>
      </w:tr>
      <w:tr w:rsidR="00E31644" w:rsidRPr="00D15ED7" w:rsidTr="00FB2239">
        <w:tc>
          <w:tcPr>
            <w:tcW w:w="3544" w:type="dxa"/>
            <w:shd w:val="clear" w:color="auto" w:fill="auto"/>
          </w:tcPr>
          <w:p w:rsidR="00E31644" w:rsidRPr="00FB2239" w:rsidRDefault="00E31644" w:rsidP="00FB2239">
            <w:pPr>
              <w:pStyle w:val="Text"/>
              <w:rPr>
                <w:sz w:val="16"/>
                <w:szCs w:val="16"/>
              </w:rPr>
            </w:pPr>
            <w:r w:rsidRPr="00FB2239">
              <w:rPr>
                <w:sz w:val="16"/>
                <w:szCs w:val="16"/>
              </w:rPr>
              <w:t xml:space="preserve">Isabel </w:t>
            </w:r>
            <w:proofErr w:type="spellStart"/>
            <w:r w:rsidRPr="00FB2239">
              <w:rPr>
                <w:sz w:val="16"/>
                <w:szCs w:val="16"/>
              </w:rPr>
              <w:t>Sebreghts</w:t>
            </w:r>
            <w:proofErr w:type="spellEnd"/>
          </w:p>
        </w:tc>
        <w:tc>
          <w:tcPr>
            <w:tcW w:w="2882" w:type="dxa"/>
            <w:shd w:val="clear" w:color="auto" w:fill="auto"/>
          </w:tcPr>
          <w:p w:rsidR="00E31644" w:rsidRPr="00FB2239" w:rsidRDefault="00E31644" w:rsidP="00FB2239">
            <w:pPr>
              <w:pStyle w:val="Text"/>
              <w:rPr>
                <w:sz w:val="16"/>
                <w:szCs w:val="16"/>
              </w:rPr>
            </w:pPr>
            <w:r w:rsidRPr="00FB2239">
              <w:rPr>
                <w:sz w:val="16"/>
                <w:szCs w:val="16"/>
              </w:rPr>
              <w:t>+32 2 417 63 63</w:t>
            </w:r>
          </w:p>
        </w:tc>
        <w:tc>
          <w:tcPr>
            <w:tcW w:w="3213" w:type="dxa"/>
            <w:shd w:val="clear" w:color="auto" w:fill="auto"/>
          </w:tcPr>
          <w:p w:rsidR="00E31644" w:rsidRPr="00FB2239" w:rsidRDefault="00E31644" w:rsidP="00FB2239">
            <w:pPr>
              <w:pStyle w:val="Text"/>
              <w:rPr>
                <w:sz w:val="16"/>
                <w:szCs w:val="16"/>
              </w:rPr>
            </w:pPr>
          </w:p>
        </w:tc>
      </w:tr>
      <w:tr w:rsidR="00E31644" w:rsidRPr="00D15ED7" w:rsidTr="00FB2239">
        <w:tc>
          <w:tcPr>
            <w:tcW w:w="3544" w:type="dxa"/>
            <w:shd w:val="clear" w:color="auto" w:fill="auto"/>
          </w:tcPr>
          <w:p w:rsidR="00E31644" w:rsidRPr="00FB2239" w:rsidRDefault="00E31644" w:rsidP="00FB2239">
            <w:pPr>
              <w:pStyle w:val="Text"/>
              <w:rPr>
                <w:sz w:val="16"/>
                <w:szCs w:val="16"/>
              </w:rPr>
            </w:pPr>
            <w:r w:rsidRPr="00FB2239">
              <w:rPr>
                <w:sz w:val="16"/>
                <w:szCs w:val="16"/>
              </w:rPr>
              <w:t>Tim Leemans</w:t>
            </w:r>
          </w:p>
        </w:tc>
        <w:tc>
          <w:tcPr>
            <w:tcW w:w="2882" w:type="dxa"/>
            <w:shd w:val="clear" w:color="auto" w:fill="auto"/>
          </w:tcPr>
          <w:p w:rsidR="00E31644" w:rsidRPr="00FB2239" w:rsidRDefault="00E31644" w:rsidP="00FB2239">
            <w:pPr>
              <w:pStyle w:val="Text"/>
              <w:rPr>
                <w:sz w:val="16"/>
                <w:szCs w:val="16"/>
              </w:rPr>
            </w:pPr>
            <w:r w:rsidRPr="00FB2239">
              <w:rPr>
                <w:sz w:val="16"/>
                <w:szCs w:val="16"/>
              </w:rPr>
              <w:t>+32 2 417 32 28</w:t>
            </w:r>
          </w:p>
        </w:tc>
        <w:tc>
          <w:tcPr>
            <w:tcW w:w="3213" w:type="dxa"/>
            <w:shd w:val="clear" w:color="auto" w:fill="auto"/>
          </w:tcPr>
          <w:p w:rsidR="00E31644" w:rsidRPr="00FB2239" w:rsidRDefault="00E31644" w:rsidP="00FB2239">
            <w:pPr>
              <w:pStyle w:val="Text"/>
              <w:rPr>
                <w:sz w:val="16"/>
                <w:szCs w:val="16"/>
              </w:rPr>
            </w:pPr>
          </w:p>
        </w:tc>
      </w:tr>
      <w:tr w:rsidR="00E31644" w:rsidRPr="00D15ED7" w:rsidTr="00FB2239">
        <w:tc>
          <w:tcPr>
            <w:tcW w:w="3544" w:type="dxa"/>
            <w:shd w:val="clear" w:color="auto" w:fill="auto"/>
          </w:tcPr>
          <w:p w:rsidR="00E31644" w:rsidRPr="00FB2239" w:rsidRDefault="00E31644" w:rsidP="00FB2239">
            <w:pPr>
              <w:pStyle w:val="Text"/>
              <w:rPr>
                <w:sz w:val="16"/>
                <w:szCs w:val="16"/>
              </w:rPr>
            </w:pPr>
            <w:r w:rsidRPr="00FB2239">
              <w:rPr>
                <w:sz w:val="16"/>
                <w:szCs w:val="16"/>
              </w:rPr>
              <w:t>Marco Miserez</w:t>
            </w:r>
          </w:p>
        </w:tc>
        <w:tc>
          <w:tcPr>
            <w:tcW w:w="2882" w:type="dxa"/>
            <w:shd w:val="clear" w:color="auto" w:fill="auto"/>
          </w:tcPr>
          <w:p w:rsidR="00E31644" w:rsidRPr="00FB2239" w:rsidRDefault="00E31644" w:rsidP="00FB2239">
            <w:pPr>
              <w:pStyle w:val="Text"/>
              <w:rPr>
                <w:sz w:val="16"/>
                <w:szCs w:val="16"/>
              </w:rPr>
            </w:pPr>
            <w:r w:rsidRPr="00FB2239">
              <w:rPr>
                <w:sz w:val="16"/>
                <w:szCs w:val="16"/>
              </w:rPr>
              <w:t>+32 2 417 36 81</w:t>
            </w:r>
          </w:p>
        </w:tc>
        <w:tc>
          <w:tcPr>
            <w:tcW w:w="3213" w:type="dxa"/>
            <w:shd w:val="clear" w:color="auto" w:fill="auto"/>
          </w:tcPr>
          <w:p w:rsidR="00E31644" w:rsidRPr="00FB2239" w:rsidRDefault="00E31644" w:rsidP="00FB2239">
            <w:pPr>
              <w:pStyle w:val="Text"/>
              <w:rPr>
                <w:sz w:val="16"/>
                <w:szCs w:val="16"/>
              </w:rPr>
            </w:pPr>
          </w:p>
        </w:tc>
      </w:tr>
      <w:tr w:rsidR="00E31644" w:rsidRPr="00D15ED7" w:rsidTr="00FB2239">
        <w:tc>
          <w:tcPr>
            <w:tcW w:w="3544" w:type="dxa"/>
            <w:shd w:val="clear" w:color="auto" w:fill="auto"/>
          </w:tcPr>
          <w:p w:rsidR="00E31644" w:rsidRPr="00FB2239" w:rsidRDefault="00E31644" w:rsidP="00FB2239">
            <w:pPr>
              <w:pStyle w:val="Text"/>
              <w:rPr>
                <w:sz w:val="16"/>
                <w:szCs w:val="16"/>
              </w:rPr>
            </w:pPr>
            <w:r w:rsidRPr="00FB2239">
              <w:rPr>
                <w:sz w:val="16"/>
                <w:szCs w:val="16"/>
              </w:rPr>
              <w:t>Loïc De Smet</w:t>
            </w:r>
          </w:p>
        </w:tc>
        <w:tc>
          <w:tcPr>
            <w:tcW w:w="2882" w:type="dxa"/>
            <w:shd w:val="clear" w:color="auto" w:fill="auto"/>
          </w:tcPr>
          <w:p w:rsidR="00E31644" w:rsidRPr="00FB2239" w:rsidRDefault="00E31644" w:rsidP="00FB2239">
            <w:pPr>
              <w:pStyle w:val="Text"/>
              <w:rPr>
                <w:sz w:val="16"/>
                <w:szCs w:val="16"/>
              </w:rPr>
            </w:pPr>
            <w:r w:rsidRPr="00FB2239">
              <w:rPr>
                <w:sz w:val="16"/>
                <w:szCs w:val="16"/>
              </w:rPr>
              <w:t>+32 2 417 36 99</w:t>
            </w:r>
          </w:p>
        </w:tc>
        <w:tc>
          <w:tcPr>
            <w:tcW w:w="3213" w:type="dxa"/>
            <w:shd w:val="clear" w:color="auto" w:fill="auto"/>
          </w:tcPr>
          <w:p w:rsidR="00E31644" w:rsidRPr="00FB2239" w:rsidRDefault="00E31644" w:rsidP="00FB2239">
            <w:pPr>
              <w:pStyle w:val="Text"/>
              <w:rPr>
                <w:sz w:val="16"/>
                <w:szCs w:val="16"/>
              </w:rPr>
            </w:pPr>
          </w:p>
        </w:tc>
      </w:tr>
      <w:tr w:rsidR="00E31644" w:rsidRPr="00D15ED7" w:rsidTr="00FB2239">
        <w:tc>
          <w:tcPr>
            <w:tcW w:w="3544" w:type="dxa"/>
            <w:shd w:val="clear" w:color="auto" w:fill="auto"/>
          </w:tcPr>
          <w:p w:rsidR="00E31644" w:rsidRPr="00FB2239" w:rsidRDefault="00E31644" w:rsidP="00FB2239">
            <w:pPr>
              <w:pStyle w:val="Text"/>
              <w:rPr>
                <w:sz w:val="16"/>
                <w:szCs w:val="16"/>
              </w:rPr>
            </w:pPr>
          </w:p>
        </w:tc>
        <w:tc>
          <w:tcPr>
            <w:tcW w:w="2882" w:type="dxa"/>
            <w:shd w:val="clear" w:color="auto" w:fill="auto"/>
          </w:tcPr>
          <w:p w:rsidR="00E31644" w:rsidRPr="00FB2239" w:rsidRDefault="00E31644" w:rsidP="00FB2239">
            <w:pPr>
              <w:pStyle w:val="Text"/>
              <w:rPr>
                <w:sz w:val="16"/>
                <w:szCs w:val="16"/>
              </w:rPr>
            </w:pPr>
          </w:p>
        </w:tc>
        <w:tc>
          <w:tcPr>
            <w:tcW w:w="3213" w:type="dxa"/>
            <w:shd w:val="clear" w:color="auto" w:fill="auto"/>
          </w:tcPr>
          <w:p w:rsidR="00E31644" w:rsidRPr="00FB2239" w:rsidRDefault="00E31644" w:rsidP="00FB2239">
            <w:pPr>
              <w:pStyle w:val="Text"/>
              <w:rPr>
                <w:sz w:val="16"/>
                <w:szCs w:val="16"/>
              </w:rPr>
            </w:pPr>
          </w:p>
        </w:tc>
      </w:tr>
      <w:tr w:rsidR="00E31644" w:rsidRPr="00D15ED7" w:rsidTr="00FB2239">
        <w:tc>
          <w:tcPr>
            <w:tcW w:w="3544" w:type="dxa"/>
            <w:shd w:val="clear" w:color="auto" w:fill="auto"/>
          </w:tcPr>
          <w:p w:rsidR="00E31644" w:rsidRPr="00FB2239" w:rsidRDefault="00E31644" w:rsidP="00FB2239">
            <w:pPr>
              <w:pStyle w:val="Text"/>
              <w:rPr>
                <w:b/>
                <w:color w:val="0088CE"/>
                <w:sz w:val="16"/>
                <w:szCs w:val="16"/>
              </w:rPr>
            </w:pPr>
            <w:r w:rsidRPr="00FB2239">
              <w:rPr>
                <w:b/>
                <w:color w:val="0088CE"/>
                <w:sz w:val="16"/>
                <w:szCs w:val="16"/>
              </w:rPr>
              <w:t>BOND SALES TEAM</w:t>
            </w:r>
          </w:p>
        </w:tc>
        <w:tc>
          <w:tcPr>
            <w:tcW w:w="2882" w:type="dxa"/>
            <w:shd w:val="clear" w:color="auto" w:fill="auto"/>
          </w:tcPr>
          <w:p w:rsidR="00E31644" w:rsidRPr="00FB2239" w:rsidRDefault="00E31644" w:rsidP="00FB2239">
            <w:pPr>
              <w:pStyle w:val="Text"/>
              <w:rPr>
                <w:sz w:val="16"/>
                <w:szCs w:val="16"/>
              </w:rPr>
            </w:pPr>
          </w:p>
        </w:tc>
        <w:tc>
          <w:tcPr>
            <w:tcW w:w="3213" w:type="dxa"/>
            <w:shd w:val="clear" w:color="auto" w:fill="auto"/>
          </w:tcPr>
          <w:p w:rsidR="00E31644" w:rsidRPr="00FB2239" w:rsidRDefault="00E31644" w:rsidP="00FB2239">
            <w:pPr>
              <w:pStyle w:val="Text"/>
              <w:rPr>
                <w:sz w:val="16"/>
                <w:szCs w:val="16"/>
              </w:rPr>
            </w:pPr>
          </w:p>
        </w:tc>
      </w:tr>
      <w:tr w:rsidR="00E31644" w:rsidRPr="00D15ED7" w:rsidTr="00FB2239">
        <w:tc>
          <w:tcPr>
            <w:tcW w:w="3544" w:type="dxa"/>
            <w:shd w:val="clear" w:color="auto" w:fill="auto"/>
          </w:tcPr>
          <w:p w:rsidR="00E31644" w:rsidRPr="00D15ED7" w:rsidRDefault="00E31644" w:rsidP="00FB2239">
            <w:pPr>
              <w:pStyle w:val="Columnheading"/>
              <w:jc w:val="left"/>
            </w:pPr>
            <w:r w:rsidRPr="00D15ED7">
              <w:t>Sales</w:t>
            </w:r>
          </w:p>
        </w:tc>
        <w:tc>
          <w:tcPr>
            <w:tcW w:w="2882" w:type="dxa"/>
            <w:shd w:val="clear" w:color="auto" w:fill="auto"/>
          </w:tcPr>
          <w:p w:rsidR="00E31644" w:rsidRPr="00D15ED7" w:rsidRDefault="00E31644" w:rsidP="00FB2239">
            <w:pPr>
              <w:pStyle w:val="Columnheading"/>
              <w:jc w:val="left"/>
            </w:pPr>
            <w:r w:rsidRPr="00D15ED7">
              <w:t>Contact</w:t>
            </w:r>
          </w:p>
        </w:tc>
        <w:tc>
          <w:tcPr>
            <w:tcW w:w="3213" w:type="dxa"/>
            <w:shd w:val="clear" w:color="auto" w:fill="auto"/>
          </w:tcPr>
          <w:p w:rsidR="00E31644" w:rsidRPr="00D15ED7" w:rsidRDefault="00E31644" w:rsidP="00FB2239">
            <w:pPr>
              <w:pStyle w:val="Columnheading"/>
              <w:jc w:val="left"/>
            </w:pPr>
          </w:p>
        </w:tc>
      </w:tr>
      <w:tr w:rsidR="00E31644" w:rsidRPr="00D15ED7" w:rsidTr="00FB2239">
        <w:tc>
          <w:tcPr>
            <w:tcW w:w="3544" w:type="dxa"/>
            <w:shd w:val="clear" w:color="auto" w:fill="auto"/>
          </w:tcPr>
          <w:p w:rsidR="00E31644" w:rsidRPr="00FB2239" w:rsidRDefault="00E31644" w:rsidP="00FB2239">
            <w:pPr>
              <w:pStyle w:val="Text"/>
              <w:rPr>
                <w:sz w:val="16"/>
                <w:szCs w:val="16"/>
              </w:rPr>
            </w:pPr>
            <w:r w:rsidRPr="00FB2239">
              <w:rPr>
                <w:sz w:val="16"/>
                <w:szCs w:val="16"/>
              </w:rPr>
              <w:t>Alexander Lehmann (Head of Sales)</w:t>
            </w:r>
          </w:p>
        </w:tc>
        <w:tc>
          <w:tcPr>
            <w:tcW w:w="2882" w:type="dxa"/>
            <w:shd w:val="clear" w:color="auto" w:fill="auto"/>
          </w:tcPr>
          <w:p w:rsidR="00E31644" w:rsidRPr="00FB2239" w:rsidRDefault="00E31644" w:rsidP="00FB2239">
            <w:pPr>
              <w:pStyle w:val="Text"/>
              <w:rPr>
                <w:sz w:val="16"/>
                <w:szCs w:val="16"/>
              </w:rPr>
            </w:pPr>
            <w:r w:rsidRPr="00FB2239">
              <w:rPr>
                <w:sz w:val="16"/>
                <w:szCs w:val="16"/>
              </w:rPr>
              <w:t>+32 2 417 46 25</w:t>
            </w:r>
          </w:p>
        </w:tc>
        <w:tc>
          <w:tcPr>
            <w:tcW w:w="3213" w:type="dxa"/>
            <w:shd w:val="clear" w:color="auto" w:fill="auto"/>
          </w:tcPr>
          <w:p w:rsidR="00E31644" w:rsidRPr="00FB2239" w:rsidRDefault="00E31644" w:rsidP="00FB2239">
            <w:pPr>
              <w:pStyle w:val="Text"/>
              <w:rPr>
                <w:sz w:val="16"/>
                <w:szCs w:val="16"/>
              </w:rPr>
            </w:pPr>
          </w:p>
        </w:tc>
      </w:tr>
      <w:tr w:rsidR="00E31644" w:rsidRPr="00D15ED7" w:rsidTr="00FB2239">
        <w:tc>
          <w:tcPr>
            <w:tcW w:w="3544" w:type="dxa"/>
            <w:shd w:val="clear" w:color="auto" w:fill="auto"/>
          </w:tcPr>
          <w:p w:rsidR="00E31644" w:rsidRPr="00FB2239" w:rsidRDefault="00E31644" w:rsidP="00FB2239">
            <w:pPr>
              <w:pStyle w:val="Text"/>
              <w:rPr>
                <w:sz w:val="16"/>
                <w:szCs w:val="16"/>
              </w:rPr>
            </w:pPr>
            <w:r w:rsidRPr="00FB2239">
              <w:rPr>
                <w:sz w:val="16"/>
                <w:szCs w:val="16"/>
              </w:rPr>
              <w:t xml:space="preserve">Maurizio </w:t>
            </w:r>
            <w:proofErr w:type="spellStart"/>
            <w:r w:rsidRPr="00FB2239">
              <w:rPr>
                <w:sz w:val="16"/>
                <w:szCs w:val="16"/>
              </w:rPr>
              <w:t>Bartolo</w:t>
            </w:r>
            <w:proofErr w:type="spellEnd"/>
          </w:p>
        </w:tc>
        <w:tc>
          <w:tcPr>
            <w:tcW w:w="2882" w:type="dxa"/>
            <w:shd w:val="clear" w:color="auto" w:fill="auto"/>
          </w:tcPr>
          <w:p w:rsidR="00E31644" w:rsidRPr="00FB2239" w:rsidRDefault="00E31644" w:rsidP="00FB2239">
            <w:pPr>
              <w:pStyle w:val="Text"/>
              <w:rPr>
                <w:sz w:val="16"/>
                <w:szCs w:val="16"/>
              </w:rPr>
            </w:pPr>
            <w:r w:rsidRPr="00FB2239">
              <w:rPr>
                <w:sz w:val="16"/>
                <w:szCs w:val="16"/>
              </w:rPr>
              <w:t>+32 2 417 48 02</w:t>
            </w:r>
          </w:p>
        </w:tc>
        <w:tc>
          <w:tcPr>
            <w:tcW w:w="3213" w:type="dxa"/>
            <w:shd w:val="clear" w:color="auto" w:fill="auto"/>
          </w:tcPr>
          <w:p w:rsidR="00E31644" w:rsidRPr="00FB2239" w:rsidRDefault="00E31644" w:rsidP="00FB2239">
            <w:pPr>
              <w:pStyle w:val="Text"/>
              <w:rPr>
                <w:sz w:val="16"/>
                <w:szCs w:val="16"/>
              </w:rPr>
            </w:pPr>
          </w:p>
        </w:tc>
      </w:tr>
      <w:tr w:rsidR="00E31644" w:rsidRPr="00D15ED7" w:rsidTr="00FB2239">
        <w:tc>
          <w:tcPr>
            <w:tcW w:w="3544" w:type="dxa"/>
            <w:shd w:val="clear" w:color="auto" w:fill="auto"/>
          </w:tcPr>
          <w:p w:rsidR="00E31644" w:rsidRPr="00FB2239" w:rsidRDefault="00E31644" w:rsidP="00FB2239">
            <w:pPr>
              <w:pStyle w:val="Text"/>
              <w:rPr>
                <w:sz w:val="16"/>
                <w:szCs w:val="16"/>
              </w:rPr>
            </w:pPr>
            <w:r w:rsidRPr="00FB2239">
              <w:rPr>
                <w:sz w:val="16"/>
                <w:szCs w:val="16"/>
              </w:rPr>
              <w:t xml:space="preserve">Bert </w:t>
            </w:r>
            <w:proofErr w:type="spellStart"/>
            <w:r w:rsidRPr="00FB2239">
              <w:rPr>
                <w:sz w:val="16"/>
                <w:szCs w:val="16"/>
              </w:rPr>
              <w:t>Beckx</w:t>
            </w:r>
            <w:proofErr w:type="spellEnd"/>
          </w:p>
        </w:tc>
        <w:tc>
          <w:tcPr>
            <w:tcW w:w="2882" w:type="dxa"/>
            <w:shd w:val="clear" w:color="auto" w:fill="auto"/>
          </w:tcPr>
          <w:p w:rsidR="00E31644" w:rsidRPr="00FB2239" w:rsidRDefault="00E31644" w:rsidP="00FB2239">
            <w:pPr>
              <w:pStyle w:val="Text"/>
              <w:rPr>
                <w:sz w:val="16"/>
                <w:szCs w:val="16"/>
              </w:rPr>
            </w:pPr>
            <w:r w:rsidRPr="00FB2239">
              <w:rPr>
                <w:sz w:val="16"/>
                <w:szCs w:val="16"/>
              </w:rPr>
              <w:t>+32 2 417 31 57</w:t>
            </w:r>
          </w:p>
        </w:tc>
        <w:tc>
          <w:tcPr>
            <w:tcW w:w="3213" w:type="dxa"/>
            <w:shd w:val="clear" w:color="auto" w:fill="auto"/>
          </w:tcPr>
          <w:p w:rsidR="00E31644" w:rsidRPr="00FB2239" w:rsidRDefault="00E31644" w:rsidP="00FB2239">
            <w:pPr>
              <w:pStyle w:val="Text"/>
              <w:rPr>
                <w:sz w:val="16"/>
                <w:szCs w:val="16"/>
              </w:rPr>
            </w:pPr>
          </w:p>
        </w:tc>
      </w:tr>
      <w:tr w:rsidR="00E31644" w:rsidRPr="00D15ED7" w:rsidTr="00FB2239">
        <w:tc>
          <w:tcPr>
            <w:tcW w:w="3544" w:type="dxa"/>
            <w:shd w:val="clear" w:color="auto" w:fill="auto"/>
          </w:tcPr>
          <w:p w:rsidR="00E31644" w:rsidRPr="00FB2239" w:rsidRDefault="00E31644" w:rsidP="00FB2239">
            <w:pPr>
              <w:pStyle w:val="Text"/>
              <w:rPr>
                <w:sz w:val="16"/>
                <w:szCs w:val="16"/>
              </w:rPr>
            </w:pPr>
            <w:proofErr w:type="spellStart"/>
            <w:r w:rsidRPr="00FB2239">
              <w:rPr>
                <w:sz w:val="16"/>
                <w:szCs w:val="16"/>
              </w:rPr>
              <w:t>Toon</w:t>
            </w:r>
            <w:proofErr w:type="spellEnd"/>
            <w:r w:rsidRPr="00FB2239">
              <w:rPr>
                <w:sz w:val="16"/>
                <w:szCs w:val="16"/>
              </w:rPr>
              <w:t xml:space="preserve"> </w:t>
            </w:r>
            <w:proofErr w:type="spellStart"/>
            <w:r w:rsidRPr="00FB2239">
              <w:rPr>
                <w:sz w:val="16"/>
                <w:szCs w:val="16"/>
              </w:rPr>
              <w:t>Boyen</w:t>
            </w:r>
            <w:proofErr w:type="spellEnd"/>
          </w:p>
        </w:tc>
        <w:tc>
          <w:tcPr>
            <w:tcW w:w="2882" w:type="dxa"/>
            <w:shd w:val="clear" w:color="auto" w:fill="auto"/>
          </w:tcPr>
          <w:p w:rsidR="00E31644" w:rsidRPr="00FB2239" w:rsidRDefault="00E31644" w:rsidP="00FB2239">
            <w:pPr>
              <w:pStyle w:val="Text"/>
              <w:rPr>
                <w:sz w:val="16"/>
                <w:szCs w:val="16"/>
              </w:rPr>
            </w:pPr>
            <w:r w:rsidRPr="00FB2239">
              <w:rPr>
                <w:sz w:val="16"/>
                <w:szCs w:val="16"/>
              </w:rPr>
              <w:t>+32 2 417 25 65</w:t>
            </w:r>
          </w:p>
        </w:tc>
        <w:tc>
          <w:tcPr>
            <w:tcW w:w="3213" w:type="dxa"/>
            <w:shd w:val="clear" w:color="auto" w:fill="auto"/>
          </w:tcPr>
          <w:p w:rsidR="00E31644" w:rsidRPr="00FB2239" w:rsidRDefault="00E31644" w:rsidP="00FB2239">
            <w:pPr>
              <w:pStyle w:val="Text"/>
              <w:rPr>
                <w:sz w:val="16"/>
                <w:szCs w:val="16"/>
              </w:rPr>
            </w:pPr>
          </w:p>
        </w:tc>
      </w:tr>
      <w:tr w:rsidR="00E31644" w:rsidRPr="00D15ED7" w:rsidTr="00FB2239">
        <w:tc>
          <w:tcPr>
            <w:tcW w:w="3544" w:type="dxa"/>
            <w:shd w:val="clear" w:color="auto" w:fill="auto"/>
          </w:tcPr>
          <w:p w:rsidR="00E31644" w:rsidRPr="00FB2239" w:rsidRDefault="00E31644" w:rsidP="00FB2239">
            <w:pPr>
              <w:pStyle w:val="Text"/>
              <w:rPr>
                <w:sz w:val="16"/>
                <w:szCs w:val="16"/>
              </w:rPr>
            </w:pPr>
            <w:r w:rsidRPr="00FB2239">
              <w:rPr>
                <w:sz w:val="16"/>
                <w:szCs w:val="16"/>
              </w:rPr>
              <w:t xml:space="preserve">Valentin </w:t>
            </w:r>
            <w:proofErr w:type="spellStart"/>
            <w:r w:rsidRPr="00FB2239">
              <w:rPr>
                <w:sz w:val="16"/>
                <w:szCs w:val="16"/>
              </w:rPr>
              <w:t>Checa</w:t>
            </w:r>
            <w:proofErr w:type="spellEnd"/>
          </w:p>
        </w:tc>
        <w:tc>
          <w:tcPr>
            <w:tcW w:w="2882" w:type="dxa"/>
            <w:shd w:val="clear" w:color="auto" w:fill="auto"/>
          </w:tcPr>
          <w:p w:rsidR="00E31644" w:rsidRPr="00FB2239" w:rsidRDefault="00E31644" w:rsidP="00FB2239">
            <w:pPr>
              <w:pStyle w:val="Text"/>
              <w:rPr>
                <w:sz w:val="16"/>
                <w:szCs w:val="16"/>
              </w:rPr>
            </w:pPr>
            <w:r w:rsidRPr="00FB2239">
              <w:rPr>
                <w:sz w:val="16"/>
                <w:szCs w:val="16"/>
              </w:rPr>
              <w:t>+32 2 417 25 40</w:t>
            </w:r>
          </w:p>
        </w:tc>
        <w:tc>
          <w:tcPr>
            <w:tcW w:w="3213" w:type="dxa"/>
            <w:shd w:val="clear" w:color="auto" w:fill="auto"/>
          </w:tcPr>
          <w:p w:rsidR="00E31644" w:rsidRPr="00FB2239" w:rsidRDefault="00E31644" w:rsidP="00FB2239">
            <w:pPr>
              <w:pStyle w:val="Text"/>
              <w:rPr>
                <w:sz w:val="16"/>
                <w:szCs w:val="16"/>
              </w:rPr>
            </w:pPr>
          </w:p>
        </w:tc>
      </w:tr>
      <w:tr w:rsidR="00E31644" w:rsidRPr="00D15ED7" w:rsidTr="00FB2239">
        <w:tc>
          <w:tcPr>
            <w:tcW w:w="3544" w:type="dxa"/>
            <w:shd w:val="clear" w:color="auto" w:fill="auto"/>
          </w:tcPr>
          <w:p w:rsidR="00E31644" w:rsidRPr="00FB2239" w:rsidRDefault="00E31644" w:rsidP="00FB2239">
            <w:pPr>
              <w:pStyle w:val="Text"/>
              <w:rPr>
                <w:sz w:val="16"/>
                <w:szCs w:val="16"/>
              </w:rPr>
            </w:pPr>
            <w:r w:rsidRPr="00FB2239">
              <w:rPr>
                <w:sz w:val="16"/>
                <w:szCs w:val="16"/>
              </w:rPr>
              <w:t xml:space="preserve">Alban </w:t>
            </w:r>
            <w:proofErr w:type="spellStart"/>
            <w:r w:rsidRPr="00FB2239">
              <w:rPr>
                <w:sz w:val="16"/>
                <w:szCs w:val="16"/>
              </w:rPr>
              <w:t>Kerdranvat</w:t>
            </w:r>
            <w:proofErr w:type="spellEnd"/>
          </w:p>
        </w:tc>
        <w:tc>
          <w:tcPr>
            <w:tcW w:w="2882" w:type="dxa"/>
            <w:shd w:val="clear" w:color="auto" w:fill="auto"/>
          </w:tcPr>
          <w:p w:rsidR="00E31644" w:rsidRPr="00FB2239" w:rsidRDefault="00E31644" w:rsidP="00FB2239">
            <w:pPr>
              <w:pStyle w:val="Text"/>
              <w:rPr>
                <w:sz w:val="16"/>
                <w:szCs w:val="16"/>
              </w:rPr>
            </w:pPr>
            <w:r w:rsidRPr="00FB2239">
              <w:rPr>
                <w:sz w:val="16"/>
                <w:szCs w:val="16"/>
              </w:rPr>
              <w:t>+32 2 417 25 45</w:t>
            </w:r>
          </w:p>
        </w:tc>
        <w:tc>
          <w:tcPr>
            <w:tcW w:w="3213" w:type="dxa"/>
            <w:shd w:val="clear" w:color="auto" w:fill="auto"/>
          </w:tcPr>
          <w:p w:rsidR="00E31644" w:rsidRPr="00FB2239" w:rsidRDefault="00E31644" w:rsidP="00FB2239">
            <w:pPr>
              <w:pStyle w:val="Text"/>
              <w:rPr>
                <w:sz w:val="16"/>
                <w:szCs w:val="16"/>
              </w:rPr>
            </w:pPr>
          </w:p>
        </w:tc>
      </w:tr>
      <w:tr w:rsidR="00E31644" w:rsidRPr="00D15ED7" w:rsidTr="00FB2239">
        <w:tc>
          <w:tcPr>
            <w:tcW w:w="3544" w:type="dxa"/>
            <w:shd w:val="clear" w:color="auto" w:fill="auto"/>
          </w:tcPr>
          <w:p w:rsidR="00E31644" w:rsidRPr="00FB2239" w:rsidRDefault="00E31644" w:rsidP="00FB2239">
            <w:pPr>
              <w:pStyle w:val="Text"/>
              <w:rPr>
                <w:sz w:val="16"/>
                <w:szCs w:val="16"/>
              </w:rPr>
            </w:pPr>
            <w:r w:rsidRPr="00FB2239">
              <w:rPr>
                <w:sz w:val="16"/>
                <w:szCs w:val="16"/>
              </w:rPr>
              <w:t xml:space="preserve">Bart </w:t>
            </w:r>
            <w:proofErr w:type="spellStart"/>
            <w:r w:rsidRPr="00FB2239">
              <w:rPr>
                <w:sz w:val="16"/>
                <w:szCs w:val="16"/>
              </w:rPr>
              <w:t>Mathijssen</w:t>
            </w:r>
            <w:proofErr w:type="spellEnd"/>
          </w:p>
        </w:tc>
        <w:tc>
          <w:tcPr>
            <w:tcW w:w="2882" w:type="dxa"/>
            <w:shd w:val="clear" w:color="auto" w:fill="auto"/>
          </w:tcPr>
          <w:p w:rsidR="00E31644" w:rsidRPr="00FB2239" w:rsidRDefault="00E31644" w:rsidP="00FB2239">
            <w:pPr>
              <w:pStyle w:val="Text"/>
              <w:rPr>
                <w:sz w:val="16"/>
                <w:szCs w:val="16"/>
              </w:rPr>
            </w:pPr>
            <w:r w:rsidRPr="00FB2239">
              <w:rPr>
                <w:sz w:val="16"/>
                <w:szCs w:val="16"/>
              </w:rPr>
              <w:t>+32 2 417 57 12</w:t>
            </w:r>
          </w:p>
        </w:tc>
        <w:tc>
          <w:tcPr>
            <w:tcW w:w="3213" w:type="dxa"/>
            <w:shd w:val="clear" w:color="auto" w:fill="auto"/>
          </w:tcPr>
          <w:p w:rsidR="00E31644" w:rsidRPr="00FB2239" w:rsidRDefault="00E31644" w:rsidP="00FB2239">
            <w:pPr>
              <w:pStyle w:val="Text"/>
              <w:rPr>
                <w:sz w:val="16"/>
                <w:szCs w:val="16"/>
              </w:rPr>
            </w:pPr>
          </w:p>
        </w:tc>
      </w:tr>
      <w:tr w:rsidR="00E31644" w:rsidRPr="00D15ED7" w:rsidTr="00FB2239">
        <w:tc>
          <w:tcPr>
            <w:tcW w:w="3544" w:type="dxa"/>
            <w:tcBorders>
              <w:bottom w:val="dashSmallGap" w:sz="8" w:space="0" w:color="766A62"/>
            </w:tcBorders>
            <w:shd w:val="clear" w:color="auto" w:fill="auto"/>
          </w:tcPr>
          <w:p w:rsidR="00E31644" w:rsidRPr="00FB2239" w:rsidRDefault="00E31644" w:rsidP="00FB2239">
            <w:pPr>
              <w:pStyle w:val="Text"/>
              <w:rPr>
                <w:sz w:val="16"/>
                <w:szCs w:val="16"/>
              </w:rPr>
            </w:pPr>
            <w:r w:rsidRPr="00FB2239">
              <w:rPr>
                <w:sz w:val="16"/>
                <w:szCs w:val="16"/>
              </w:rPr>
              <w:t xml:space="preserve">Koen </w:t>
            </w:r>
            <w:proofErr w:type="spellStart"/>
            <w:r w:rsidRPr="00FB2239">
              <w:rPr>
                <w:sz w:val="16"/>
                <w:szCs w:val="16"/>
              </w:rPr>
              <w:t>Princen</w:t>
            </w:r>
            <w:proofErr w:type="spellEnd"/>
          </w:p>
        </w:tc>
        <w:tc>
          <w:tcPr>
            <w:tcW w:w="2882" w:type="dxa"/>
            <w:tcBorders>
              <w:bottom w:val="dashSmallGap" w:sz="8" w:space="0" w:color="766A62"/>
            </w:tcBorders>
            <w:shd w:val="clear" w:color="auto" w:fill="auto"/>
          </w:tcPr>
          <w:p w:rsidR="00E31644" w:rsidRPr="00FB2239" w:rsidRDefault="00E31644" w:rsidP="00FB2239">
            <w:pPr>
              <w:pStyle w:val="Text"/>
              <w:rPr>
                <w:sz w:val="16"/>
                <w:szCs w:val="16"/>
              </w:rPr>
            </w:pPr>
            <w:r w:rsidRPr="00FB2239">
              <w:rPr>
                <w:sz w:val="16"/>
                <w:szCs w:val="16"/>
              </w:rPr>
              <w:t>+32 2 417 44 65</w:t>
            </w:r>
          </w:p>
        </w:tc>
        <w:tc>
          <w:tcPr>
            <w:tcW w:w="3213" w:type="dxa"/>
            <w:tcBorders>
              <w:bottom w:val="dashSmallGap" w:sz="8" w:space="0" w:color="766A62"/>
            </w:tcBorders>
            <w:shd w:val="clear" w:color="auto" w:fill="auto"/>
          </w:tcPr>
          <w:p w:rsidR="00E31644" w:rsidRPr="00FB2239" w:rsidRDefault="00E31644" w:rsidP="00FB2239">
            <w:pPr>
              <w:pStyle w:val="Text"/>
              <w:rPr>
                <w:sz w:val="16"/>
                <w:szCs w:val="16"/>
              </w:rPr>
            </w:pPr>
          </w:p>
        </w:tc>
      </w:tr>
    </w:tbl>
    <w:p w:rsidR="00E31644" w:rsidRDefault="00E31644" w:rsidP="00E31644"/>
    <w:p w:rsidR="00E31644" w:rsidRDefault="00E31644" w:rsidP="000B10FE">
      <w:pPr>
        <w:rPr>
          <w:rFonts w:cs="Arial"/>
        </w:rPr>
        <w:sectPr w:rsidR="00E31644" w:rsidSect="00E31644">
          <w:headerReference w:type="even" r:id="rId24"/>
          <w:footerReference w:type="first" r:id="rId25"/>
          <w:pgSz w:w="11907" w:h="16840" w:code="9"/>
          <w:pgMar w:top="2552" w:right="1134" w:bottom="1134" w:left="1134" w:header="567" w:footer="284" w:gutter="0"/>
          <w:cols w:space="720"/>
          <w:titlePg/>
          <w:docGrid w:linePitch="360"/>
        </w:sectPr>
      </w:pPr>
    </w:p>
    <w:p w:rsidR="000B10FE" w:rsidRDefault="000B10FE" w:rsidP="000B10FE">
      <w:pPr>
        <w:rPr>
          <w:rFonts w:cs="Arial"/>
        </w:rPr>
      </w:pPr>
    </w:p>
    <w:p w:rsidR="000B10FE" w:rsidRDefault="000B10FE" w:rsidP="000B10FE">
      <w:pPr>
        <w:rPr>
          <w:rFonts w:cs="Arial"/>
          <w:color w:val="766A62"/>
          <w:sz w:val="16"/>
          <w:szCs w:val="16"/>
          <w:lang w:eastAsia="nl-NL"/>
        </w:rPr>
      </w:pPr>
      <w:r w:rsidRPr="007F1C00">
        <w:rPr>
          <w:rFonts w:cs="Arial"/>
          <w:color w:val="766A62"/>
          <w:sz w:val="16"/>
          <w:szCs w:val="16"/>
          <w:lang w:eastAsia="nl-NL"/>
        </w:rPr>
        <w:t xml:space="preserve">The company disclosures can be consulted on our website </w:t>
      </w:r>
      <w:hyperlink r:id="rId26" w:history="1">
        <w:r>
          <w:rPr>
            <w:rFonts w:cs="Arial"/>
            <w:color w:val="766A62"/>
            <w:sz w:val="16"/>
            <w:szCs w:val="16"/>
            <w:u w:val="single"/>
            <w:lang w:eastAsia="nl-NL"/>
          </w:rPr>
          <w:t>http://www.kbcsecurities.com/disclosures</w:t>
        </w:r>
      </w:hyperlink>
      <w:r w:rsidRPr="007F1C00">
        <w:rPr>
          <w:rFonts w:cs="Arial"/>
          <w:color w:val="766A62"/>
          <w:sz w:val="16"/>
          <w:szCs w:val="16"/>
          <w:lang w:eastAsia="nl-NL"/>
        </w:rPr>
        <w:t>.</w:t>
      </w:r>
    </w:p>
    <w:p w:rsidR="000B10FE" w:rsidRPr="007A7178" w:rsidRDefault="000B10FE" w:rsidP="000B10FE">
      <w:pPr>
        <w:rPr>
          <w:rFonts w:cs="Arial"/>
        </w:rPr>
      </w:pPr>
    </w:p>
    <w:p w:rsidR="000B10FE" w:rsidRDefault="000B10FE" w:rsidP="000B10FE"/>
    <w:p w:rsidR="000B10FE" w:rsidRPr="007A7178" w:rsidRDefault="000B10FE" w:rsidP="000B10FE"/>
    <w:tbl>
      <w:tblPr>
        <w:tblW w:w="2268" w:type="dxa"/>
        <w:jc w:val="center"/>
        <w:tblLayout w:type="fixed"/>
        <w:tblCellMar>
          <w:left w:w="0" w:type="dxa"/>
          <w:right w:w="0" w:type="dxa"/>
        </w:tblCellMar>
        <w:tblLook w:val="0000" w:firstRow="0" w:lastRow="0" w:firstColumn="0" w:lastColumn="0" w:noHBand="0" w:noVBand="0"/>
      </w:tblPr>
      <w:tblGrid>
        <w:gridCol w:w="2268"/>
      </w:tblGrid>
      <w:tr w:rsidR="000B10FE" w:rsidRPr="00CB130D" w:rsidTr="002366B9">
        <w:trPr>
          <w:cantSplit/>
          <w:jc w:val="center"/>
        </w:trPr>
        <w:tc>
          <w:tcPr>
            <w:tcW w:w="5000" w:type="pct"/>
            <w:tcMar>
              <w:left w:w="0" w:type="dxa"/>
              <w:right w:w="0" w:type="dxa"/>
            </w:tcMar>
          </w:tcPr>
          <w:p w:rsidR="000B10FE" w:rsidRPr="00D5237F" w:rsidRDefault="000B10FE" w:rsidP="002366B9">
            <w:pPr>
              <w:autoSpaceDE w:val="0"/>
              <w:autoSpaceDN w:val="0"/>
              <w:adjustRightInd w:val="0"/>
              <w:rPr>
                <w:rFonts w:ascii="ArialMT" w:hAnsi="ArialMT" w:cs="ArialMT"/>
                <w:sz w:val="16"/>
                <w:szCs w:val="16"/>
                <w:lang w:val="fr-FR" w:eastAsia="nl-NL"/>
              </w:rPr>
            </w:pPr>
            <w:r w:rsidRPr="00D5237F">
              <w:rPr>
                <w:rFonts w:ascii="ArialMT" w:hAnsi="ArialMT" w:cs="ArialMT"/>
                <w:sz w:val="16"/>
                <w:szCs w:val="16"/>
                <w:lang w:val="fr-FR" w:eastAsia="nl-NL"/>
              </w:rPr>
              <w:t>KBC Securities NV</w:t>
            </w:r>
          </w:p>
          <w:p w:rsidR="000B10FE" w:rsidRPr="00D5237F" w:rsidRDefault="000B10FE" w:rsidP="002366B9">
            <w:pPr>
              <w:autoSpaceDE w:val="0"/>
              <w:autoSpaceDN w:val="0"/>
              <w:adjustRightInd w:val="0"/>
              <w:rPr>
                <w:rFonts w:ascii="ArialMT" w:hAnsi="ArialMT" w:cs="ArialMT"/>
                <w:sz w:val="16"/>
                <w:szCs w:val="16"/>
                <w:lang w:val="fr-FR" w:eastAsia="nl-NL"/>
              </w:rPr>
            </w:pPr>
            <w:proofErr w:type="spellStart"/>
            <w:r w:rsidRPr="00D5237F">
              <w:rPr>
                <w:rFonts w:ascii="ArialMT" w:hAnsi="ArialMT" w:cs="ArialMT"/>
                <w:sz w:val="16"/>
                <w:szCs w:val="16"/>
                <w:lang w:val="fr-FR" w:eastAsia="nl-NL"/>
              </w:rPr>
              <w:t>Havenlaan</w:t>
            </w:r>
            <w:proofErr w:type="spellEnd"/>
            <w:r w:rsidRPr="00D5237F">
              <w:rPr>
                <w:rFonts w:ascii="ArialMT" w:hAnsi="ArialMT" w:cs="ArialMT"/>
                <w:sz w:val="16"/>
                <w:szCs w:val="16"/>
                <w:lang w:val="fr-FR" w:eastAsia="nl-NL"/>
              </w:rPr>
              <w:t xml:space="preserve"> 12</w:t>
            </w:r>
          </w:p>
          <w:p w:rsidR="000B10FE" w:rsidRPr="00D5237F" w:rsidRDefault="000B10FE" w:rsidP="002366B9">
            <w:pPr>
              <w:autoSpaceDE w:val="0"/>
              <w:autoSpaceDN w:val="0"/>
              <w:adjustRightInd w:val="0"/>
              <w:rPr>
                <w:rFonts w:ascii="ArialMT" w:hAnsi="ArialMT" w:cs="ArialMT"/>
                <w:sz w:val="16"/>
                <w:szCs w:val="16"/>
                <w:lang w:val="fr-FR" w:eastAsia="nl-NL"/>
              </w:rPr>
            </w:pPr>
            <w:r w:rsidRPr="00D5237F">
              <w:rPr>
                <w:rFonts w:ascii="ArialMT" w:hAnsi="ArialMT" w:cs="ArialMT"/>
                <w:sz w:val="16"/>
                <w:szCs w:val="16"/>
                <w:lang w:val="fr-FR" w:eastAsia="nl-NL"/>
              </w:rPr>
              <w:t>Avenue du Port</w:t>
            </w:r>
          </w:p>
          <w:p w:rsidR="000B10FE" w:rsidRPr="00D5237F" w:rsidRDefault="000B10FE" w:rsidP="002366B9">
            <w:pPr>
              <w:autoSpaceDE w:val="0"/>
              <w:autoSpaceDN w:val="0"/>
              <w:adjustRightInd w:val="0"/>
              <w:rPr>
                <w:rFonts w:ascii="ArialMT" w:hAnsi="ArialMT" w:cs="ArialMT"/>
                <w:sz w:val="16"/>
                <w:szCs w:val="16"/>
                <w:lang w:eastAsia="nl-NL"/>
              </w:rPr>
            </w:pPr>
            <w:r w:rsidRPr="00D5237F">
              <w:rPr>
                <w:rFonts w:ascii="ArialMT" w:hAnsi="ArialMT" w:cs="ArialMT"/>
                <w:sz w:val="16"/>
                <w:szCs w:val="16"/>
                <w:lang w:eastAsia="nl-NL"/>
              </w:rPr>
              <w:t>1080 Brussels</w:t>
            </w:r>
          </w:p>
          <w:p w:rsidR="000B10FE" w:rsidRPr="00D5237F" w:rsidRDefault="000B10FE" w:rsidP="002366B9">
            <w:pPr>
              <w:autoSpaceDE w:val="0"/>
              <w:autoSpaceDN w:val="0"/>
              <w:adjustRightInd w:val="0"/>
              <w:rPr>
                <w:rFonts w:ascii="ArialMT" w:hAnsi="ArialMT" w:cs="ArialMT"/>
                <w:sz w:val="16"/>
                <w:szCs w:val="16"/>
                <w:lang w:eastAsia="nl-NL"/>
              </w:rPr>
            </w:pPr>
            <w:r w:rsidRPr="00D5237F">
              <w:rPr>
                <w:rFonts w:ascii="ArialMT" w:hAnsi="ArialMT" w:cs="ArialMT"/>
                <w:sz w:val="16"/>
                <w:szCs w:val="16"/>
                <w:lang w:eastAsia="nl-NL"/>
              </w:rPr>
              <w:t>Belgium</w:t>
            </w:r>
          </w:p>
          <w:p w:rsidR="000B10FE" w:rsidRPr="00D5237F" w:rsidRDefault="000B10FE" w:rsidP="002366B9">
            <w:pPr>
              <w:autoSpaceDE w:val="0"/>
              <w:autoSpaceDN w:val="0"/>
              <w:adjustRightInd w:val="0"/>
              <w:rPr>
                <w:rFonts w:ascii="ArialMT" w:hAnsi="ArialMT" w:cs="ArialMT"/>
                <w:sz w:val="16"/>
                <w:szCs w:val="16"/>
                <w:lang w:eastAsia="nl-NL"/>
              </w:rPr>
            </w:pPr>
            <w:r w:rsidRPr="00D5237F">
              <w:rPr>
                <w:rFonts w:ascii="ArialMT" w:hAnsi="ArialMT" w:cs="ArialMT"/>
                <w:sz w:val="16"/>
                <w:szCs w:val="16"/>
                <w:lang w:eastAsia="nl-NL"/>
              </w:rPr>
              <w:t>+32 2 417 44 04</w:t>
            </w:r>
          </w:p>
          <w:p w:rsidR="000B10FE" w:rsidRPr="00D5237F" w:rsidRDefault="000B10FE" w:rsidP="002366B9">
            <w:pPr>
              <w:autoSpaceDE w:val="0"/>
              <w:autoSpaceDN w:val="0"/>
              <w:adjustRightInd w:val="0"/>
              <w:rPr>
                <w:rFonts w:ascii="ArialMT" w:hAnsi="ArialMT" w:cs="ArialMT"/>
                <w:sz w:val="16"/>
                <w:szCs w:val="16"/>
                <w:lang w:eastAsia="nl-NL"/>
              </w:rPr>
            </w:pPr>
            <w:r w:rsidRPr="00D5237F">
              <w:rPr>
                <w:rFonts w:ascii="ArialMT" w:hAnsi="ArialMT" w:cs="ArialMT"/>
                <w:sz w:val="16"/>
                <w:szCs w:val="16"/>
                <w:lang w:eastAsia="nl-NL"/>
              </w:rPr>
              <w:t xml:space="preserve">Regulated by </w:t>
            </w:r>
            <w:r>
              <w:rPr>
                <w:rFonts w:ascii="ArialMT" w:hAnsi="ArialMT" w:cs="ArialMT"/>
                <w:sz w:val="16"/>
                <w:szCs w:val="16"/>
                <w:lang w:eastAsia="nl-NL"/>
              </w:rPr>
              <w:t>FSMA and NBB</w:t>
            </w:r>
          </w:p>
        </w:tc>
      </w:tr>
    </w:tbl>
    <w:p w:rsidR="000B10FE" w:rsidRDefault="000B10FE" w:rsidP="000B10FE"/>
    <w:p w:rsidR="000B10FE" w:rsidRPr="007A7178" w:rsidRDefault="000B10FE" w:rsidP="000B10FE"/>
    <w:tbl>
      <w:tblPr>
        <w:tblW w:w="9639" w:type="dxa"/>
        <w:jc w:val="center"/>
        <w:tblLayout w:type="fixed"/>
        <w:tblCellMar>
          <w:left w:w="0" w:type="dxa"/>
          <w:right w:w="0" w:type="dxa"/>
        </w:tblCellMar>
        <w:tblLook w:val="0000" w:firstRow="0" w:lastRow="0" w:firstColumn="0" w:lastColumn="0" w:noHBand="0" w:noVBand="0"/>
      </w:tblPr>
      <w:tblGrid>
        <w:gridCol w:w="2370"/>
        <w:gridCol w:w="2369"/>
        <w:gridCol w:w="2450"/>
        <w:gridCol w:w="2450"/>
      </w:tblGrid>
      <w:tr w:rsidR="000B10FE" w:rsidRPr="0093500F" w:rsidTr="002366B9">
        <w:trPr>
          <w:cantSplit/>
          <w:jc w:val="center"/>
        </w:trPr>
        <w:tc>
          <w:tcPr>
            <w:tcW w:w="1229" w:type="pct"/>
            <w:tcMar>
              <w:left w:w="0" w:type="dxa"/>
              <w:right w:w="0" w:type="dxa"/>
            </w:tcMar>
          </w:tcPr>
          <w:p w:rsidR="000B10FE" w:rsidRPr="00DE331F" w:rsidRDefault="000B10FE" w:rsidP="002366B9">
            <w:pPr>
              <w:autoSpaceDE w:val="0"/>
              <w:autoSpaceDN w:val="0"/>
              <w:adjustRightInd w:val="0"/>
              <w:rPr>
                <w:rFonts w:ascii="ArialMT" w:hAnsi="ArialMT" w:cs="ArialMT"/>
                <w:sz w:val="13"/>
                <w:szCs w:val="13"/>
                <w:lang w:eastAsia="nl-NL"/>
              </w:rPr>
            </w:pPr>
            <w:r w:rsidRPr="00DE331F">
              <w:rPr>
                <w:rFonts w:ascii="ArialMT" w:hAnsi="ArialMT" w:cs="ArialMT"/>
                <w:sz w:val="13"/>
                <w:szCs w:val="13"/>
                <w:lang w:eastAsia="nl-NL"/>
              </w:rPr>
              <w:t>KBC Securities USA, Inc.</w:t>
            </w:r>
          </w:p>
          <w:p w:rsidR="000B10FE" w:rsidRDefault="000B10FE" w:rsidP="002366B9">
            <w:pPr>
              <w:autoSpaceDE w:val="0"/>
              <w:autoSpaceDN w:val="0"/>
              <w:adjustRightInd w:val="0"/>
              <w:rPr>
                <w:rFonts w:ascii="ArialMT" w:hAnsi="ArialMT" w:cs="ArialMT"/>
                <w:sz w:val="13"/>
                <w:szCs w:val="13"/>
                <w:lang w:eastAsia="nl-NL"/>
              </w:rPr>
            </w:pPr>
            <w:r w:rsidRPr="00A4659C">
              <w:rPr>
                <w:rFonts w:ascii="ArialMT" w:hAnsi="ArialMT" w:cs="ArialMT"/>
                <w:sz w:val="13"/>
                <w:szCs w:val="13"/>
                <w:lang w:eastAsia="nl-NL"/>
              </w:rPr>
              <w:t>1177 Avenue of the Americas</w:t>
            </w:r>
          </w:p>
          <w:p w:rsidR="000B10FE" w:rsidRPr="00CB130D" w:rsidRDefault="000B10FE" w:rsidP="002366B9">
            <w:pPr>
              <w:autoSpaceDE w:val="0"/>
              <w:autoSpaceDN w:val="0"/>
              <w:adjustRightInd w:val="0"/>
              <w:rPr>
                <w:rFonts w:ascii="ArialMT" w:hAnsi="ArialMT" w:cs="ArialMT"/>
                <w:sz w:val="13"/>
                <w:szCs w:val="13"/>
                <w:lang w:eastAsia="nl-NL"/>
              </w:rPr>
            </w:pPr>
            <w:r w:rsidRPr="00CB130D">
              <w:rPr>
                <w:rFonts w:ascii="ArialMT" w:hAnsi="ArialMT" w:cs="ArialMT"/>
                <w:sz w:val="13"/>
                <w:szCs w:val="13"/>
                <w:lang w:eastAsia="nl-NL"/>
              </w:rPr>
              <w:t>New York</w:t>
            </w:r>
            <w:r>
              <w:rPr>
                <w:rFonts w:ascii="ArialMT" w:hAnsi="ArialMT" w:cs="ArialMT"/>
                <w:sz w:val="13"/>
                <w:szCs w:val="13"/>
                <w:lang w:eastAsia="nl-NL"/>
              </w:rPr>
              <w:t>, NY 10036</w:t>
            </w:r>
            <w:r w:rsidRPr="00CB130D">
              <w:rPr>
                <w:rFonts w:ascii="ArialMT" w:hAnsi="ArialMT" w:cs="ArialMT"/>
                <w:sz w:val="13"/>
                <w:szCs w:val="13"/>
                <w:lang w:eastAsia="nl-NL"/>
              </w:rPr>
              <w:t xml:space="preserve"> </w:t>
            </w:r>
          </w:p>
          <w:p w:rsidR="000B10FE" w:rsidRPr="00CB130D" w:rsidRDefault="000B10FE" w:rsidP="002366B9">
            <w:pPr>
              <w:autoSpaceDE w:val="0"/>
              <w:autoSpaceDN w:val="0"/>
              <w:adjustRightInd w:val="0"/>
              <w:rPr>
                <w:rFonts w:ascii="ArialMT" w:hAnsi="ArialMT" w:cs="ArialMT"/>
                <w:sz w:val="13"/>
                <w:szCs w:val="13"/>
                <w:lang w:eastAsia="nl-NL"/>
              </w:rPr>
            </w:pPr>
            <w:r w:rsidRPr="00CB130D">
              <w:rPr>
                <w:rFonts w:ascii="ArialMT" w:hAnsi="ArialMT" w:cs="ArialMT"/>
                <w:sz w:val="13"/>
                <w:szCs w:val="13"/>
                <w:lang w:eastAsia="nl-NL"/>
              </w:rPr>
              <w:t>US</w:t>
            </w:r>
          </w:p>
          <w:p w:rsidR="000B10FE" w:rsidRPr="00CB130D" w:rsidRDefault="000B10FE" w:rsidP="002366B9">
            <w:pPr>
              <w:autoSpaceDE w:val="0"/>
              <w:autoSpaceDN w:val="0"/>
              <w:adjustRightInd w:val="0"/>
              <w:rPr>
                <w:rFonts w:ascii="ArialMT" w:hAnsi="ArialMT" w:cs="ArialMT"/>
                <w:sz w:val="13"/>
                <w:szCs w:val="13"/>
                <w:lang w:eastAsia="nl-NL"/>
              </w:rPr>
            </w:pPr>
            <w:r w:rsidRPr="00CB130D">
              <w:rPr>
                <w:rFonts w:ascii="ArialMT" w:hAnsi="ArialMT" w:cs="ArialMT"/>
                <w:sz w:val="13"/>
                <w:szCs w:val="13"/>
                <w:lang w:eastAsia="nl-NL"/>
              </w:rPr>
              <w:t>+1 212 845 22</w:t>
            </w:r>
            <w:r>
              <w:rPr>
                <w:rFonts w:ascii="ArialMT" w:hAnsi="ArialMT" w:cs="ArialMT"/>
                <w:sz w:val="13"/>
                <w:szCs w:val="13"/>
                <w:lang w:eastAsia="nl-NL"/>
              </w:rPr>
              <w:t>00</w:t>
            </w:r>
          </w:p>
          <w:p w:rsidR="000B10FE" w:rsidRPr="0093500F" w:rsidRDefault="000B10FE" w:rsidP="00454CDD">
            <w:pPr>
              <w:autoSpaceDE w:val="0"/>
              <w:autoSpaceDN w:val="0"/>
              <w:adjustRightInd w:val="0"/>
              <w:rPr>
                <w:rFonts w:ascii="ArialMT" w:hAnsi="ArialMT" w:cs="ArialMT"/>
                <w:sz w:val="13"/>
                <w:szCs w:val="13"/>
                <w:lang w:eastAsia="nl-NL"/>
              </w:rPr>
            </w:pPr>
            <w:r w:rsidRPr="00CB130D">
              <w:rPr>
                <w:rFonts w:ascii="ArialMT" w:hAnsi="ArialMT" w:cs="ArialMT"/>
                <w:sz w:val="13"/>
                <w:szCs w:val="13"/>
                <w:lang w:eastAsia="nl-NL"/>
              </w:rPr>
              <w:t xml:space="preserve">Regulated by </w:t>
            </w:r>
            <w:r w:rsidR="00454CDD">
              <w:rPr>
                <w:rFonts w:ascii="ArialMT" w:hAnsi="ArialMT" w:cs="ArialMT"/>
                <w:sz w:val="13"/>
                <w:szCs w:val="13"/>
                <w:lang w:eastAsia="nl-NL"/>
              </w:rPr>
              <w:t>FINRA</w:t>
            </w:r>
          </w:p>
        </w:tc>
        <w:tc>
          <w:tcPr>
            <w:tcW w:w="1229" w:type="pct"/>
            <w:tcMar>
              <w:left w:w="0" w:type="dxa"/>
              <w:right w:w="0" w:type="dxa"/>
            </w:tcMar>
          </w:tcPr>
          <w:p w:rsidR="000B10FE" w:rsidRPr="00CB130D" w:rsidRDefault="000B10FE" w:rsidP="002366B9">
            <w:pPr>
              <w:autoSpaceDE w:val="0"/>
              <w:autoSpaceDN w:val="0"/>
              <w:adjustRightInd w:val="0"/>
              <w:rPr>
                <w:rFonts w:ascii="ArialMT" w:hAnsi="ArialMT" w:cs="ArialMT"/>
                <w:sz w:val="13"/>
                <w:szCs w:val="13"/>
                <w:lang w:eastAsia="nl-NL"/>
              </w:rPr>
            </w:pPr>
            <w:r w:rsidRPr="00CB130D">
              <w:rPr>
                <w:rFonts w:ascii="ArialMT" w:hAnsi="ArialMT" w:cs="ArialMT"/>
                <w:sz w:val="13"/>
                <w:szCs w:val="13"/>
                <w:lang w:eastAsia="nl-NL"/>
              </w:rPr>
              <w:t>KBC Securities NV Polish Branch</w:t>
            </w:r>
          </w:p>
          <w:p w:rsidR="000B10FE" w:rsidRPr="00CB130D" w:rsidRDefault="000B10FE" w:rsidP="002366B9">
            <w:pPr>
              <w:autoSpaceDE w:val="0"/>
              <w:autoSpaceDN w:val="0"/>
              <w:adjustRightInd w:val="0"/>
              <w:rPr>
                <w:rFonts w:ascii="ArialMT" w:hAnsi="ArialMT" w:cs="ArialMT"/>
                <w:sz w:val="13"/>
                <w:szCs w:val="13"/>
                <w:lang w:eastAsia="nl-NL"/>
              </w:rPr>
            </w:pPr>
            <w:proofErr w:type="spellStart"/>
            <w:proofErr w:type="gramStart"/>
            <w:r w:rsidRPr="00CB130D">
              <w:rPr>
                <w:rFonts w:ascii="ArialMT" w:hAnsi="ArialMT" w:cs="ArialMT"/>
                <w:sz w:val="13"/>
                <w:szCs w:val="13"/>
                <w:lang w:eastAsia="nl-NL"/>
              </w:rPr>
              <w:t>ul</w:t>
            </w:r>
            <w:proofErr w:type="spellEnd"/>
            <w:proofErr w:type="gramEnd"/>
            <w:r w:rsidRPr="00CB130D">
              <w:rPr>
                <w:rFonts w:ascii="ArialMT" w:hAnsi="ArialMT" w:cs="ArialMT"/>
                <w:sz w:val="13"/>
                <w:szCs w:val="13"/>
                <w:lang w:eastAsia="nl-NL"/>
              </w:rPr>
              <w:t xml:space="preserve">. </w:t>
            </w:r>
            <w:proofErr w:type="spellStart"/>
            <w:r w:rsidRPr="00CB130D">
              <w:rPr>
                <w:rFonts w:ascii="ArialMT" w:hAnsi="ArialMT" w:cs="ArialMT"/>
                <w:sz w:val="13"/>
                <w:szCs w:val="13"/>
                <w:lang w:eastAsia="nl-NL"/>
              </w:rPr>
              <w:t>Chmielna</w:t>
            </w:r>
            <w:proofErr w:type="spellEnd"/>
            <w:r w:rsidRPr="00CB130D">
              <w:rPr>
                <w:rFonts w:ascii="ArialMT" w:hAnsi="ArialMT" w:cs="ArialMT"/>
                <w:sz w:val="13"/>
                <w:szCs w:val="13"/>
                <w:lang w:eastAsia="nl-NL"/>
              </w:rPr>
              <w:t xml:space="preserve"> 85/87</w:t>
            </w:r>
          </w:p>
          <w:p w:rsidR="000B10FE" w:rsidRPr="00CB130D" w:rsidRDefault="000B10FE" w:rsidP="002366B9">
            <w:pPr>
              <w:autoSpaceDE w:val="0"/>
              <w:autoSpaceDN w:val="0"/>
              <w:adjustRightInd w:val="0"/>
              <w:rPr>
                <w:rFonts w:ascii="ArialMT" w:hAnsi="ArialMT" w:cs="ArialMT"/>
                <w:sz w:val="13"/>
                <w:szCs w:val="13"/>
                <w:lang w:eastAsia="nl-NL"/>
              </w:rPr>
            </w:pPr>
            <w:r w:rsidRPr="00CB130D">
              <w:rPr>
                <w:rFonts w:ascii="ArialMT" w:hAnsi="ArialMT" w:cs="ArialMT"/>
                <w:sz w:val="13"/>
                <w:szCs w:val="13"/>
                <w:lang w:eastAsia="nl-NL"/>
              </w:rPr>
              <w:t>00-805 Warsaw</w:t>
            </w:r>
          </w:p>
          <w:p w:rsidR="000B10FE" w:rsidRPr="00CB130D" w:rsidRDefault="000B10FE" w:rsidP="002366B9">
            <w:pPr>
              <w:autoSpaceDE w:val="0"/>
              <w:autoSpaceDN w:val="0"/>
              <w:adjustRightInd w:val="0"/>
              <w:rPr>
                <w:rFonts w:ascii="ArialMT" w:hAnsi="ArialMT" w:cs="ArialMT"/>
                <w:sz w:val="13"/>
                <w:szCs w:val="13"/>
                <w:lang w:eastAsia="nl-NL"/>
              </w:rPr>
            </w:pPr>
            <w:r w:rsidRPr="00CB130D">
              <w:rPr>
                <w:rFonts w:ascii="ArialMT" w:hAnsi="ArialMT" w:cs="ArialMT"/>
                <w:sz w:val="13"/>
                <w:szCs w:val="13"/>
                <w:lang w:eastAsia="nl-NL"/>
              </w:rPr>
              <w:t>Poland</w:t>
            </w:r>
          </w:p>
          <w:p w:rsidR="000B10FE" w:rsidRPr="00CB130D" w:rsidRDefault="000B10FE" w:rsidP="002366B9">
            <w:pPr>
              <w:autoSpaceDE w:val="0"/>
              <w:autoSpaceDN w:val="0"/>
              <w:adjustRightInd w:val="0"/>
              <w:rPr>
                <w:rFonts w:ascii="ArialMT" w:hAnsi="ArialMT" w:cs="ArialMT"/>
                <w:sz w:val="13"/>
                <w:szCs w:val="13"/>
                <w:lang w:eastAsia="nl-NL"/>
              </w:rPr>
            </w:pPr>
            <w:r w:rsidRPr="00CB130D">
              <w:rPr>
                <w:rFonts w:ascii="ArialMT" w:hAnsi="ArialMT" w:cs="ArialMT"/>
                <w:sz w:val="13"/>
                <w:szCs w:val="13"/>
                <w:lang w:eastAsia="nl-NL"/>
              </w:rPr>
              <w:t>+48 22 581 08 00</w:t>
            </w:r>
          </w:p>
          <w:p w:rsidR="000B10FE" w:rsidRPr="0093500F" w:rsidRDefault="000B10FE" w:rsidP="002366B9">
            <w:pPr>
              <w:autoSpaceDE w:val="0"/>
              <w:autoSpaceDN w:val="0"/>
              <w:adjustRightInd w:val="0"/>
              <w:rPr>
                <w:rFonts w:ascii="ArialMT" w:hAnsi="ArialMT" w:cs="ArialMT"/>
                <w:sz w:val="13"/>
                <w:szCs w:val="13"/>
                <w:lang w:eastAsia="nl-NL"/>
              </w:rPr>
            </w:pPr>
            <w:r w:rsidRPr="00CB130D">
              <w:rPr>
                <w:rFonts w:ascii="ArialMT" w:hAnsi="ArialMT" w:cs="ArialMT"/>
                <w:sz w:val="13"/>
                <w:szCs w:val="13"/>
                <w:lang w:eastAsia="nl-NL"/>
              </w:rPr>
              <w:t>Regulated by PFSA</w:t>
            </w:r>
          </w:p>
        </w:tc>
        <w:tc>
          <w:tcPr>
            <w:tcW w:w="1271" w:type="pct"/>
            <w:tcMar>
              <w:left w:w="0" w:type="dxa"/>
              <w:right w:w="0" w:type="dxa"/>
            </w:tcMar>
          </w:tcPr>
          <w:p w:rsidR="000B10FE" w:rsidRPr="0093500F" w:rsidRDefault="000B10FE" w:rsidP="002366B9">
            <w:pPr>
              <w:autoSpaceDE w:val="0"/>
              <w:autoSpaceDN w:val="0"/>
              <w:adjustRightInd w:val="0"/>
              <w:ind w:left="397"/>
              <w:rPr>
                <w:rFonts w:ascii="ArialMT" w:hAnsi="ArialMT" w:cs="ArialMT"/>
                <w:sz w:val="13"/>
                <w:szCs w:val="13"/>
                <w:lang w:eastAsia="nl-NL"/>
              </w:rPr>
            </w:pPr>
            <w:r w:rsidRPr="0093500F">
              <w:rPr>
                <w:rFonts w:ascii="ArialMT" w:hAnsi="ArialMT" w:cs="ArialMT"/>
                <w:sz w:val="13"/>
                <w:szCs w:val="13"/>
                <w:lang w:eastAsia="nl-NL"/>
              </w:rPr>
              <w:t>KBC Securities Patria</w:t>
            </w:r>
          </w:p>
          <w:p w:rsidR="000B10FE" w:rsidRPr="0093500F" w:rsidRDefault="000B10FE" w:rsidP="002366B9">
            <w:pPr>
              <w:autoSpaceDE w:val="0"/>
              <w:autoSpaceDN w:val="0"/>
              <w:adjustRightInd w:val="0"/>
              <w:ind w:left="397"/>
              <w:rPr>
                <w:rFonts w:ascii="ArialMT" w:hAnsi="ArialMT" w:cs="ArialMT"/>
                <w:sz w:val="13"/>
                <w:szCs w:val="13"/>
                <w:lang w:eastAsia="nl-NL"/>
              </w:rPr>
            </w:pPr>
            <w:proofErr w:type="spellStart"/>
            <w:r w:rsidRPr="0093500F">
              <w:rPr>
                <w:rFonts w:ascii="ArialMT" w:hAnsi="ArialMT" w:cs="ArialMT"/>
                <w:sz w:val="13"/>
                <w:szCs w:val="13"/>
                <w:lang w:eastAsia="nl-NL"/>
              </w:rPr>
              <w:t>Jungmannova</w:t>
            </w:r>
            <w:proofErr w:type="spellEnd"/>
            <w:r w:rsidRPr="0093500F">
              <w:rPr>
                <w:rFonts w:ascii="ArialMT" w:hAnsi="ArialMT" w:cs="ArialMT"/>
                <w:sz w:val="13"/>
                <w:szCs w:val="13"/>
                <w:lang w:eastAsia="nl-NL"/>
              </w:rPr>
              <w:t xml:space="preserve"> 745/24</w:t>
            </w:r>
          </w:p>
          <w:p w:rsidR="000B10FE" w:rsidRPr="0093500F" w:rsidRDefault="000B10FE" w:rsidP="002366B9">
            <w:pPr>
              <w:autoSpaceDE w:val="0"/>
              <w:autoSpaceDN w:val="0"/>
              <w:adjustRightInd w:val="0"/>
              <w:ind w:left="397"/>
              <w:rPr>
                <w:rFonts w:ascii="ArialMT" w:hAnsi="ArialMT" w:cs="ArialMT"/>
                <w:sz w:val="13"/>
                <w:szCs w:val="13"/>
                <w:lang w:eastAsia="nl-NL"/>
              </w:rPr>
            </w:pPr>
            <w:r w:rsidRPr="0093500F">
              <w:rPr>
                <w:rFonts w:ascii="ArialMT" w:hAnsi="ArialMT" w:cs="ArialMT"/>
                <w:sz w:val="13"/>
                <w:szCs w:val="13"/>
                <w:lang w:eastAsia="nl-NL"/>
              </w:rPr>
              <w:t>110 00 Prague 1</w:t>
            </w:r>
          </w:p>
          <w:p w:rsidR="000B10FE" w:rsidRPr="0093500F" w:rsidRDefault="000B10FE" w:rsidP="002366B9">
            <w:pPr>
              <w:autoSpaceDE w:val="0"/>
              <w:autoSpaceDN w:val="0"/>
              <w:adjustRightInd w:val="0"/>
              <w:ind w:left="397"/>
              <w:rPr>
                <w:rFonts w:ascii="ArialMT" w:hAnsi="ArialMT" w:cs="ArialMT"/>
                <w:sz w:val="13"/>
                <w:szCs w:val="13"/>
                <w:lang w:eastAsia="nl-NL"/>
              </w:rPr>
            </w:pPr>
            <w:r w:rsidRPr="0093500F">
              <w:rPr>
                <w:rFonts w:ascii="ArialMT" w:hAnsi="ArialMT" w:cs="ArialMT"/>
                <w:sz w:val="13"/>
                <w:szCs w:val="13"/>
                <w:lang w:eastAsia="nl-NL"/>
              </w:rPr>
              <w:t>Czech Republic</w:t>
            </w:r>
          </w:p>
          <w:p w:rsidR="000B10FE" w:rsidRPr="0093500F" w:rsidRDefault="000B10FE" w:rsidP="002366B9">
            <w:pPr>
              <w:autoSpaceDE w:val="0"/>
              <w:autoSpaceDN w:val="0"/>
              <w:adjustRightInd w:val="0"/>
              <w:ind w:left="397"/>
              <w:rPr>
                <w:rFonts w:ascii="ArialMT" w:hAnsi="ArialMT" w:cs="ArialMT"/>
                <w:sz w:val="13"/>
                <w:szCs w:val="13"/>
                <w:lang w:eastAsia="nl-NL"/>
              </w:rPr>
            </w:pPr>
            <w:r w:rsidRPr="0093500F">
              <w:rPr>
                <w:rFonts w:ascii="ArialMT" w:hAnsi="ArialMT" w:cs="ArialMT"/>
                <w:sz w:val="13"/>
                <w:szCs w:val="13"/>
                <w:lang w:eastAsia="nl-NL"/>
              </w:rPr>
              <w:t>+420 221 424 111</w:t>
            </w:r>
          </w:p>
          <w:p w:rsidR="000B10FE" w:rsidRPr="0093500F" w:rsidRDefault="000B10FE" w:rsidP="002366B9">
            <w:pPr>
              <w:autoSpaceDE w:val="0"/>
              <w:autoSpaceDN w:val="0"/>
              <w:adjustRightInd w:val="0"/>
              <w:ind w:left="397"/>
              <w:rPr>
                <w:rFonts w:ascii="ArialMT" w:hAnsi="ArialMT" w:cs="ArialMT"/>
                <w:sz w:val="13"/>
                <w:szCs w:val="13"/>
                <w:lang w:eastAsia="nl-NL"/>
              </w:rPr>
            </w:pPr>
            <w:r w:rsidRPr="0093500F">
              <w:rPr>
                <w:rFonts w:ascii="ArialMT" w:hAnsi="ArialMT" w:cs="ArialMT"/>
                <w:sz w:val="13"/>
                <w:szCs w:val="13"/>
                <w:lang w:eastAsia="nl-NL"/>
              </w:rPr>
              <w:t>Regulated by CNB</w:t>
            </w:r>
          </w:p>
        </w:tc>
        <w:tc>
          <w:tcPr>
            <w:tcW w:w="1271" w:type="pct"/>
          </w:tcPr>
          <w:p w:rsidR="000B10FE" w:rsidRPr="0093500F" w:rsidRDefault="000B10FE" w:rsidP="002366B9">
            <w:pPr>
              <w:autoSpaceDE w:val="0"/>
              <w:autoSpaceDN w:val="0"/>
              <w:adjustRightInd w:val="0"/>
              <w:ind w:left="227"/>
              <w:rPr>
                <w:rFonts w:ascii="ArialMT" w:hAnsi="ArialMT" w:cs="ArialMT"/>
                <w:sz w:val="13"/>
                <w:szCs w:val="13"/>
                <w:lang w:eastAsia="nl-NL"/>
              </w:rPr>
            </w:pPr>
            <w:r w:rsidRPr="0093500F">
              <w:rPr>
                <w:rFonts w:ascii="ArialMT" w:hAnsi="ArialMT" w:cs="ArialMT"/>
                <w:sz w:val="13"/>
                <w:szCs w:val="13"/>
                <w:lang w:eastAsia="nl-NL"/>
              </w:rPr>
              <w:t>KBC Securities NV Hungarian Branch</w:t>
            </w:r>
          </w:p>
          <w:p w:rsidR="000B10FE" w:rsidRPr="00341FB5" w:rsidRDefault="000B10FE" w:rsidP="002366B9">
            <w:pPr>
              <w:autoSpaceDE w:val="0"/>
              <w:autoSpaceDN w:val="0"/>
              <w:adjustRightInd w:val="0"/>
              <w:ind w:left="227"/>
              <w:rPr>
                <w:rFonts w:ascii="ArialMT" w:hAnsi="ArialMT" w:cs="ArialMT"/>
                <w:sz w:val="13"/>
                <w:szCs w:val="13"/>
                <w:lang w:eastAsia="nl-NL"/>
              </w:rPr>
            </w:pPr>
            <w:proofErr w:type="spellStart"/>
            <w:r w:rsidRPr="00341FB5">
              <w:rPr>
                <w:rFonts w:ascii="ArialMT" w:hAnsi="ArialMT" w:cs="ArialMT"/>
                <w:sz w:val="13"/>
                <w:szCs w:val="13"/>
                <w:lang w:eastAsia="nl-NL"/>
              </w:rPr>
              <w:t>Lechner</w:t>
            </w:r>
            <w:proofErr w:type="spellEnd"/>
            <w:r w:rsidRPr="00341FB5">
              <w:rPr>
                <w:rFonts w:ascii="ArialMT" w:hAnsi="ArialMT" w:cs="ArialMT"/>
                <w:sz w:val="13"/>
                <w:szCs w:val="13"/>
                <w:lang w:eastAsia="nl-NL"/>
              </w:rPr>
              <w:t xml:space="preserve"> </w:t>
            </w:r>
            <w:proofErr w:type="spellStart"/>
            <w:r w:rsidRPr="00341FB5">
              <w:rPr>
                <w:rFonts w:ascii="ArialMT" w:hAnsi="ArialMT" w:cs="ArialMT"/>
                <w:sz w:val="13"/>
                <w:szCs w:val="13"/>
                <w:lang w:eastAsia="nl-NL"/>
              </w:rPr>
              <w:t>Ődőn</w:t>
            </w:r>
            <w:proofErr w:type="spellEnd"/>
            <w:r w:rsidRPr="00341FB5">
              <w:rPr>
                <w:rFonts w:ascii="ArialMT" w:hAnsi="ArialMT" w:cs="ArialMT"/>
                <w:sz w:val="13"/>
                <w:szCs w:val="13"/>
                <w:lang w:eastAsia="nl-NL"/>
              </w:rPr>
              <w:t xml:space="preserve"> </w:t>
            </w:r>
            <w:proofErr w:type="spellStart"/>
            <w:r w:rsidRPr="00341FB5">
              <w:rPr>
                <w:rFonts w:ascii="ArialMT" w:hAnsi="ArialMT" w:cs="ArialMT"/>
                <w:sz w:val="13"/>
                <w:szCs w:val="13"/>
                <w:lang w:eastAsia="nl-NL"/>
              </w:rPr>
              <w:t>fasor</w:t>
            </w:r>
            <w:proofErr w:type="spellEnd"/>
            <w:r w:rsidRPr="00341FB5">
              <w:rPr>
                <w:rFonts w:ascii="ArialMT" w:hAnsi="ArialMT" w:cs="ArialMT"/>
                <w:sz w:val="13"/>
                <w:szCs w:val="13"/>
                <w:lang w:eastAsia="nl-NL"/>
              </w:rPr>
              <w:t xml:space="preserve"> 10</w:t>
            </w:r>
          </w:p>
          <w:p w:rsidR="000B10FE" w:rsidRPr="0093500F" w:rsidRDefault="000B10FE" w:rsidP="002366B9">
            <w:pPr>
              <w:autoSpaceDE w:val="0"/>
              <w:autoSpaceDN w:val="0"/>
              <w:adjustRightInd w:val="0"/>
              <w:ind w:left="227"/>
              <w:rPr>
                <w:rFonts w:ascii="ArialMT" w:hAnsi="ArialMT" w:cs="ArialMT"/>
                <w:sz w:val="13"/>
                <w:szCs w:val="13"/>
                <w:lang w:eastAsia="nl-NL"/>
              </w:rPr>
            </w:pPr>
            <w:r w:rsidRPr="0093500F">
              <w:rPr>
                <w:rFonts w:ascii="ArialMT" w:hAnsi="ArialMT" w:cs="ArialMT"/>
                <w:sz w:val="13"/>
                <w:szCs w:val="13"/>
                <w:lang w:eastAsia="nl-NL"/>
              </w:rPr>
              <w:t>10</w:t>
            </w:r>
            <w:r>
              <w:rPr>
                <w:rFonts w:ascii="ArialMT" w:hAnsi="ArialMT" w:cs="ArialMT"/>
                <w:sz w:val="13"/>
                <w:szCs w:val="13"/>
                <w:lang w:eastAsia="nl-NL"/>
              </w:rPr>
              <w:t>95</w:t>
            </w:r>
            <w:r w:rsidRPr="0093500F">
              <w:rPr>
                <w:rFonts w:ascii="ArialMT" w:hAnsi="ArialMT" w:cs="ArialMT"/>
                <w:sz w:val="13"/>
                <w:szCs w:val="13"/>
                <w:lang w:eastAsia="nl-NL"/>
              </w:rPr>
              <w:t xml:space="preserve"> Budapest</w:t>
            </w:r>
          </w:p>
          <w:p w:rsidR="000B10FE" w:rsidRPr="0093500F" w:rsidRDefault="000B10FE" w:rsidP="002366B9">
            <w:pPr>
              <w:autoSpaceDE w:val="0"/>
              <w:autoSpaceDN w:val="0"/>
              <w:adjustRightInd w:val="0"/>
              <w:ind w:left="227"/>
              <w:rPr>
                <w:rFonts w:ascii="ArialMT" w:hAnsi="ArialMT" w:cs="ArialMT"/>
                <w:sz w:val="13"/>
                <w:szCs w:val="13"/>
                <w:lang w:eastAsia="nl-NL"/>
              </w:rPr>
            </w:pPr>
            <w:r w:rsidRPr="0093500F">
              <w:rPr>
                <w:rFonts w:ascii="ArialMT" w:hAnsi="ArialMT" w:cs="ArialMT"/>
                <w:sz w:val="13"/>
                <w:szCs w:val="13"/>
                <w:lang w:eastAsia="nl-NL"/>
              </w:rPr>
              <w:t>Hungary</w:t>
            </w:r>
          </w:p>
          <w:p w:rsidR="000B10FE" w:rsidRDefault="000B10FE" w:rsidP="002366B9">
            <w:pPr>
              <w:autoSpaceDE w:val="0"/>
              <w:autoSpaceDN w:val="0"/>
              <w:adjustRightInd w:val="0"/>
              <w:ind w:left="227"/>
              <w:rPr>
                <w:rFonts w:ascii="ArialMT" w:hAnsi="ArialMT" w:cs="ArialMT"/>
                <w:sz w:val="13"/>
                <w:szCs w:val="13"/>
                <w:lang w:eastAsia="nl-NL"/>
              </w:rPr>
            </w:pPr>
            <w:r>
              <w:rPr>
                <w:rFonts w:ascii="ArialMT" w:hAnsi="ArialMT" w:cs="ArialMT"/>
                <w:sz w:val="13"/>
                <w:szCs w:val="13"/>
                <w:lang w:eastAsia="nl-NL"/>
              </w:rPr>
              <w:t>+361 483 4005</w:t>
            </w:r>
          </w:p>
          <w:p w:rsidR="000B10FE" w:rsidRPr="0093500F" w:rsidRDefault="000B10FE" w:rsidP="002366B9">
            <w:pPr>
              <w:autoSpaceDE w:val="0"/>
              <w:autoSpaceDN w:val="0"/>
              <w:adjustRightInd w:val="0"/>
              <w:ind w:left="227"/>
              <w:rPr>
                <w:rFonts w:ascii="ArialMT" w:hAnsi="ArialMT" w:cs="ArialMT"/>
                <w:sz w:val="13"/>
                <w:szCs w:val="13"/>
                <w:lang w:eastAsia="nl-NL"/>
              </w:rPr>
            </w:pPr>
            <w:r w:rsidRPr="0093500F">
              <w:rPr>
                <w:rFonts w:ascii="ArialMT" w:hAnsi="ArialMT" w:cs="ArialMT"/>
                <w:sz w:val="13"/>
                <w:szCs w:val="13"/>
                <w:lang w:eastAsia="nl-NL"/>
              </w:rPr>
              <w:t>Regulated by PSZAF</w:t>
            </w:r>
          </w:p>
        </w:tc>
      </w:tr>
    </w:tbl>
    <w:p w:rsidR="000B10FE" w:rsidRDefault="000B10FE" w:rsidP="000B10FE"/>
    <w:p w:rsidR="000B10FE" w:rsidRPr="007A7178" w:rsidRDefault="000B10FE" w:rsidP="000B10FE"/>
    <w:p w:rsidR="000B10FE" w:rsidRDefault="000B10FE" w:rsidP="000B10FE">
      <w:pPr>
        <w:pStyle w:val="Header"/>
        <w:tabs>
          <w:tab w:val="clear" w:pos="4320"/>
          <w:tab w:val="clear" w:pos="8640"/>
        </w:tabs>
        <w:rPr>
          <w:rFonts w:cs="Arial"/>
        </w:rPr>
      </w:pPr>
    </w:p>
    <w:p w:rsidR="000B10FE" w:rsidRDefault="000B10FE" w:rsidP="000B10FE">
      <w:pPr>
        <w:pStyle w:val="Header"/>
        <w:tabs>
          <w:tab w:val="clear" w:pos="4320"/>
          <w:tab w:val="clear" w:pos="8640"/>
        </w:tabs>
        <w:rPr>
          <w:rFonts w:cs="Arial"/>
        </w:rPr>
      </w:pPr>
    </w:p>
    <w:p w:rsidR="000B10FE" w:rsidRDefault="000B10FE" w:rsidP="000B10FE">
      <w:pPr>
        <w:pStyle w:val="Header"/>
        <w:tabs>
          <w:tab w:val="clear" w:pos="4320"/>
          <w:tab w:val="clear" w:pos="8640"/>
        </w:tabs>
        <w:rPr>
          <w:rFonts w:cs="Arial"/>
        </w:rPr>
      </w:pPr>
    </w:p>
    <w:p w:rsidR="000B10FE" w:rsidRDefault="000B10FE" w:rsidP="000B10FE">
      <w:pPr>
        <w:pStyle w:val="Header"/>
        <w:tabs>
          <w:tab w:val="clear" w:pos="4320"/>
          <w:tab w:val="clear" w:pos="8640"/>
        </w:tabs>
        <w:rPr>
          <w:rFonts w:cs="Arial"/>
        </w:rPr>
      </w:pPr>
    </w:p>
    <w:p w:rsidR="000B10FE" w:rsidRDefault="000B10FE" w:rsidP="000B10FE">
      <w:pPr>
        <w:pStyle w:val="Header"/>
        <w:tabs>
          <w:tab w:val="clear" w:pos="4320"/>
          <w:tab w:val="clear" w:pos="8640"/>
        </w:tabs>
        <w:rPr>
          <w:rFonts w:cs="Arial"/>
        </w:rPr>
      </w:pPr>
    </w:p>
    <w:p w:rsidR="000B10FE" w:rsidRDefault="000B10FE" w:rsidP="000B10FE">
      <w:pPr>
        <w:pStyle w:val="Header"/>
        <w:tabs>
          <w:tab w:val="clear" w:pos="4320"/>
          <w:tab w:val="clear" w:pos="8640"/>
        </w:tabs>
        <w:rPr>
          <w:rFonts w:cs="Arial"/>
        </w:rPr>
      </w:pPr>
    </w:p>
    <w:p w:rsidR="000B10FE" w:rsidRDefault="000B10FE" w:rsidP="000B10FE">
      <w:pPr>
        <w:pStyle w:val="Header"/>
        <w:tabs>
          <w:tab w:val="clear" w:pos="4320"/>
          <w:tab w:val="clear" w:pos="8640"/>
        </w:tabs>
        <w:rPr>
          <w:rFonts w:cs="Arial"/>
        </w:rPr>
      </w:pPr>
    </w:p>
    <w:p w:rsidR="000B10FE" w:rsidRPr="00E2555E" w:rsidRDefault="000B10FE" w:rsidP="000B10FE">
      <w:pPr>
        <w:pStyle w:val="Header"/>
        <w:tabs>
          <w:tab w:val="clear" w:pos="4320"/>
          <w:tab w:val="clear" w:pos="8640"/>
        </w:tabs>
        <w:rPr>
          <w:rFonts w:cs="Arial"/>
        </w:rPr>
      </w:pPr>
    </w:p>
    <w:tbl>
      <w:tblPr>
        <w:tblW w:w="0" w:type="auto"/>
        <w:tblCellMar>
          <w:left w:w="0" w:type="dxa"/>
          <w:right w:w="0" w:type="dxa"/>
        </w:tblCellMar>
        <w:tblLook w:val="0000" w:firstRow="0" w:lastRow="0" w:firstColumn="0" w:lastColumn="0" w:noHBand="0" w:noVBand="0"/>
      </w:tblPr>
      <w:tblGrid>
        <w:gridCol w:w="9639"/>
      </w:tblGrid>
      <w:tr w:rsidR="000B10FE" w:rsidRPr="00E2555E" w:rsidTr="002366B9">
        <w:tc>
          <w:tcPr>
            <w:tcW w:w="10205" w:type="dxa"/>
          </w:tcPr>
          <w:p w:rsidR="000B10FE" w:rsidRPr="00E2555E" w:rsidRDefault="000B10FE" w:rsidP="002366B9">
            <w:pPr>
              <w:autoSpaceDE w:val="0"/>
              <w:autoSpaceDN w:val="0"/>
              <w:adjustRightInd w:val="0"/>
              <w:jc w:val="both"/>
              <w:rPr>
                <w:rFonts w:cs="Arial"/>
                <w:sz w:val="13"/>
                <w:szCs w:val="13"/>
                <w:lang w:eastAsia="nl-NL"/>
              </w:rPr>
            </w:pPr>
            <w:r w:rsidRPr="00E2555E">
              <w:rPr>
                <w:rFonts w:cs="Arial"/>
                <w:sz w:val="13"/>
                <w:szCs w:val="13"/>
                <w:lang w:eastAsia="nl-NL"/>
              </w:rPr>
              <w:t>Analyst certification: The analysts identified in this report each certify, with respect to the companies or securities that the individual analyses that (</w:t>
            </w:r>
            <w:proofErr w:type="spellStart"/>
            <w:r w:rsidRPr="00E2555E">
              <w:rPr>
                <w:rFonts w:cs="Arial"/>
                <w:sz w:val="13"/>
                <w:szCs w:val="13"/>
                <w:lang w:eastAsia="nl-NL"/>
              </w:rPr>
              <w:t>i</w:t>
            </w:r>
            <w:proofErr w:type="spellEnd"/>
            <w:r w:rsidRPr="00E2555E">
              <w:rPr>
                <w:rFonts w:cs="Arial"/>
                <w:sz w:val="13"/>
                <w:szCs w:val="13"/>
                <w:lang w:eastAsia="nl-NL"/>
              </w:rPr>
              <w:t>) the views expressed in this publication reflect his or her personal views about the subject companies and securities, and (ii) he or she receives compensation that is based upon various factors, including his or her employer’s total revenues, a portion of which are generated by his or her employer’s investment banking activities, but not in exchange for expressing the specific recommendation(s) in this report.</w:t>
            </w:r>
          </w:p>
        </w:tc>
      </w:tr>
    </w:tbl>
    <w:p w:rsidR="000B10FE" w:rsidRPr="000D5819" w:rsidRDefault="000B10FE" w:rsidP="000B10FE">
      <w:pPr>
        <w:rPr>
          <w:sz w:val="16"/>
          <w:szCs w:val="16"/>
        </w:rPr>
      </w:pPr>
    </w:p>
    <w:p w:rsidR="000B10FE" w:rsidRPr="000D5819" w:rsidRDefault="000B10FE" w:rsidP="000B10FE">
      <w:pPr>
        <w:rPr>
          <w:sz w:val="16"/>
          <w:szCs w:val="16"/>
        </w:rPr>
      </w:pPr>
    </w:p>
    <w:tbl>
      <w:tblPr>
        <w:tblW w:w="9639" w:type="dxa"/>
        <w:tblLayout w:type="fixed"/>
        <w:tblCellMar>
          <w:left w:w="0" w:type="dxa"/>
          <w:right w:w="0" w:type="dxa"/>
        </w:tblCellMar>
        <w:tblLook w:val="0000" w:firstRow="0" w:lastRow="0" w:firstColumn="0" w:lastColumn="0" w:noHBand="0" w:noVBand="0"/>
      </w:tblPr>
      <w:tblGrid>
        <w:gridCol w:w="9639"/>
      </w:tblGrid>
      <w:tr w:rsidR="000B10FE" w:rsidRPr="00E2555E" w:rsidTr="002366B9">
        <w:trPr>
          <w:cantSplit/>
        </w:trPr>
        <w:tc>
          <w:tcPr>
            <w:tcW w:w="10206" w:type="dxa"/>
          </w:tcPr>
          <w:p w:rsidR="000B10FE" w:rsidRPr="00E2555E" w:rsidRDefault="000B10FE" w:rsidP="002366B9">
            <w:pPr>
              <w:autoSpaceDE w:val="0"/>
              <w:autoSpaceDN w:val="0"/>
              <w:adjustRightInd w:val="0"/>
              <w:spacing w:after="120"/>
              <w:jc w:val="both"/>
              <w:rPr>
                <w:rFonts w:cs="Arial"/>
                <w:sz w:val="13"/>
                <w:szCs w:val="13"/>
                <w:lang w:eastAsia="nl-NL"/>
              </w:rPr>
            </w:pPr>
            <w:r w:rsidRPr="00E2555E">
              <w:rPr>
                <w:rFonts w:cs="Arial"/>
                <w:sz w:val="13"/>
                <w:szCs w:val="13"/>
                <w:lang w:eastAsia="nl-NL"/>
              </w:rPr>
              <w:t xml:space="preserve">This publication has been prepared by KBC Securities NV which is regulated by </w:t>
            </w:r>
            <w:r>
              <w:rPr>
                <w:rFonts w:cs="Arial"/>
                <w:sz w:val="13"/>
                <w:szCs w:val="13"/>
                <w:lang w:eastAsia="nl-NL"/>
              </w:rPr>
              <w:t>FSMA</w:t>
            </w:r>
            <w:r w:rsidRPr="00E2555E">
              <w:rPr>
                <w:rFonts w:cs="Arial"/>
                <w:sz w:val="13"/>
                <w:szCs w:val="13"/>
                <w:lang w:eastAsia="nl-NL"/>
              </w:rPr>
              <w:t xml:space="preserve"> (</w:t>
            </w:r>
            <w:r w:rsidRPr="005A6522">
              <w:rPr>
                <w:rFonts w:cs="Arial"/>
                <w:sz w:val="13"/>
                <w:szCs w:val="13"/>
                <w:lang w:eastAsia="nl-NL"/>
              </w:rPr>
              <w:t>Financial Services and Markets Authority</w:t>
            </w:r>
            <w:r w:rsidRPr="00E2555E">
              <w:rPr>
                <w:rFonts w:cs="Arial"/>
                <w:sz w:val="13"/>
                <w:szCs w:val="13"/>
                <w:lang w:eastAsia="nl-NL"/>
              </w:rPr>
              <w:t xml:space="preserve">) </w:t>
            </w:r>
            <w:r w:rsidRPr="0039645C">
              <w:rPr>
                <w:rFonts w:ascii="ArialMT" w:hAnsi="ArialMT" w:cs="ArialMT"/>
                <w:sz w:val="13"/>
                <w:szCs w:val="13"/>
                <w:lang w:eastAsia="nl-NL"/>
              </w:rPr>
              <w:t>and by NBB (National Bank of Belgium)</w:t>
            </w:r>
            <w:r w:rsidRPr="00761E60">
              <w:rPr>
                <w:rFonts w:ascii="ArialMT" w:hAnsi="ArialMT" w:cs="ArialMT"/>
                <w:sz w:val="13"/>
                <w:szCs w:val="13"/>
                <w:lang w:eastAsia="nl-NL"/>
              </w:rPr>
              <w:t xml:space="preserve"> </w:t>
            </w:r>
            <w:r w:rsidRPr="00E2555E">
              <w:rPr>
                <w:rFonts w:cs="Arial"/>
                <w:sz w:val="13"/>
                <w:szCs w:val="13"/>
                <w:lang w:eastAsia="nl-NL"/>
              </w:rPr>
              <w:t xml:space="preserve">or one of its European subsidiaries (together "KBC Securities"). This publication is provided for informational purposes only and is not intended to be an offer, or the solicitation of any offer, to buy or sell the securities referred to herein. </w:t>
            </w:r>
            <w:r w:rsidR="00CB2504" w:rsidRPr="005E1F29">
              <w:rPr>
                <w:rFonts w:ascii="ArialMT" w:hAnsi="ArialMT" w:cs="ArialMT"/>
                <w:sz w:val="13"/>
                <w:szCs w:val="13"/>
                <w:lang w:eastAsia="nl-NL"/>
              </w:rPr>
              <w:t>This document is not produced by KBC Securities USA, Inc.</w:t>
            </w:r>
            <w:r w:rsidR="00CB2504">
              <w:rPr>
                <w:rFonts w:ascii="ArialMT" w:hAnsi="ArialMT" w:cs="ArialMT"/>
                <w:sz w:val="13"/>
                <w:szCs w:val="13"/>
                <w:lang w:eastAsia="nl-NL"/>
              </w:rPr>
              <w:t xml:space="preserve"> </w:t>
            </w:r>
            <w:r w:rsidRPr="00E2555E">
              <w:rPr>
                <w:rFonts w:cs="Arial"/>
                <w:sz w:val="13"/>
                <w:szCs w:val="13"/>
                <w:lang w:eastAsia="nl-NL"/>
              </w:rPr>
              <w:t>No part of this publication may be reproduced in any manner without the prior written consent of KBC Securities.</w:t>
            </w:r>
          </w:p>
          <w:p w:rsidR="000B10FE" w:rsidRPr="00E2555E" w:rsidRDefault="000B10FE" w:rsidP="002366B9">
            <w:pPr>
              <w:autoSpaceDE w:val="0"/>
              <w:autoSpaceDN w:val="0"/>
              <w:adjustRightInd w:val="0"/>
              <w:spacing w:after="120"/>
              <w:jc w:val="both"/>
              <w:rPr>
                <w:rFonts w:cs="Arial"/>
                <w:sz w:val="13"/>
                <w:szCs w:val="13"/>
                <w:lang w:eastAsia="nl-NL"/>
              </w:rPr>
            </w:pPr>
            <w:r w:rsidRPr="00E2555E">
              <w:rPr>
                <w:rFonts w:cs="Arial"/>
                <w:sz w:val="13"/>
                <w:szCs w:val="13"/>
                <w:lang w:eastAsia="nl-NL"/>
              </w:rPr>
              <w:t xml:space="preserve">The information herein has been obtained from, and any opinions herein are based upon, sources believed reliable, but neither KBC Securities nor its affiliates represent that it is accurate or complete, and it should not be relied upon as such. All opinions, forecasts, and estimates herein reflect our judgement on the date of this publication and are subject to change without notice. </w:t>
            </w:r>
          </w:p>
          <w:p w:rsidR="000B10FE" w:rsidRPr="00E2555E" w:rsidRDefault="000B10FE" w:rsidP="002366B9">
            <w:pPr>
              <w:autoSpaceDE w:val="0"/>
              <w:autoSpaceDN w:val="0"/>
              <w:adjustRightInd w:val="0"/>
              <w:spacing w:after="120"/>
              <w:jc w:val="both"/>
              <w:rPr>
                <w:rFonts w:cs="Arial"/>
                <w:sz w:val="13"/>
                <w:szCs w:val="13"/>
                <w:lang w:eastAsia="nl-NL"/>
              </w:rPr>
            </w:pPr>
            <w:r w:rsidRPr="00E2555E">
              <w:rPr>
                <w:rFonts w:cs="Arial"/>
                <w:sz w:val="13"/>
                <w:szCs w:val="13"/>
                <w:lang w:eastAsia="nl-NL"/>
              </w:rPr>
              <w:t>From time to time, KBC Securities, its principals or employees may have a position in the securities referred to herein or hold options, warrants or rights with respect thereto or other securities of such issuers and may make a market or otherwise act as principal in transactions in any of these securities.  Any such persons may have purchased securities referred to herein for their own account in advance of the release of this publication. KBC Securities and principals or employees of KBC Securities may from time to time provide investment banking or consulting services to, or serve as a director of a company being reported on herein.</w:t>
            </w:r>
          </w:p>
          <w:p w:rsidR="000B10FE" w:rsidRPr="00E2555E" w:rsidRDefault="000B10FE" w:rsidP="002366B9">
            <w:pPr>
              <w:autoSpaceDE w:val="0"/>
              <w:autoSpaceDN w:val="0"/>
              <w:adjustRightInd w:val="0"/>
              <w:spacing w:after="120"/>
              <w:jc w:val="both"/>
              <w:rPr>
                <w:rFonts w:cs="Arial"/>
                <w:sz w:val="13"/>
                <w:szCs w:val="13"/>
                <w:lang w:eastAsia="nl-NL"/>
              </w:rPr>
            </w:pPr>
            <w:r w:rsidRPr="00E2555E">
              <w:rPr>
                <w:rFonts w:cs="Arial"/>
                <w:sz w:val="13"/>
                <w:szCs w:val="13"/>
                <w:lang w:eastAsia="nl-NL"/>
              </w:rPr>
              <w:t xml:space="preserve">This publication is provided solely for the information and use of professional investors who are expected to make their own investment decisions without undue reliance on this publication. Investors must make their own determination of the appropriateness of an investment in any securities referred to herein </w:t>
            </w:r>
            <w:proofErr w:type="gramStart"/>
            <w:r w:rsidRPr="00E2555E">
              <w:rPr>
                <w:rFonts w:cs="Arial"/>
                <w:sz w:val="13"/>
                <w:szCs w:val="13"/>
                <w:lang w:eastAsia="nl-NL"/>
              </w:rPr>
              <w:t>based</w:t>
            </w:r>
            <w:proofErr w:type="gramEnd"/>
            <w:r w:rsidRPr="00E2555E">
              <w:rPr>
                <w:rFonts w:cs="Arial"/>
                <w:sz w:val="13"/>
                <w:szCs w:val="13"/>
                <w:lang w:eastAsia="nl-NL"/>
              </w:rPr>
              <w:t xml:space="preserve"> on the merits and risks involved, their own investment strategy and their legal, fiscal and financial position. Past performance is no guarantee for future results. By virtue of this publication, none of KBC Securities or any of its employees shall be responsible for any investment decision.</w:t>
            </w:r>
          </w:p>
          <w:p w:rsidR="000B10FE" w:rsidRPr="00E2555E" w:rsidRDefault="000B10FE" w:rsidP="002366B9">
            <w:pPr>
              <w:autoSpaceDE w:val="0"/>
              <w:autoSpaceDN w:val="0"/>
              <w:adjustRightInd w:val="0"/>
              <w:spacing w:after="120"/>
              <w:jc w:val="both"/>
              <w:rPr>
                <w:rFonts w:cs="Arial"/>
                <w:sz w:val="13"/>
                <w:szCs w:val="13"/>
                <w:lang w:eastAsia="nl-NL"/>
              </w:rPr>
            </w:pPr>
            <w:r w:rsidRPr="00E2555E">
              <w:rPr>
                <w:rFonts w:cs="Arial"/>
                <w:sz w:val="13"/>
                <w:szCs w:val="13"/>
                <w:lang w:eastAsia="nl-NL"/>
              </w:rPr>
              <w:t>KBC Securities has implemented certain in-house procedures known as Chinese walls that aim to prevent the inappropriate dissemination of inside information. E.g. a Chinese wall surrounds the corporate finance department within KBC Securities. Further measures have been taken with regard to the separation of certain activities that could lead to conflicts of interest with other activities within KBC Securities.</w:t>
            </w:r>
          </w:p>
          <w:p w:rsidR="000B10FE" w:rsidRPr="00761E60" w:rsidRDefault="000B10FE" w:rsidP="002366B9">
            <w:pPr>
              <w:autoSpaceDE w:val="0"/>
              <w:autoSpaceDN w:val="0"/>
              <w:adjustRightInd w:val="0"/>
              <w:spacing w:after="120"/>
              <w:jc w:val="both"/>
              <w:rPr>
                <w:rFonts w:ascii="ArialMT" w:hAnsi="ArialMT" w:cs="ArialMT"/>
                <w:sz w:val="13"/>
                <w:szCs w:val="13"/>
                <w:lang w:eastAsia="nl-NL"/>
              </w:rPr>
            </w:pPr>
            <w:r w:rsidRPr="00761E60">
              <w:rPr>
                <w:rFonts w:ascii="ArialMT" w:hAnsi="ArialMT" w:cs="ArialMT"/>
                <w:sz w:val="13"/>
                <w:szCs w:val="13"/>
                <w:lang w:eastAsia="nl-NL"/>
              </w:rPr>
              <w:t>In the United States this publicatio</w:t>
            </w:r>
            <w:r>
              <w:rPr>
                <w:rFonts w:ascii="ArialMT" w:hAnsi="ArialMT" w:cs="ArialMT"/>
                <w:sz w:val="13"/>
                <w:szCs w:val="13"/>
                <w:lang w:eastAsia="nl-NL"/>
              </w:rPr>
              <w:t>n is being distributed to U.S. P</w:t>
            </w:r>
            <w:r w:rsidRPr="00761E60">
              <w:rPr>
                <w:rFonts w:ascii="ArialMT" w:hAnsi="ArialMT" w:cs="ArialMT"/>
                <w:sz w:val="13"/>
                <w:szCs w:val="13"/>
                <w:lang w:eastAsia="nl-NL"/>
              </w:rPr>
              <w:t xml:space="preserve">ersons by KBC </w:t>
            </w:r>
            <w:r>
              <w:rPr>
                <w:rFonts w:ascii="ArialMT" w:hAnsi="ArialMT" w:cs="ArialMT"/>
                <w:sz w:val="13"/>
                <w:szCs w:val="13"/>
                <w:lang w:eastAsia="nl-NL"/>
              </w:rPr>
              <w:t>Securities</w:t>
            </w:r>
            <w:r w:rsidRPr="00761E60">
              <w:rPr>
                <w:rFonts w:ascii="ArialMT" w:hAnsi="ArialMT" w:cs="ArialMT"/>
                <w:sz w:val="13"/>
                <w:szCs w:val="13"/>
                <w:lang w:eastAsia="nl-NL"/>
              </w:rPr>
              <w:t xml:space="preserve"> USA, Inc., which accepts responsibility for its contents. Orders in any securities referred to herein by any U.S. investor should be placed with KBC </w:t>
            </w:r>
            <w:r>
              <w:rPr>
                <w:rFonts w:ascii="ArialMT" w:hAnsi="ArialMT" w:cs="ArialMT"/>
                <w:sz w:val="13"/>
                <w:szCs w:val="13"/>
                <w:lang w:eastAsia="nl-NL"/>
              </w:rPr>
              <w:t>Securities</w:t>
            </w:r>
            <w:r w:rsidRPr="00761E60">
              <w:rPr>
                <w:rFonts w:ascii="ArialMT" w:hAnsi="ArialMT" w:cs="ArialMT"/>
                <w:sz w:val="13"/>
                <w:szCs w:val="13"/>
                <w:lang w:eastAsia="nl-NL"/>
              </w:rPr>
              <w:t xml:space="preserve"> USA, Inc. and not with any of its foreign affiliates. KBC </w:t>
            </w:r>
            <w:r>
              <w:rPr>
                <w:rFonts w:ascii="ArialMT" w:hAnsi="ArialMT" w:cs="ArialMT"/>
                <w:sz w:val="13"/>
                <w:szCs w:val="13"/>
                <w:lang w:eastAsia="nl-NL"/>
              </w:rPr>
              <w:t>Securities</w:t>
            </w:r>
            <w:r w:rsidRPr="00761E60">
              <w:rPr>
                <w:rFonts w:ascii="ArialMT" w:hAnsi="ArialMT" w:cs="ArialMT"/>
                <w:sz w:val="13"/>
                <w:szCs w:val="13"/>
                <w:lang w:eastAsia="nl-NL"/>
              </w:rPr>
              <w:t xml:space="preserve"> USA</w:t>
            </w:r>
            <w:r>
              <w:rPr>
                <w:rFonts w:ascii="ArialMT" w:hAnsi="ArialMT" w:cs="ArialMT"/>
                <w:sz w:val="13"/>
                <w:szCs w:val="13"/>
                <w:lang w:eastAsia="nl-NL"/>
              </w:rPr>
              <w:t>,</w:t>
            </w:r>
            <w:r w:rsidRPr="00761E60">
              <w:rPr>
                <w:rFonts w:ascii="ArialMT" w:hAnsi="ArialMT" w:cs="ArialMT"/>
                <w:sz w:val="13"/>
                <w:szCs w:val="13"/>
                <w:lang w:eastAsia="nl-NL"/>
              </w:rPr>
              <w:t xml:space="preserve"> Inc. and/or its affiliates may own 1% or more of the subject company's common equity securities. KBC</w:t>
            </w:r>
            <w:r>
              <w:rPr>
                <w:rFonts w:ascii="ArialMT" w:hAnsi="ArialMT" w:cs="ArialMT"/>
                <w:sz w:val="13"/>
                <w:szCs w:val="13"/>
                <w:lang w:eastAsia="nl-NL"/>
              </w:rPr>
              <w:t xml:space="preserve"> Securities</w:t>
            </w:r>
            <w:r w:rsidRPr="00761E60">
              <w:rPr>
                <w:rFonts w:ascii="ArialMT" w:hAnsi="ArialMT" w:cs="ArialMT"/>
                <w:sz w:val="13"/>
                <w:szCs w:val="13"/>
                <w:lang w:eastAsia="nl-NL"/>
              </w:rPr>
              <w:t xml:space="preserve"> USA</w:t>
            </w:r>
            <w:r>
              <w:rPr>
                <w:rFonts w:ascii="ArialMT" w:hAnsi="ArialMT" w:cs="ArialMT"/>
                <w:sz w:val="13"/>
                <w:szCs w:val="13"/>
                <w:lang w:eastAsia="nl-NL"/>
              </w:rPr>
              <w:t>,</w:t>
            </w:r>
            <w:r w:rsidRPr="00761E60">
              <w:rPr>
                <w:rFonts w:ascii="ArialMT" w:hAnsi="ArialMT" w:cs="ArialMT"/>
                <w:sz w:val="13"/>
                <w:szCs w:val="13"/>
                <w:lang w:eastAsia="nl-NL"/>
              </w:rPr>
              <w:t xml:space="preserve"> Inc. or its affiliates may have managed or co-managed a public offering of the subject company's securities in the past 12 months, or received compensation for investment banking services from the subject company in the past 12 months, or expect to receive or intend to seek compensation for investment banking services from the subject company in the next three months. Any U.S. recipient of this report that is not a bank or broker-dealer and that wishes to receive further information regarding, or to effect any transaction in, any security discussed in this report, should co</w:t>
            </w:r>
            <w:r>
              <w:rPr>
                <w:rFonts w:ascii="ArialMT" w:hAnsi="ArialMT" w:cs="ArialMT"/>
                <w:sz w:val="13"/>
                <w:szCs w:val="13"/>
                <w:lang w:eastAsia="nl-NL"/>
              </w:rPr>
              <w:t>ntact and place orders with KBC Securities</w:t>
            </w:r>
            <w:r w:rsidRPr="00761E60">
              <w:rPr>
                <w:rFonts w:ascii="ArialMT" w:hAnsi="ArialMT" w:cs="ArialMT"/>
                <w:sz w:val="13"/>
                <w:szCs w:val="13"/>
                <w:lang w:eastAsia="nl-NL"/>
              </w:rPr>
              <w:t xml:space="preserve"> USA</w:t>
            </w:r>
            <w:r>
              <w:rPr>
                <w:rFonts w:ascii="ArialMT" w:hAnsi="ArialMT" w:cs="ArialMT"/>
                <w:sz w:val="13"/>
                <w:szCs w:val="13"/>
                <w:lang w:eastAsia="nl-NL"/>
              </w:rPr>
              <w:t>,</w:t>
            </w:r>
            <w:r w:rsidRPr="00761E60">
              <w:rPr>
                <w:rFonts w:ascii="ArialMT" w:hAnsi="ArialMT" w:cs="ArialMT"/>
                <w:sz w:val="13"/>
                <w:szCs w:val="13"/>
                <w:lang w:eastAsia="nl-NL"/>
              </w:rPr>
              <w:t xml:space="preserve"> Inc. This report is being distributed in the United States solely to investors that are (</w:t>
            </w:r>
            <w:proofErr w:type="spellStart"/>
            <w:r w:rsidRPr="00761E60">
              <w:rPr>
                <w:rFonts w:ascii="ArialMT" w:hAnsi="ArialMT" w:cs="ArialMT"/>
                <w:sz w:val="13"/>
                <w:szCs w:val="13"/>
                <w:lang w:eastAsia="nl-NL"/>
              </w:rPr>
              <w:t>i</w:t>
            </w:r>
            <w:proofErr w:type="spellEnd"/>
            <w:r w:rsidRPr="00761E60">
              <w:rPr>
                <w:rFonts w:ascii="ArialMT" w:hAnsi="ArialMT" w:cs="ArialMT"/>
                <w:sz w:val="13"/>
                <w:szCs w:val="13"/>
                <w:lang w:eastAsia="nl-NL"/>
              </w:rPr>
              <w:t xml:space="preserve">) "major U.S. institutional investors" (within the meaning of SEC Rule 15a-6 and applicable interpretations relating thereto) that are also "qualified institutional buyers" (QIBs) within the meaning of SEC Rule 144A promulgated by the United States Securities and Exchange Commission pursuant to the Securities Act of 1933, as amended (the "Securities Act") or (ii) investors that are not "U.S. Persons" within the meaning of Regulation S under the Securities Act and applicable interpretations relating thereto. The offer or sale of certain securities in the United States may be made to QIBs in reliance on Rule 144A. Such securities may include those offered and sold outside the United States in transactions intended to be exempt from registration pursuant to Regulation S. This report does not constitute in any way an offer or a solicitation of interest in any securities to be offered or sold pursuant to Regulation S. Any such securities may not be offered or sold to U.S. Persons at this time and may be resold to U.S. Persons only if such securities are registered under the Securities Act of 1933, as amended, and applicable state securities laws, or pursuant to an exemption from registration. The products sold by KBC </w:t>
            </w:r>
            <w:r>
              <w:rPr>
                <w:rFonts w:ascii="ArialMT" w:hAnsi="ArialMT" w:cs="ArialMT"/>
                <w:sz w:val="13"/>
                <w:szCs w:val="13"/>
                <w:lang w:eastAsia="nl-NL"/>
              </w:rPr>
              <w:t>Securities</w:t>
            </w:r>
            <w:r w:rsidRPr="00761E60">
              <w:rPr>
                <w:rFonts w:ascii="ArialMT" w:hAnsi="ArialMT" w:cs="ArialMT"/>
                <w:sz w:val="13"/>
                <w:szCs w:val="13"/>
                <w:lang w:eastAsia="nl-NL"/>
              </w:rPr>
              <w:t xml:space="preserve"> USA, </w:t>
            </w:r>
            <w:proofErr w:type="spellStart"/>
            <w:r w:rsidRPr="00761E60">
              <w:rPr>
                <w:rFonts w:ascii="ArialMT" w:hAnsi="ArialMT" w:cs="ArialMT"/>
                <w:sz w:val="13"/>
                <w:szCs w:val="13"/>
                <w:lang w:eastAsia="nl-NL"/>
              </w:rPr>
              <w:t>Inc</w:t>
            </w:r>
            <w:proofErr w:type="spellEnd"/>
            <w:r w:rsidRPr="00761E60">
              <w:rPr>
                <w:rFonts w:ascii="ArialMT" w:hAnsi="ArialMT" w:cs="ArialMT"/>
                <w:sz w:val="13"/>
                <w:szCs w:val="13"/>
                <w:lang w:eastAsia="nl-NL"/>
              </w:rPr>
              <w:t xml:space="preserve"> or any affiliate thereof, including KBC Securities, are not insured by the FDIC, are not obligations of or guaranteed by KBC Bank NV or its affiliates, and are subject to investment risks, including possible loss of the entire amount invested.</w:t>
            </w:r>
          </w:p>
          <w:p w:rsidR="000B10FE" w:rsidRPr="00E2555E" w:rsidRDefault="000B10FE" w:rsidP="002366B9">
            <w:pPr>
              <w:autoSpaceDE w:val="0"/>
              <w:autoSpaceDN w:val="0"/>
              <w:adjustRightInd w:val="0"/>
              <w:spacing w:after="120"/>
              <w:jc w:val="both"/>
              <w:rPr>
                <w:rFonts w:cs="Arial"/>
                <w:sz w:val="13"/>
                <w:szCs w:val="13"/>
                <w:lang w:eastAsia="nl-NL"/>
              </w:rPr>
            </w:pPr>
            <w:r w:rsidRPr="00E2555E">
              <w:rPr>
                <w:rFonts w:cs="Arial"/>
                <w:sz w:val="13"/>
                <w:szCs w:val="13"/>
                <w:lang w:eastAsia="nl-NL"/>
              </w:rPr>
              <w:t>This publication is for distribution in or from the United Kingdom only to persons who are authorised persons or exempted persons within the meaning of the Financial Services and Markets Act 2000 of the United Kingdom or any order made thereunder or to investment professionals as defined in Section 19 of the Financial Services and Markets Act 2000 (Financial Promotion) Order 2005 and is not intended to be distributed or passed on, directly or indirectly, to any other class of persons.</w:t>
            </w:r>
          </w:p>
          <w:p w:rsidR="000B10FE" w:rsidRPr="00E2555E" w:rsidRDefault="000B10FE" w:rsidP="002366B9">
            <w:pPr>
              <w:autoSpaceDE w:val="0"/>
              <w:autoSpaceDN w:val="0"/>
              <w:adjustRightInd w:val="0"/>
              <w:spacing w:after="120"/>
              <w:jc w:val="both"/>
              <w:rPr>
                <w:rFonts w:cs="Arial"/>
                <w:sz w:val="13"/>
                <w:szCs w:val="13"/>
                <w:lang w:eastAsia="nl-NL"/>
              </w:rPr>
            </w:pPr>
            <w:r w:rsidRPr="00E2555E">
              <w:rPr>
                <w:rFonts w:cs="Arial"/>
                <w:sz w:val="13"/>
                <w:szCs w:val="13"/>
                <w:lang w:eastAsia="nl-NL"/>
              </w:rPr>
              <w:t>This publication is for distribution in Canada only to pension funds, mutual funds, banks, asset managers and insurance companies.</w:t>
            </w:r>
          </w:p>
          <w:p w:rsidR="000B10FE" w:rsidRPr="00E2555E" w:rsidRDefault="000B10FE" w:rsidP="002366B9">
            <w:pPr>
              <w:autoSpaceDE w:val="0"/>
              <w:autoSpaceDN w:val="0"/>
              <w:adjustRightInd w:val="0"/>
              <w:jc w:val="both"/>
              <w:rPr>
                <w:rFonts w:cs="Arial"/>
                <w:sz w:val="13"/>
                <w:szCs w:val="13"/>
                <w:lang w:eastAsia="nl-NL"/>
              </w:rPr>
            </w:pPr>
            <w:r w:rsidRPr="00E2555E">
              <w:rPr>
                <w:rFonts w:cs="Arial"/>
                <w:sz w:val="13"/>
                <w:szCs w:val="13"/>
                <w:lang w:eastAsia="nl-NL"/>
              </w:rPr>
              <w:t>The distribution of this publication in other jurisdictions may be restricted by law, and persons into whose possession this publication comes should inform themselves about, and observe, any such restrictions. In particular this publication may not be sent into or distributed, directly or indirectly, in Japan or to any resident thereof.</w:t>
            </w:r>
          </w:p>
        </w:tc>
      </w:tr>
    </w:tbl>
    <w:p w:rsidR="000B10FE" w:rsidRPr="00E2555E" w:rsidRDefault="000B10FE" w:rsidP="000B10FE">
      <w:pPr>
        <w:rPr>
          <w:rFonts w:cs="Arial"/>
          <w:sz w:val="2"/>
        </w:rPr>
      </w:pPr>
    </w:p>
    <w:p w:rsidR="000B10FE" w:rsidRPr="00AB7A17" w:rsidRDefault="000B10FE" w:rsidP="000B10FE">
      <w:pPr>
        <w:rPr>
          <w:sz w:val="10"/>
          <w:szCs w:val="10"/>
        </w:rPr>
      </w:pPr>
    </w:p>
    <w:sectPr w:rsidR="000B10FE" w:rsidRPr="00AB7A17" w:rsidSect="002366B9">
      <w:footerReference w:type="first" r:id="rId27"/>
      <w:pgSz w:w="11907" w:h="16840" w:code="9"/>
      <w:pgMar w:top="1701" w:right="1134" w:bottom="851" w:left="1134" w:header="567" w:footer="28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312D" w:rsidRDefault="0025312D">
      <w:r>
        <w:separator/>
      </w:r>
    </w:p>
  </w:endnote>
  <w:endnote w:type="continuationSeparator" w:id="0">
    <w:p w:rsidR="0025312D" w:rsidRDefault="002531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39" w:type="dxa"/>
      <w:jc w:val="center"/>
      <w:tblInd w:w="-8" w:type="dxa"/>
      <w:tblBorders>
        <w:top w:val="dashSmallGap" w:sz="8" w:space="0" w:color="0088CE"/>
      </w:tblBorders>
      <w:tblLayout w:type="fixed"/>
      <w:tblCellMar>
        <w:left w:w="0" w:type="dxa"/>
        <w:right w:w="0" w:type="dxa"/>
      </w:tblCellMar>
      <w:tblLook w:val="0000" w:firstRow="0" w:lastRow="0" w:firstColumn="0" w:lastColumn="0" w:noHBand="0" w:noVBand="0"/>
    </w:tblPr>
    <w:tblGrid>
      <w:gridCol w:w="1700"/>
      <w:gridCol w:w="7939"/>
    </w:tblGrid>
    <w:tr w:rsidR="00E42207" w:rsidRPr="000C4F6C" w:rsidTr="00E564A2">
      <w:trPr>
        <w:cantSplit/>
        <w:jc w:val="center"/>
      </w:trPr>
      <w:tc>
        <w:tcPr>
          <w:tcW w:w="882" w:type="pct"/>
          <w:tcMar>
            <w:left w:w="0" w:type="dxa"/>
            <w:right w:w="0" w:type="dxa"/>
          </w:tcMar>
          <w:vAlign w:val="bottom"/>
        </w:tcPr>
        <w:p w:rsidR="00E42207" w:rsidRPr="000C4F6C" w:rsidRDefault="00E42207" w:rsidP="00E564A2">
          <w:pPr>
            <w:autoSpaceDE w:val="0"/>
            <w:autoSpaceDN w:val="0"/>
            <w:adjustRightInd w:val="0"/>
            <w:spacing w:line="260" w:lineRule="exact"/>
            <w:rPr>
              <w:rFonts w:ascii="ArialMT" w:hAnsi="ArialMT" w:cs="ArialMT"/>
              <w:b/>
              <w:color w:val="0088CE"/>
              <w:sz w:val="16"/>
              <w:szCs w:val="16"/>
              <w:lang w:eastAsia="nl-NL"/>
            </w:rPr>
          </w:pPr>
        </w:p>
      </w:tc>
      <w:tc>
        <w:tcPr>
          <w:tcW w:w="4118" w:type="pct"/>
          <w:vAlign w:val="bottom"/>
        </w:tcPr>
        <w:p w:rsidR="00E42207" w:rsidRPr="001332DF" w:rsidRDefault="00E42207" w:rsidP="00E564A2">
          <w:pPr>
            <w:autoSpaceDE w:val="0"/>
            <w:autoSpaceDN w:val="0"/>
            <w:adjustRightInd w:val="0"/>
            <w:spacing w:line="260" w:lineRule="exact"/>
            <w:jc w:val="right"/>
            <w:rPr>
              <w:rFonts w:ascii="ArialMT" w:hAnsi="ArialMT" w:cs="ArialMT"/>
              <w:color w:val="766A62"/>
              <w:sz w:val="16"/>
              <w:szCs w:val="16"/>
              <w:lang w:eastAsia="nl-NL"/>
            </w:rPr>
          </w:pPr>
          <w:r w:rsidRPr="001332DF">
            <w:rPr>
              <w:rStyle w:val="PageNumber"/>
              <w:color w:val="766A62"/>
            </w:rPr>
            <w:fldChar w:fldCharType="begin"/>
          </w:r>
          <w:r w:rsidRPr="001332DF">
            <w:rPr>
              <w:rStyle w:val="PageNumber"/>
              <w:color w:val="766A62"/>
            </w:rPr>
            <w:instrText xml:space="preserve"> PAGE </w:instrText>
          </w:r>
          <w:r w:rsidRPr="001332DF">
            <w:rPr>
              <w:rStyle w:val="PageNumber"/>
              <w:color w:val="766A62"/>
            </w:rPr>
            <w:fldChar w:fldCharType="separate"/>
          </w:r>
          <w:r>
            <w:rPr>
              <w:rStyle w:val="PageNumber"/>
              <w:noProof/>
              <w:color w:val="766A62"/>
            </w:rPr>
            <w:t>2</w:t>
          </w:r>
          <w:r w:rsidRPr="001332DF">
            <w:rPr>
              <w:rStyle w:val="PageNumber"/>
              <w:color w:val="766A62"/>
            </w:rPr>
            <w:fldChar w:fldCharType="end"/>
          </w:r>
        </w:p>
      </w:tc>
    </w:tr>
  </w:tbl>
  <w:p w:rsidR="00E42207" w:rsidRDefault="00E42207" w:rsidP="00E564A2">
    <w:pPr>
      <w:pStyle w:val="Footer"/>
      <w:rPr>
        <w:rFonts w:cs="Arial"/>
        <w:lang w:val="en-U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2504" w:rsidRPr="006D579C" w:rsidRDefault="00CB2504" w:rsidP="00CB2504">
    <w:pPr>
      <w:spacing w:after="60"/>
      <w:jc w:val="center"/>
      <w:rPr>
        <w:b/>
        <w:sz w:val="16"/>
        <w:szCs w:val="16"/>
      </w:rPr>
    </w:pPr>
    <w:r w:rsidRPr="006D579C">
      <w:rPr>
        <w:b/>
        <w:sz w:val="16"/>
        <w:szCs w:val="16"/>
      </w:rPr>
      <w:t>THIS DOCUMENT IS NOT PRODUCED BY KBC SECURITIES USA, INC.</w:t>
    </w:r>
  </w:p>
  <w:tbl>
    <w:tblPr>
      <w:tblW w:w="9639" w:type="dxa"/>
      <w:jc w:val="center"/>
      <w:tblInd w:w="-8" w:type="dxa"/>
      <w:tblBorders>
        <w:top w:val="dashSmallGap" w:sz="8" w:space="0" w:color="0088CE"/>
      </w:tblBorders>
      <w:tblLayout w:type="fixed"/>
      <w:tblCellMar>
        <w:left w:w="0" w:type="dxa"/>
        <w:right w:w="0" w:type="dxa"/>
      </w:tblCellMar>
      <w:tblLook w:val="0000" w:firstRow="0" w:lastRow="0" w:firstColumn="0" w:lastColumn="0" w:noHBand="0" w:noVBand="0"/>
    </w:tblPr>
    <w:tblGrid>
      <w:gridCol w:w="1700"/>
      <w:gridCol w:w="7939"/>
    </w:tblGrid>
    <w:tr w:rsidR="00E42207" w:rsidRPr="000C4F6C" w:rsidTr="00E564A2">
      <w:trPr>
        <w:cantSplit/>
        <w:jc w:val="center"/>
      </w:trPr>
      <w:tc>
        <w:tcPr>
          <w:tcW w:w="882" w:type="pct"/>
          <w:tcMar>
            <w:left w:w="0" w:type="dxa"/>
            <w:right w:w="0" w:type="dxa"/>
          </w:tcMar>
          <w:vAlign w:val="bottom"/>
        </w:tcPr>
        <w:p w:rsidR="00E42207" w:rsidRPr="000C4F6C" w:rsidRDefault="0025312D" w:rsidP="00E564A2">
          <w:pPr>
            <w:autoSpaceDE w:val="0"/>
            <w:autoSpaceDN w:val="0"/>
            <w:adjustRightInd w:val="0"/>
            <w:spacing w:line="260" w:lineRule="exact"/>
            <w:rPr>
              <w:rFonts w:ascii="ArialMT" w:hAnsi="ArialMT" w:cs="ArialMT"/>
              <w:b/>
              <w:color w:val="0088CE"/>
              <w:sz w:val="16"/>
              <w:szCs w:val="16"/>
              <w:lang w:eastAsia="nl-NL"/>
            </w:rPr>
          </w:pPr>
          <w:r>
            <w:rPr>
              <w:rFonts w:ascii="ArialMT" w:hAnsi="ArialMT" w:cs="ArialMT"/>
              <w:b/>
              <w:noProof/>
              <w:color w:val="0088CE"/>
              <w:sz w:val="16"/>
              <w:szCs w:val="16"/>
              <w:lang w:eastAsia="en-GB"/>
            </w:rPr>
            <mc:AlternateContent>
              <mc:Choice Requires="wps">
                <w:drawing>
                  <wp:anchor distT="0" distB="0" distL="114300" distR="114300" simplePos="0" relativeHeight="251656704" behindDoc="0" locked="1" layoutInCell="1" allowOverlap="0" wp14:anchorId="350D1C5A" wp14:editId="53057067">
                    <wp:simplePos x="0" y="0"/>
                    <wp:positionH relativeFrom="page">
                      <wp:posOffset>540385</wp:posOffset>
                    </wp:positionH>
                    <wp:positionV relativeFrom="page">
                      <wp:posOffset>9746615</wp:posOffset>
                    </wp:positionV>
                    <wp:extent cx="6480175" cy="36195"/>
                    <wp:effectExtent l="0" t="254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80175" cy="36195"/>
                            </a:xfrm>
                            <a:prstGeom prst="rect">
                              <a:avLst/>
                            </a:prstGeom>
                            <a:gradFill rotWithShape="0">
                              <a:gsLst>
                                <a:gs pos="0">
                                  <a:srgbClr val="00B2EB"/>
                                </a:gs>
                                <a:gs pos="100000">
                                  <a:srgbClr val="F0FFFF"/>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42.55pt;margin-top:767.45pt;width:510.25pt;height:2.8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" o:allowoverlap="f" fillcolor="#00b2eb" stroked="f">
                    <v:fill color2="#f0ffff" angle="90" focus="100%" type="gradient"/>
                    <w10:wrap anchorx="page" anchory="page"/>
                    <w10:anchorlock/>
                  </v:rect>
                </w:pict>
              </mc:Fallback>
            </mc:AlternateContent>
          </w:r>
          <w:r w:rsidR="00E42207" w:rsidRPr="000C4F6C">
            <w:rPr>
              <w:rFonts w:ascii="ArialMT" w:hAnsi="ArialMT" w:cs="ArialMT"/>
              <w:b/>
              <w:color w:val="0088CE"/>
              <w:sz w:val="16"/>
              <w:szCs w:val="16"/>
              <w:lang w:eastAsia="nl-NL"/>
            </w:rPr>
            <w:t>kbcsecurities.com</w:t>
          </w:r>
        </w:p>
      </w:tc>
      <w:tc>
        <w:tcPr>
          <w:tcW w:w="4118" w:type="pct"/>
          <w:vAlign w:val="bottom"/>
        </w:tcPr>
        <w:p w:rsidR="00E42207" w:rsidRPr="007947BC" w:rsidRDefault="00E42207" w:rsidP="00E564A2">
          <w:pPr>
            <w:autoSpaceDE w:val="0"/>
            <w:autoSpaceDN w:val="0"/>
            <w:adjustRightInd w:val="0"/>
            <w:spacing w:line="260" w:lineRule="exact"/>
            <w:jc w:val="right"/>
            <w:rPr>
              <w:rFonts w:ascii="ArialMT" w:hAnsi="ArialMT" w:cs="ArialMT"/>
              <w:color w:val="766A62"/>
              <w:sz w:val="16"/>
              <w:szCs w:val="16"/>
              <w:lang w:eastAsia="nl-NL"/>
            </w:rPr>
          </w:pPr>
          <w:r w:rsidRPr="007947BC">
            <w:rPr>
              <w:rFonts w:ascii="ArialMT" w:hAnsi="ArialMT" w:cs="ArialMT"/>
              <w:color w:val="766A62"/>
              <w:sz w:val="16"/>
              <w:szCs w:val="16"/>
              <w:lang w:eastAsia="nl-NL"/>
            </w:rPr>
            <w:t>Refer to important disclosures, disclaimers and analyst certifications at the end of the body of this research.</w:t>
          </w:r>
        </w:p>
      </w:tc>
    </w:tr>
  </w:tbl>
  <w:p w:rsidR="00E42207" w:rsidRDefault="00E42207" w:rsidP="00E564A2">
    <w:pPr>
      <w:pStyle w:val="Footer"/>
      <w:rPr>
        <w:rFonts w:cs="Arial"/>
        <w:lang w:val="en-U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2504" w:rsidRPr="006D579C" w:rsidRDefault="00CB2504" w:rsidP="00CB2504">
    <w:pPr>
      <w:spacing w:after="60"/>
      <w:jc w:val="center"/>
      <w:rPr>
        <w:b/>
        <w:sz w:val="16"/>
        <w:szCs w:val="16"/>
      </w:rPr>
    </w:pPr>
  </w:p>
  <w:tbl>
    <w:tblPr>
      <w:tblW w:w="9639" w:type="dxa"/>
      <w:jc w:val="center"/>
      <w:tblInd w:w="-8" w:type="dxa"/>
      <w:tblBorders>
        <w:top w:val="dashSmallGap" w:sz="8" w:space="0" w:color="0088CE"/>
      </w:tblBorders>
      <w:tblLayout w:type="fixed"/>
      <w:tblCellMar>
        <w:left w:w="0" w:type="dxa"/>
        <w:right w:w="0" w:type="dxa"/>
      </w:tblCellMar>
      <w:tblLook w:val="0000" w:firstRow="0" w:lastRow="0" w:firstColumn="0" w:lastColumn="0" w:noHBand="0" w:noVBand="0"/>
    </w:tblPr>
    <w:tblGrid>
      <w:gridCol w:w="1700"/>
      <w:gridCol w:w="7939"/>
    </w:tblGrid>
    <w:tr w:rsidR="00E42207" w:rsidRPr="000C4F6C" w:rsidTr="00E564A2">
      <w:trPr>
        <w:cantSplit/>
        <w:jc w:val="center"/>
      </w:trPr>
      <w:tc>
        <w:tcPr>
          <w:tcW w:w="882" w:type="pct"/>
          <w:tcMar>
            <w:left w:w="0" w:type="dxa"/>
            <w:right w:w="0" w:type="dxa"/>
          </w:tcMar>
          <w:vAlign w:val="bottom"/>
        </w:tcPr>
        <w:p w:rsidR="00E42207" w:rsidRPr="000C4F6C" w:rsidRDefault="00E42207" w:rsidP="00E564A2">
          <w:pPr>
            <w:autoSpaceDE w:val="0"/>
            <w:autoSpaceDN w:val="0"/>
            <w:adjustRightInd w:val="0"/>
            <w:spacing w:line="260" w:lineRule="exact"/>
            <w:rPr>
              <w:rFonts w:ascii="ArialMT" w:hAnsi="ArialMT" w:cs="ArialMT"/>
              <w:b/>
              <w:color w:val="0088CE"/>
              <w:sz w:val="16"/>
              <w:szCs w:val="16"/>
              <w:lang w:eastAsia="nl-NL"/>
            </w:rPr>
          </w:pPr>
        </w:p>
      </w:tc>
      <w:tc>
        <w:tcPr>
          <w:tcW w:w="4118" w:type="pct"/>
          <w:vAlign w:val="bottom"/>
        </w:tcPr>
        <w:p w:rsidR="00E42207" w:rsidRPr="001332DF" w:rsidRDefault="00E42207" w:rsidP="00E564A2">
          <w:pPr>
            <w:autoSpaceDE w:val="0"/>
            <w:autoSpaceDN w:val="0"/>
            <w:adjustRightInd w:val="0"/>
            <w:spacing w:line="260" w:lineRule="exact"/>
            <w:jc w:val="right"/>
            <w:rPr>
              <w:rFonts w:ascii="ArialMT" w:hAnsi="ArialMT" w:cs="ArialMT"/>
              <w:color w:val="766A62"/>
              <w:sz w:val="16"/>
              <w:szCs w:val="16"/>
              <w:lang w:eastAsia="nl-NL"/>
            </w:rPr>
          </w:pPr>
          <w:r w:rsidRPr="001332DF">
            <w:rPr>
              <w:rStyle w:val="PageNumber"/>
              <w:color w:val="766A62"/>
            </w:rPr>
            <w:fldChar w:fldCharType="begin"/>
          </w:r>
          <w:r w:rsidRPr="001332DF">
            <w:rPr>
              <w:rStyle w:val="PageNumber"/>
              <w:color w:val="766A62"/>
            </w:rPr>
            <w:instrText xml:space="preserve"> PAGE </w:instrText>
          </w:r>
          <w:r w:rsidRPr="001332DF">
            <w:rPr>
              <w:rStyle w:val="PageNumber"/>
              <w:color w:val="766A62"/>
            </w:rPr>
            <w:fldChar w:fldCharType="separate"/>
          </w:r>
          <w:r w:rsidR="00FB1C17">
            <w:rPr>
              <w:rStyle w:val="PageNumber"/>
              <w:noProof/>
              <w:color w:val="766A62"/>
            </w:rPr>
            <w:t>5</w:t>
          </w:r>
          <w:r w:rsidRPr="001332DF">
            <w:rPr>
              <w:rStyle w:val="PageNumber"/>
              <w:color w:val="766A62"/>
            </w:rPr>
            <w:fldChar w:fldCharType="end"/>
          </w:r>
        </w:p>
      </w:tc>
    </w:tr>
  </w:tbl>
  <w:p w:rsidR="00E42207" w:rsidRDefault="00E42207" w:rsidP="00E564A2">
    <w:pPr>
      <w:pStyle w:val="Footer"/>
      <w:rPr>
        <w:rFonts w:cs="Arial"/>
        <w:lang w:val="en-US"/>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39" w:type="dxa"/>
      <w:jc w:val="center"/>
      <w:tblInd w:w="-8" w:type="dxa"/>
      <w:tblBorders>
        <w:top w:val="dashSmallGap" w:sz="8" w:space="0" w:color="0088CE"/>
      </w:tblBorders>
      <w:tblCellMar>
        <w:left w:w="0" w:type="dxa"/>
        <w:right w:w="0" w:type="dxa"/>
      </w:tblCellMar>
      <w:tblLook w:val="0000" w:firstRow="0" w:lastRow="0" w:firstColumn="0" w:lastColumn="0" w:noHBand="0" w:noVBand="0"/>
    </w:tblPr>
    <w:tblGrid>
      <w:gridCol w:w="1700"/>
      <w:gridCol w:w="7939"/>
    </w:tblGrid>
    <w:tr w:rsidR="00E42207" w:rsidRPr="000C4F6C" w:rsidTr="00E31644">
      <w:trPr>
        <w:cantSplit/>
        <w:jc w:val="center"/>
      </w:trPr>
      <w:tc>
        <w:tcPr>
          <w:tcW w:w="882" w:type="pct"/>
          <w:tcMar>
            <w:left w:w="0" w:type="dxa"/>
            <w:right w:w="0" w:type="dxa"/>
          </w:tcMar>
          <w:vAlign w:val="bottom"/>
        </w:tcPr>
        <w:p w:rsidR="00E42207" w:rsidRPr="000C4F6C" w:rsidRDefault="00E42207" w:rsidP="00E564A2">
          <w:pPr>
            <w:autoSpaceDE w:val="0"/>
            <w:autoSpaceDN w:val="0"/>
            <w:adjustRightInd w:val="0"/>
            <w:spacing w:line="260" w:lineRule="exact"/>
            <w:rPr>
              <w:rFonts w:ascii="ArialMT" w:hAnsi="ArialMT" w:cs="ArialMT"/>
              <w:b/>
              <w:color w:val="0088CE"/>
              <w:sz w:val="16"/>
              <w:szCs w:val="16"/>
              <w:lang w:eastAsia="nl-NL"/>
            </w:rPr>
          </w:pPr>
        </w:p>
      </w:tc>
      <w:tc>
        <w:tcPr>
          <w:tcW w:w="4118" w:type="pct"/>
          <w:vAlign w:val="bottom"/>
        </w:tcPr>
        <w:p w:rsidR="00E42207" w:rsidRPr="001332DF" w:rsidRDefault="00E42207" w:rsidP="00E564A2">
          <w:pPr>
            <w:autoSpaceDE w:val="0"/>
            <w:autoSpaceDN w:val="0"/>
            <w:adjustRightInd w:val="0"/>
            <w:spacing w:line="260" w:lineRule="exact"/>
            <w:jc w:val="right"/>
            <w:rPr>
              <w:rFonts w:ascii="ArialMT" w:hAnsi="ArialMT" w:cs="ArialMT"/>
              <w:color w:val="766A62"/>
              <w:sz w:val="16"/>
              <w:szCs w:val="16"/>
              <w:lang w:eastAsia="nl-NL"/>
            </w:rPr>
          </w:pPr>
          <w:r w:rsidRPr="001332DF">
            <w:rPr>
              <w:rStyle w:val="PageNumber"/>
              <w:color w:val="766A62"/>
            </w:rPr>
            <w:fldChar w:fldCharType="begin"/>
          </w:r>
          <w:r w:rsidRPr="001332DF">
            <w:rPr>
              <w:rStyle w:val="PageNumber"/>
              <w:color w:val="766A62"/>
            </w:rPr>
            <w:instrText xml:space="preserve"> PAGE </w:instrText>
          </w:r>
          <w:r w:rsidRPr="001332DF">
            <w:rPr>
              <w:rStyle w:val="PageNumber"/>
              <w:color w:val="766A62"/>
            </w:rPr>
            <w:fldChar w:fldCharType="separate"/>
          </w:r>
          <w:r w:rsidR="00E31644">
            <w:rPr>
              <w:rStyle w:val="PageNumber"/>
              <w:noProof/>
              <w:color w:val="766A62"/>
            </w:rPr>
            <w:t>10</w:t>
          </w:r>
          <w:r w:rsidRPr="001332DF">
            <w:rPr>
              <w:rStyle w:val="PageNumber"/>
              <w:color w:val="766A62"/>
            </w:rPr>
            <w:fldChar w:fldCharType="end"/>
          </w:r>
        </w:p>
      </w:tc>
    </w:tr>
  </w:tbl>
  <w:p w:rsidR="00E42207" w:rsidRDefault="00E42207" w:rsidP="00E564A2">
    <w:pPr>
      <w:pStyle w:val="Footer"/>
      <w:rPr>
        <w:rFonts w:cs="Arial"/>
        <w:lang w:val="en-US"/>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1644" w:rsidRPr="006D579C" w:rsidRDefault="00E31644" w:rsidP="00E31644">
    <w:pPr>
      <w:spacing w:after="60"/>
      <w:jc w:val="center"/>
      <w:rPr>
        <w:b/>
        <w:sz w:val="16"/>
        <w:szCs w:val="16"/>
      </w:rPr>
    </w:pPr>
    <w:r w:rsidRPr="006D579C">
      <w:rPr>
        <w:b/>
        <w:sz w:val="16"/>
        <w:szCs w:val="16"/>
      </w:rPr>
      <w:t>THIS DOCUMENT IS NOT PRODUCED BY KBC SECURITIES USA, INC.</w:t>
    </w:r>
  </w:p>
  <w:tbl>
    <w:tblPr>
      <w:tblW w:w="9639" w:type="dxa"/>
      <w:jc w:val="center"/>
      <w:tblInd w:w="-8" w:type="dxa"/>
      <w:tblBorders>
        <w:top w:val="dashSmallGap" w:sz="8" w:space="0" w:color="0088CE"/>
      </w:tblBorders>
      <w:tblLayout w:type="fixed"/>
      <w:tblCellMar>
        <w:left w:w="0" w:type="dxa"/>
        <w:right w:w="0" w:type="dxa"/>
      </w:tblCellMar>
      <w:tblLook w:val="0000" w:firstRow="0" w:lastRow="0" w:firstColumn="0" w:lastColumn="0" w:noHBand="0" w:noVBand="0"/>
    </w:tblPr>
    <w:tblGrid>
      <w:gridCol w:w="1700"/>
      <w:gridCol w:w="7939"/>
    </w:tblGrid>
    <w:tr w:rsidR="00E31644" w:rsidRPr="000C4F6C" w:rsidTr="00FB2239">
      <w:trPr>
        <w:cantSplit/>
        <w:jc w:val="center"/>
      </w:trPr>
      <w:tc>
        <w:tcPr>
          <w:tcW w:w="882" w:type="pct"/>
          <w:tcMar>
            <w:left w:w="0" w:type="dxa"/>
            <w:right w:w="0" w:type="dxa"/>
          </w:tcMar>
          <w:vAlign w:val="bottom"/>
        </w:tcPr>
        <w:p w:rsidR="00E31644" w:rsidRPr="000C4F6C" w:rsidRDefault="00E31644" w:rsidP="00FB2239">
          <w:pPr>
            <w:autoSpaceDE w:val="0"/>
            <w:autoSpaceDN w:val="0"/>
            <w:adjustRightInd w:val="0"/>
            <w:spacing w:line="260" w:lineRule="exact"/>
            <w:rPr>
              <w:rFonts w:ascii="ArialMT" w:hAnsi="ArialMT" w:cs="ArialMT"/>
              <w:b/>
              <w:color w:val="0088CE"/>
              <w:sz w:val="16"/>
              <w:szCs w:val="16"/>
              <w:lang w:eastAsia="nl-NL"/>
            </w:rPr>
          </w:pPr>
        </w:p>
      </w:tc>
      <w:tc>
        <w:tcPr>
          <w:tcW w:w="4118" w:type="pct"/>
          <w:vAlign w:val="bottom"/>
        </w:tcPr>
        <w:p w:rsidR="00E31644" w:rsidRPr="001332DF" w:rsidRDefault="00E31644" w:rsidP="00FB2239">
          <w:pPr>
            <w:autoSpaceDE w:val="0"/>
            <w:autoSpaceDN w:val="0"/>
            <w:adjustRightInd w:val="0"/>
            <w:spacing w:line="260" w:lineRule="exact"/>
            <w:jc w:val="right"/>
            <w:rPr>
              <w:rFonts w:ascii="ArialMT" w:hAnsi="ArialMT" w:cs="ArialMT"/>
              <w:color w:val="766A62"/>
              <w:sz w:val="16"/>
              <w:szCs w:val="16"/>
              <w:lang w:eastAsia="nl-NL"/>
            </w:rPr>
          </w:pPr>
          <w:r w:rsidRPr="001332DF">
            <w:rPr>
              <w:rStyle w:val="PageNumber"/>
              <w:color w:val="766A62"/>
            </w:rPr>
            <w:fldChar w:fldCharType="begin"/>
          </w:r>
          <w:r w:rsidRPr="001332DF">
            <w:rPr>
              <w:rStyle w:val="PageNumber"/>
              <w:color w:val="766A62"/>
            </w:rPr>
            <w:instrText xml:space="preserve"> PAGE </w:instrText>
          </w:r>
          <w:r w:rsidRPr="001332DF">
            <w:rPr>
              <w:rStyle w:val="PageNumber"/>
              <w:color w:val="766A62"/>
            </w:rPr>
            <w:fldChar w:fldCharType="separate"/>
          </w:r>
          <w:r w:rsidR="00FB1C17">
            <w:rPr>
              <w:rStyle w:val="PageNumber"/>
              <w:noProof/>
              <w:color w:val="766A62"/>
            </w:rPr>
            <w:t>6</w:t>
          </w:r>
          <w:r w:rsidRPr="001332DF">
            <w:rPr>
              <w:rStyle w:val="PageNumber"/>
              <w:color w:val="766A62"/>
            </w:rPr>
            <w:fldChar w:fldCharType="end"/>
          </w:r>
        </w:p>
      </w:tc>
    </w:tr>
  </w:tbl>
  <w:p w:rsidR="00E31644" w:rsidRDefault="00E31644" w:rsidP="00E31644">
    <w:pPr>
      <w:pStyle w:val="Footer"/>
      <w:rPr>
        <w:rFonts w:cs="Arial"/>
        <w:lang w:val="en-US"/>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39" w:type="dxa"/>
      <w:jc w:val="center"/>
      <w:tblInd w:w="-8" w:type="dxa"/>
      <w:tblBorders>
        <w:top w:val="dashSmallGap" w:sz="8" w:space="0" w:color="0088CE"/>
      </w:tblBorders>
      <w:tblCellMar>
        <w:left w:w="0" w:type="dxa"/>
        <w:right w:w="0" w:type="dxa"/>
      </w:tblCellMar>
      <w:tblLook w:val="0000" w:firstRow="0" w:lastRow="0" w:firstColumn="0" w:lastColumn="0" w:noHBand="0" w:noVBand="0"/>
    </w:tblPr>
    <w:tblGrid>
      <w:gridCol w:w="2211"/>
      <w:gridCol w:w="7428"/>
    </w:tblGrid>
    <w:tr w:rsidR="00E31644" w:rsidRPr="00561FD8" w:rsidTr="002366B9">
      <w:trPr>
        <w:cantSplit/>
        <w:jc w:val="center"/>
      </w:trPr>
      <w:tc>
        <w:tcPr>
          <w:tcW w:w="1147" w:type="pct"/>
          <w:tcMar>
            <w:left w:w="0" w:type="dxa"/>
            <w:right w:w="0" w:type="dxa"/>
          </w:tcMar>
          <w:vAlign w:val="bottom"/>
        </w:tcPr>
        <w:p w:rsidR="00E31644" w:rsidRPr="00561FD8" w:rsidRDefault="00E31644" w:rsidP="00454CDD">
          <w:pPr>
            <w:autoSpaceDE w:val="0"/>
            <w:autoSpaceDN w:val="0"/>
            <w:adjustRightInd w:val="0"/>
            <w:spacing w:line="260" w:lineRule="exact"/>
            <w:rPr>
              <w:rFonts w:cs="Arial"/>
              <w:b/>
              <w:color w:val="0088CE"/>
              <w:sz w:val="13"/>
              <w:szCs w:val="13"/>
              <w:lang w:eastAsia="nl-NL"/>
            </w:rPr>
          </w:pPr>
          <w:r>
            <w:rPr>
              <w:rFonts w:cs="Arial"/>
              <w:b/>
              <w:color w:val="0088CE"/>
              <w:sz w:val="13"/>
              <w:szCs w:val="13"/>
              <w:lang w:eastAsia="nl-NL"/>
            </w:rPr>
            <w:t>Copyright © 2014</w:t>
          </w:r>
          <w:r w:rsidRPr="00561FD8">
            <w:rPr>
              <w:rFonts w:cs="Arial"/>
              <w:b/>
              <w:color w:val="0088CE"/>
              <w:sz w:val="13"/>
              <w:szCs w:val="13"/>
              <w:lang w:eastAsia="nl-NL"/>
            </w:rPr>
            <w:t xml:space="preserve"> KBC Securities</w:t>
          </w:r>
        </w:p>
      </w:tc>
      <w:tc>
        <w:tcPr>
          <w:tcW w:w="3853" w:type="pct"/>
          <w:vAlign w:val="bottom"/>
        </w:tcPr>
        <w:p w:rsidR="00E31644" w:rsidRPr="00561FD8" w:rsidRDefault="00E31644" w:rsidP="002366B9">
          <w:pPr>
            <w:autoSpaceDE w:val="0"/>
            <w:autoSpaceDN w:val="0"/>
            <w:adjustRightInd w:val="0"/>
            <w:spacing w:line="260" w:lineRule="exact"/>
            <w:jc w:val="right"/>
            <w:rPr>
              <w:rFonts w:cs="Arial"/>
              <w:color w:val="766A62"/>
              <w:sz w:val="16"/>
              <w:szCs w:val="16"/>
              <w:lang w:eastAsia="nl-NL"/>
            </w:rPr>
          </w:pPr>
        </w:p>
      </w:tc>
    </w:tr>
  </w:tbl>
  <w:p w:rsidR="00E31644" w:rsidRDefault="00E31644" w:rsidP="002366B9">
    <w:pPr>
      <w:pStyle w:val="Footer"/>
      <w:rPr>
        <w:rFonts w:cs="Arial"/>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312D" w:rsidRDefault="0025312D">
      <w:r>
        <w:separator/>
      </w:r>
    </w:p>
  </w:footnote>
  <w:footnote w:type="continuationSeparator" w:id="0">
    <w:p w:rsidR="0025312D" w:rsidRDefault="002531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207" w:rsidRPr="00033D9C" w:rsidRDefault="0025312D" w:rsidP="00E564A2">
    <w:pPr>
      <w:autoSpaceDE w:val="0"/>
      <w:autoSpaceDN w:val="0"/>
      <w:adjustRightInd w:val="0"/>
      <w:rPr>
        <w:rFonts w:cs="Arial"/>
        <w:b/>
        <w:bCs/>
        <w:color w:val="0088CE"/>
        <w:sz w:val="28"/>
        <w:szCs w:val="28"/>
        <w:lang w:eastAsia="nl-NL"/>
      </w:rPr>
    </w:pPr>
    <w:r>
      <w:rPr>
        <w:rFonts w:cs="Arial"/>
        <w:b/>
        <w:bCs/>
        <w:noProof/>
        <w:color w:val="0088CE"/>
        <w:sz w:val="28"/>
        <w:szCs w:val="28"/>
        <w:lang w:eastAsia="en-GB"/>
      </w:rPr>
      <w:drawing>
        <wp:anchor distT="0" distB="0" distL="114300" distR="114300" simplePos="0" relativeHeight="251658752" behindDoc="1" locked="0" layoutInCell="1" allowOverlap="1" wp14:anchorId="4A6EAFC3" wp14:editId="135999EB">
          <wp:simplePos x="0" y="0"/>
          <wp:positionH relativeFrom="page">
            <wp:posOffset>6246495</wp:posOffset>
          </wp:positionH>
          <wp:positionV relativeFrom="page">
            <wp:posOffset>360045</wp:posOffset>
          </wp:positionV>
          <wp:extent cx="600710" cy="647700"/>
          <wp:effectExtent l="0" t="0" r="8890" b="0"/>
          <wp:wrapTight wrapText="bothSides">
            <wp:wrapPolygon edited="0">
              <wp:start x="0" y="0"/>
              <wp:lineTo x="0" y="20965"/>
              <wp:lineTo x="21235" y="20965"/>
              <wp:lineTo x="21235" y="0"/>
              <wp:lineTo x="0" y="0"/>
            </wp:wrapPolygon>
          </wp:wrapTight>
          <wp:docPr id="5" name="Picture 5" descr="KBCSecurities_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KBCSecurities_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0710" cy="647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42207" w:rsidRDefault="00E42207" w:rsidP="00E564A2">
    <w:pPr>
      <w:pStyle w:val="Header"/>
      <w:spacing w:line="330" w:lineRule="exact"/>
      <w:rPr>
        <w:rFonts w:cs="Arial"/>
      </w:rPr>
    </w:pPr>
  </w:p>
  <w:p w:rsidR="00E42207" w:rsidRDefault="00E42207" w:rsidP="00E564A2">
    <w:pPr>
      <w:pStyle w:val="Header"/>
      <w:spacing w:line="330" w:lineRule="exact"/>
      <w:rPr>
        <w:rFonts w:cs="Arial"/>
      </w:rPr>
    </w:pPr>
  </w:p>
  <w:p w:rsidR="00E42207" w:rsidRDefault="00E42207" w:rsidP="00E564A2">
    <w:pPr>
      <w:pStyle w:val="Header"/>
      <w:spacing w:line="330" w:lineRule="exact"/>
      <w:rPr>
        <w:rFonts w:cs="Arial"/>
      </w:rPr>
    </w:pPr>
  </w:p>
  <w:p w:rsidR="00E42207" w:rsidRPr="00033D9C" w:rsidRDefault="008D6B93" w:rsidP="00E564A2">
    <w:pPr>
      <w:pBdr>
        <w:bottom w:val="dashSmallGap" w:sz="8" w:space="3" w:color="0088CE"/>
      </w:pBdr>
      <w:autoSpaceDE w:val="0"/>
      <w:autoSpaceDN w:val="0"/>
      <w:adjustRightInd w:val="0"/>
      <w:rPr>
        <w:lang w:eastAsia="nl-NL"/>
      </w:rPr>
    </w:pPr>
    <w:r>
      <w:rPr>
        <w:rFonts w:cs="Arial"/>
        <w:b/>
        <w:bCs/>
        <w:color w:val="766A62"/>
        <w:szCs w:val="18"/>
        <w:lang w:eastAsia="nl-NL"/>
      </w:rPr>
      <w:t>12</w:t>
    </w:r>
    <w:r w:rsidR="0025312D">
      <w:rPr>
        <w:rFonts w:cs="Arial"/>
        <w:b/>
        <w:bCs/>
        <w:color w:val="766A62"/>
        <w:szCs w:val="18"/>
        <w:lang w:eastAsia="nl-NL"/>
      </w:rPr>
      <w:t xml:space="preserve"> November 2014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207" w:rsidRPr="00033D9C" w:rsidRDefault="0025312D" w:rsidP="00E564A2">
    <w:pPr>
      <w:autoSpaceDE w:val="0"/>
      <w:autoSpaceDN w:val="0"/>
      <w:adjustRightInd w:val="0"/>
      <w:rPr>
        <w:rFonts w:cs="Arial"/>
        <w:b/>
        <w:bCs/>
        <w:color w:val="0088CE"/>
        <w:sz w:val="28"/>
        <w:szCs w:val="28"/>
        <w:lang w:eastAsia="nl-NL"/>
      </w:rPr>
    </w:pPr>
    <w:r>
      <w:rPr>
        <w:rFonts w:cs="Arial"/>
        <w:b/>
        <w:bCs/>
        <w:noProof/>
        <w:color w:val="0088CE"/>
        <w:sz w:val="28"/>
        <w:szCs w:val="28"/>
        <w:lang w:eastAsia="en-GB"/>
      </w:rPr>
      <w:drawing>
        <wp:anchor distT="0" distB="0" distL="114300" distR="114300" simplePos="0" relativeHeight="251657728" behindDoc="1" locked="0" layoutInCell="1" allowOverlap="1" wp14:anchorId="46CE69C1" wp14:editId="77BBE418">
          <wp:simplePos x="0" y="0"/>
          <wp:positionH relativeFrom="page">
            <wp:posOffset>6246495</wp:posOffset>
          </wp:positionH>
          <wp:positionV relativeFrom="page">
            <wp:posOffset>360045</wp:posOffset>
          </wp:positionV>
          <wp:extent cx="600710" cy="647700"/>
          <wp:effectExtent l="0" t="0" r="8890" b="0"/>
          <wp:wrapTight wrapText="bothSides">
            <wp:wrapPolygon edited="0">
              <wp:start x="0" y="0"/>
              <wp:lineTo x="0" y="20965"/>
              <wp:lineTo x="21235" y="20965"/>
              <wp:lineTo x="21235" y="0"/>
              <wp:lineTo x="0" y="0"/>
            </wp:wrapPolygon>
          </wp:wrapTight>
          <wp:docPr id="4" name="Picture 4" descr="KBCSecurities_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BCSecurities_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0710" cy="647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42207" w:rsidRDefault="00E42207">
    <w:pPr>
      <w:pStyle w:val="Header"/>
      <w:spacing w:line="330" w:lineRule="exact"/>
      <w:rPr>
        <w:rFonts w:cs="Arial"/>
      </w:rPr>
    </w:pPr>
  </w:p>
  <w:p w:rsidR="00E42207" w:rsidRDefault="00E42207">
    <w:pPr>
      <w:pStyle w:val="Header"/>
      <w:spacing w:line="330" w:lineRule="exact"/>
      <w:rPr>
        <w:rFonts w:cs="Arial"/>
      </w:rPr>
    </w:pPr>
  </w:p>
  <w:p w:rsidR="00E42207" w:rsidRDefault="00E42207">
    <w:pPr>
      <w:pStyle w:val="Header"/>
      <w:spacing w:line="330" w:lineRule="exact"/>
      <w:rPr>
        <w:rFonts w:cs="Arial"/>
      </w:rPr>
    </w:pPr>
  </w:p>
  <w:p w:rsidR="00E42207" w:rsidRPr="00033D9C" w:rsidRDefault="008D6B93" w:rsidP="00E564A2">
    <w:pPr>
      <w:pBdr>
        <w:bottom w:val="dashSmallGap" w:sz="8" w:space="3" w:color="0088CE"/>
      </w:pBdr>
      <w:autoSpaceDE w:val="0"/>
      <w:autoSpaceDN w:val="0"/>
      <w:adjustRightInd w:val="0"/>
      <w:rPr>
        <w:lang w:eastAsia="nl-NL"/>
      </w:rPr>
    </w:pPr>
    <w:r>
      <w:rPr>
        <w:rFonts w:cs="Arial"/>
        <w:b/>
        <w:bCs/>
        <w:color w:val="766A62"/>
        <w:szCs w:val="18"/>
        <w:lang w:eastAsia="nl-NL"/>
      </w:rPr>
      <w:t>12</w:t>
    </w:r>
    <w:r w:rsidR="0025312D">
      <w:rPr>
        <w:rFonts w:cs="Arial"/>
        <w:b/>
        <w:bCs/>
        <w:color w:val="766A62"/>
        <w:szCs w:val="18"/>
        <w:lang w:eastAsia="nl-NL"/>
      </w:rPr>
      <w:t xml:space="preserve"> November 2014</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66B9" w:rsidRDefault="002366B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F8AC46"/>
    <w:lvl w:ilvl="0">
      <w:start w:val="1"/>
      <w:numFmt w:val="decimal"/>
      <w:lvlText w:val="%1."/>
      <w:lvlJc w:val="left"/>
      <w:pPr>
        <w:tabs>
          <w:tab w:val="num" w:pos="1492"/>
        </w:tabs>
        <w:ind w:left="1492" w:hanging="360"/>
      </w:pPr>
    </w:lvl>
  </w:abstractNum>
  <w:abstractNum w:abstractNumId="1">
    <w:nsid w:val="FFFFFF7D"/>
    <w:multiLevelType w:val="singleLevel"/>
    <w:tmpl w:val="0504C71A"/>
    <w:lvl w:ilvl="0">
      <w:start w:val="1"/>
      <w:numFmt w:val="decimal"/>
      <w:lvlText w:val="%1."/>
      <w:lvlJc w:val="left"/>
      <w:pPr>
        <w:tabs>
          <w:tab w:val="num" w:pos="1209"/>
        </w:tabs>
        <w:ind w:left="1209" w:hanging="360"/>
      </w:pPr>
    </w:lvl>
  </w:abstractNum>
  <w:abstractNum w:abstractNumId="2">
    <w:nsid w:val="FFFFFF7E"/>
    <w:multiLevelType w:val="singleLevel"/>
    <w:tmpl w:val="2C84218A"/>
    <w:lvl w:ilvl="0">
      <w:start w:val="1"/>
      <w:numFmt w:val="decimal"/>
      <w:lvlText w:val="%1."/>
      <w:lvlJc w:val="left"/>
      <w:pPr>
        <w:tabs>
          <w:tab w:val="num" w:pos="926"/>
        </w:tabs>
        <w:ind w:left="926" w:hanging="360"/>
      </w:pPr>
    </w:lvl>
  </w:abstractNum>
  <w:abstractNum w:abstractNumId="3">
    <w:nsid w:val="FFFFFF7F"/>
    <w:multiLevelType w:val="singleLevel"/>
    <w:tmpl w:val="65EED0C8"/>
    <w:lvl w:ilvl="0">
      <w:start w:val="1"/>
      <w:numFmt w:val="decimal"/>
      <w:lvlText w:val="%1."/>
      <w:lvlJc w:val="left"/>
      <w:pPr>
        <w:tabs>
          <w:tab w:val="num" w:pos="643"/>
        </w:tabs>
        <w:ind w:left="643" w:hanging="360"/>
      </w:pPr>
    </w:lvl>
  </w:abstractNum>
  <w:abstractNum w:abstractNumId="4">
    <w:nsid w:val="FFFFFF80"/>
    <w:multiLevelType w:val="singleLevel"/>
    <w:tmpl w:val="6A583F8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E18C2A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742437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BE431F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93624D4"/>
    <w:lvl w:ilvl="0">
      <w:start w:val="1"/>
      <w:numFmt w:val="decimal"/>
      <w:lvlText w:val="%1."/>
      <w:lvlJc w:val="left"/>
      <w:pPr>
        <w:tabs>
          <w:tab w:val="num" w:pos="360"/>
        </w:tabs>
        <w:ind w:left="360" w:hanging="360"/>
      </w:pPr>
    </w:lvl>
  </w:abstractNum>
  <w:abstractNum w:abstractNumId="9">
    <w:nsid w:val="FFFFFF89"/>
    <w:multiLevelType w:val="singleLevel"/>
    <w:tmpl w:val="5ACCCA14"/>
    <w:lvl w:ilvl="0">
      <w:start w:val="1"/>
      <w:numFmt w:val="bullet"/>
      <w:lvlText w:val=""/>
      <w:lvlJc w:val="left"/>
      <w:pPr>
        <w:tabs>
          <w:tab w:val="num" w:pos="360"/>
        </w:tabs>
        <w:ind w:left="360" w:hanging="360"/>
      </w:pPr>
      <w:rPr>
        <w:rFonts w:ascii="Symbol" w:hAnsi="Symbol" w:hint="default"/>
      </w:rPr>
    </w:lvl>
  </w:abstractNum>
  <w:abstractNum w:abstractNumId="10">
    <w:nsid w:val="02CA3209"/>
    <w:multiLevelType w:val="hybridMultilevel"/>
    <w:tmpl w:val="7AB04830"/>
    <w:lvl w:ilvl="0" w:tplc="24CADB3E">
      <w:start w:val="1"/>
      <w:numFmt w:val="bullet"/>
      <w:lvlText w:val=""/>
      <w:lvlJc w:val="left"/>
      <w:pPr>
        <w:tabs>
          <w:tab w:val="num" w:pos="357"/>
        </w:tabs>
        <w:ind w:left="357" w:hanging="357"/>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nsid w:val="048C2636"/>
    <w:multiLevelType w:val="multilevel"/>
    <w:tmpl w:val="402643D0"/>
    <w:lvl w:ilvl="0">
      <w:start w:val="25"/>
      <w:numFmt w:val="decimal"/>
      <w:lvlText w:val="%1"/>
      <w:lvlJc w:val="left"/>
      <w:pPr>
        <w:tabs>
          <w:tab w:val="num" w:pos="1440"/>
        </w:tabs>
        <w:ind w:left="1440" w:hanging="1440"/>
      </w:pPr>
      <w:rPr>
        <w:rFonts w:hint="default"/>
      </w:rPr>
    </w:lvl>
    <w:lvl w:ilvl="1">
      <w:start w:val="7"/>
      <w:numFmt w:val="decimalZero"/>
      <w:lvlText w:val="%1.%2"/>
      <w:lvlJc w:val="left"/>
      <w:pPr>
        <w:tabs>
          <w:tab w:val="num" w:pos="1440"/>
        </w:tabs>
        <w:ind w:left="1440" w:hanging="1440"/>
      </w:pPr>
      <w:rPr>
        <w:rFonts w:hint="default"/>
      </w:rPr>
    </w:lvl>
    <w:lvl w:ilvl="2">
      <w:start w:val="1"/>
      <w:numFmt w:val="decimalZero"/>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06410EB0"/>
    <w:multiLevelType w:val="multilevel"/>
    <w:tmpl w:val="23F2828E"/>
    <w:numStyleLink w:val="StyleBulletedSymbolsymbol8ptCustomColorRGB144131113"/>
  </w:abstractNum>
  <w:abstractNum w:abstractNumId="13">
    <w:nsid w:val="10DA3E7E"/>
    <w:multiLevelType w:val="hybridMultilevel"/>
    <w:tmpl w:val="49944178"/>
    <w:lvl w:ilvl="0" w:tplc="24CADB3E">
      <w:start w:val="1"/>
      <w:numFmt w:val="bullet"/>
      <w:lvlText w:val=""/>
      <w:lvlJc w:val="left"/>
      <w:pPr>
        <w:tabs>
          <w:tab w:val="num" w:pos="357"/>
        </w:tabs>
        <w:ind w:left="357" w:hanging="357"/>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4">
    <w:nsid w:val="11C903CE"/>
    <w:multiLevelType w:val="multilevel"/>
    <w:tmpl w:val="6AF225D8"/>
    <w:lvl w:ilvl="0">
      <w:start w:val="25"/>
      <w:numFmt w:val="decimal"/>
      <w:lvlText w:val="%1"/>
      <w:lvlJc w:val="left"/>
      <w:pPr>
        <w:tabs>
          <w:tab w:val="num" w:pos="1050"/>
        </w:tabs>
        <w:ind w:left="1050" w:hanging="1050"/>
      </w:pPr>
      <w:rPr>
        <w:rFonts w:hint="default"/>
      </w:rPr>
    </w:lvl>
    <w:lvl w:ilvl="1">
      <w:start w:val="7"/>
      <w:numFmt w:val="decimalZero"/>
      <w:lvlText w:val="%1.%2"/>
      <w:lvlJc w:val="left"/>
      <w:pPr>
        <w:tabs>
          <w:tab w:val="num" w:pos="1050"/>
        </w:tabs>
        <w:ind w:left="1050" w:hanging="1050"/>
      </w:pPr>
      <w:rPr>
        <w:rFonts w:hint="default"/>
      </w:rPr>
    </w:lvl>
    <w:lvl w:ilvl="2">
      <w:start w:val="1"/>
      <w:numFmt w:val="decimalZero"/>
      <w:lvlText w:val="%1.%2.%3"/>
      <w:lvlJc w:val="left"/>
      <w:pPr>
        <w:tabs>
          <w:tab w:val="num" w:pos="1050"/>
        </w:tabs>
        <w:ind w:left="1050" w:hanging="1050"/>
      </w:pPr>
      <w:rPr>
        <w:rFonts w:hint="default"/>
      </w:rPr>
    </w:lvl>
    <w:lvl w:ilvl="3">
      <w:start w:val="1"/>
      <w:numFmt w:val="decimal"/>
      <w:lvlText w:val="%1.%2.%3.%4"/>
      <w:lvlJc w:val="left"/>
      <w:pPr>
        <w:tabs>
          <w:tab w:val="num" w:pos="1050"/>
        </w:tabs>
        <w:ind w:left="1050" w:hanging="105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128F2EA9"/>
    <w:multiLevelType w:val="multilevel"/>
    <w:tmpl w:val="23F2828E"/>
    <w:lvl w:ilvl="0">
      <w:start w:val="1"/>
      <w:numFmt w:val="bullet"/>
      <w:lvlText w:val=""/>
      <w:lvlJc w:val="left"/>
      <w:pPr>
        <w:tabs>
          <w:tab w:val="num" w:pos="227"/>
        </w:tabs>
        <w:ind w:left="227" w:hanging="227"/>
      </w:pPr>
      <w:rPr>
        <w:rFonts w:ascii="Symbol" w:hAnsi="Symbol" w:hint="default"/>
        <w:color w:val="908371"/>
        <w:sz w:val="16"/>
        <w:szCs w:val="1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1AC05E86"/>
    <w:multiLevelType w:val="multilevel"/>
    <w:tmpl w:val="1CEE4DA4"/>
    <w:lvl w:ilvl="0">
      <w:start w:val="25"/>
      <w:numFmt w:val="decimal"/>
      <w:lvlText w:val="%1"/>
      <w:lvlJc w:val="left"/>
      <w:pPr>
        <w:tabs>
          <w:tab w:val="num" w:pos="1050"/>
        </w:tabs>
        <w:ind w:left="1050" w:hanging="1050"/>
      </w:pPr>
      <w:rPr>
        <w:rFonts w:hint="default"/>
      </w:rPr>
    </w:lvl>
    <w:lvl w:ilvl="1">
      <w:start w:val="7"/>
      <w:numFmt w:val="decimalZero"/>
      <w:lvlText w:val="%1.%2"/>
      <w:lvlJc w:val="left"/>
      <w:pPr>
        <w:tabs>
          <w:tab w:val="num" w:pos="1050"/>
        </w:tabs>
        <w:ind w:left="1050" w:hanging="1050"/>
      </w:pPr>
      <w:rPr>
        <w:rFonts w:hint="default"/>
      </w:rPr>
    </w:lvl>
    <w:lvl w:ilvl="2">
      <w:start w:val="1"/>
      <w:numFmt w:val="decimalZero"/>
      <w:lvlText w:val="%1.%2.%3"/>
      <w:lvlJc w:val="left"/>
      <w:pPr>
        <w:tabs>
          <w:tab w:val="num" w:pos="1050"/>
        </w:tabs>
        <w:ind w:left="1050" w:hanging="1050"/>
      </w:pPr>
      <w:rPr>
        <w:rFonts w:hint="default"/>
      </w:rPr>
    </w:lvl>
    <w:lvl w:ilvl="3">
      <w:start w:val="1"/>
      <w:numFmt w:val="decimal"/>
      <w:lvlText w:val="%1.%2.%3.%4"/>
      <w:lvlJc w:val="left"/>
      <w:pPr>
        <w:tabs>
          <w:tab w:val="num" w:pos="1050"/>
        </w:tabs>
        <w:ind w:left="1050" w:hanging="105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25002918"/>
    <w:multiLevelType w:val="multilevel"/>
    <w:tmpl w:val="23F2828E"/>
    <w:styleLink w:val="StyleBulletedSymbolsymbol8ptCustomColorRGB144131113"/>
    <w:lvl w:ilvl="0">
      <w:start w:val="1"/>
      <w:numFmt w:val="bullet"/>
      <w:lvlText w:val=""/>
      <w:lvlJc w:val="left"/>
      <w:pPr>
        <w:tabs>
          <w:tab w:val="num" w:pos="227"/>
        </w:tabs>
        <w:ind w:left="227" w:hanging="227"/>
      </w:pPr>
      <w:rPr>
        <w:rFonts w:ascii="Symbol" w:hAnsi="Symbol"/>
        <w:color w:val="908371"/>
        <w:sz w:val="1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33643B5F"/>
    <w:multiLevelType w:val="multilevel"/>
    <w:tmpl w:val="23F2828E"/>
    <w:lvl w:ilvl="0">
      <w:start w:val="1"/>
      <w:numFmt w:val="bullet"/>
      <w:lvlText w:val=""/>
      <w:lvlJc w:val="left"/>
      <w:pPr>
        <w:tabs>
          <w:tab w:val="num" w:pos="227"/>
        </w:tabs>
        <w:ind w:left="227" w:hanging="227"/>
      </w:pPr>
      <w:rPr>
        <w:rFonts w:ascii="Symbol" w:hAnsi="Symbol" w:hint="default"/>
        <w:color w:val="908371"/>
        <w:sz w:val="16"/>
        <w:szCs w:val="1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419B1F20"/>
    <w:multiLevelType w:val="hybridMultilevel"/>
    <w:tmpl w:val="6E5A045E"/>
    <w:lvl w:ilvl="0" w:tplc="7BD40E50">
      <w:start w:val="1"/>
      <w:numFmt w:val="bullet"/>
      <w:lvlRestart w:val="0"/>
      <w:lvlText w:val=""/>
      <w:lvlJc w:val="left"/>
      <w:pPr>
        <w:tabs>
          <w:tab w:val="num" w:pos="360"/>
        </w:tabs>
        <w:ind w:left="357" w:hanging="357"/>
      </w:pPr>
      <w:rPr>
        <w:rFonts w:ascii="Symbol" w:hAnsi="Symbol" w:hint="default"/>
        <w:b w:val="0"/>
        <w:i w:val="0"/>
        <w:color w:val="00406E"/>
        <w:sz w:val="3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4540DE1"/>
    <w:multiLevelType w:val="hybridMultilevel"/>
    <w:tmpl w:val="EDA445C0"/>
    <w:lvl w:ilvl="0" w:tplc="5FA26212">
      <w:start w:val="1"/>
      <w:numFmt w:val="bullet"/>
      <w:lvlText w:val=""/>
      <w:lvlJc w:val="left"/>
      <w:pPr>
        <w:tabs>
          <w:tab w:val="num" w:pos="227"/>
        </w:tabs>
        <w:ind w:left="227" w:hanging="227"/>
      </w:pPr>
      <w:rPr>
        <w:rFonts w:ascii="Symbol" w:hAnsi="Symbol" w:hint="default"/>
        <w:color w:val="908371"/>
        <w:sz w:val="16"/>
        <w:szCs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1">
    <w:nsid w:val="4C5D54CA"/>
    <w:multiLevelType w:val="multilevel"/>
    <w:tmpl w:val="23F2828E"/>
    <w:lvl w:ilvl="0">
      <w:start w:val="1"/>
      <w:numFmt w:val="bullet"/>
      <w:lvlText w:val=""/>
      <w:lvlJc w:val="left"/>
      <w:pPr>
        <w:tabs>
          <w:tab w:val="num" w:pos="227"/>
        </w:tabs>
        <w:ind w:left="227" w:hanging="227"/>
      </w:pPr>
      <w:rPr>
        <w:rFonts w:ascii="Symbol" w:hAnsi="Symbol" w:hint="default"/>
        <w:color w:val="908371"/>
        <w:sz w:val="16"/>
        <w:szCs w:val="1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nsid w:val="4C6A3DC3"/>
    <w:multiLevelType w:val="multilevel"/>
    <w:tmpl w:val="23F2828E"/>
    <w:lvl w:ilvl="0">
      <w:start w:val="1"/>
      <w:numFmt w:val="bullet"/>
      <w:lvlText w:val=""/>
      <w:lvlJc w:val="left"/>
      <w:pPr>
        <w:tabs>
          <w:tab w:val="num" w:pos="227"/>
        </w:tabs>
        <w:ind w:left="227" w:hanging="227"/>
      </w:pPr>
      <w:rPr>
        <w:rFonts w:ascii="Symbol" w:hAnsi="Symbol" w:hint="default"/>
        <w:color w:val="908371"/>
        <w:sz w:val="16"/>
        <w:szCs w:val="1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nsid w:val="4E404462"/>
    <w:multiLevelType w:val="multilevel"/>
    <w:tmpl w:val="23F2828E"/>
    <w:lvl w:ilvl="0">
      <w:start w:val="1"/>
      <w:numFmt w:val="bullet"/>
      <w:lvlText w:val=""/>
      <w:lvlJc w:val="left"/>
      <w:pPr>
        <w:tabs>
          <w:tab w:val="num" w:pos="227"/>
        </w:tabs>
        <w:ind w:left="227" w:hanging="227"/>
      </w:pPr>
      <w:rPr>
        <w:rFonts w:ascii="Symbol" w:hAnsi="Symbol" w:hint="default"/>
        <w:color w:val="908371"/>
        <w:sz w:val="16"/>
        <w:szCs w:val="1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nsid w:val="54DB1776"/>
    <w:multiLevelType w:val="multilevel"/>
    <w:tmpl w:val="23F2828E"/>
    <w:numStyleLink w:val="StyleBulletedSymbolsymbol8ptCustomColorRGB144131113"/>
  </w:abstractNum>
  <w:abstractNum w:abstractNumId="25">
    <w:nsid w:val="5C6A0660"/>
    <w:multiLevelType w:val="multilevel"/>
    <w:tmpl w:val="23F2828E"/>
    <w:lvl w:ilvl="0">
      <w:start w:val="1"/>
      <w:numFmt w:val="bullet"/>
      <w:lvlText w:val=""/>
      <w:lvlJc w:val="left"/>
      <w:pPr>
        <w:tabs>
          <w:tab w:val="num" w:pos="227"/>
        </w:tabs>
        <w:ind w:left="227" w:hanging="227"/>
      </w:pPr>
      <w:rPr>
        <w:rFonts w:ascii="Symbol" w:hAnsi="Symbol" w:hint="default"/>
        <w:color w:val="908371"/>
        <w:sz w:val="16"/>
        <w:szCs w:val="1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nsid w:val="5EE1221B"/>
    <w:multiLevelType w:val="multilevel"/>
    <w:tmpl w:val="23F2828E"/>
    <w:lvl w:ilvl="0">
      <w:start w:val="1"/>
      <w:numFmt w:val="bullet"/>
      <w:lvlText w:val=""/>
      <w:lvlJc w:val="left"/>
      <w:pPr>
        <w:tabs>
          <w:tab w:val="num" w:pos="227"/>
        </w:tabs>
        <w:ind w:left="227" w:hanging="227"/>
      </w:pPr>
      <w:rPr>
        <w:rFonts w:ascii="Symbol" w:hAnsi="Symbol" w:hint="default"/>
        <w:color w:val="908371"/>
        <w:sz w:val="16"/>
        <w:szCs w:val="1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nsid w:val="60671D6C"/>
    <w:multiLevelType w:val="multilevel"/>
    <w:tmpl w:val="23F2828E"/>
    <w:lvl w:ilvl="0">
      <w:start w:val="1"/>
      <w:numFmt w:val="bullet"/>
      <w:lvlText w:val=""/>
      <w:lvlJc w:val="left"/>
      <w:pPr>
        <w:tabs>
          <w:tab w:val="num" w:pos="227"/>
        </w:tabs>
        <w:ind w:left="227" w:hanging="227"/>
      </w:pPr>
      <w:rPr>
        <w:rFonts w:ascii="Symbol" w:hAnsi="Symbol" w:hint="default"/>
        <w:color w:val="908371"/>
        <w:sz w:val="16"/>
        <w:szCs w:val="1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nsid w:val="60C6443D"/>
    <w:multiLevelType w:val="multilevel"/>
    <w:tmpl w:val="EDA445C0"/>
    <w:lvl w:ilvl="0">
      <w:start w:val="1"/>
      <w:numFmt w:val="bullet"/>
      <w:lvlText w:val=""/>
      <w:lvlJc w:val="left"/>
      <w:pPr>
        <w:tabs>
          <w:tab w:val="num" w:pos="227"/>
        </w:tabs>
        <w:ind w:left="227" w:hanging="227"/>
      </w:pPr>
      <w:rPr>
        <w:rFonts w:ascii="Symbol" w:hAnsi="Symbol" w:hint="default"/>
        <w:color w:val="908371"/>
        <w:sz w:val="16"/>
        <w:szCs w:val="1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nsid w:val="66D66B57"/>
    <w:multiLevelType w:val="hybridMultilevel"/>
    <w:tmpl w:val="81201E3C"/>
    <w:lvl w:ilvl="0" w:tplc="24CADB3E">
      <w:start w:val="1"/>
      <w:numFmt w:val="bullet"/>
      <w:lvlText w:val=""/>
      <w:lvlJc w:val="left"/>
      <w:pPr>
        <w:tabs>
          <w:tab w:val="num" w:pos="357"/>
        </w:tabs>
        <w:ind w:left="357" w:hanging="357"/>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0">
    <w:nsid w:val="673D6CFA"/>
    <w:multiLevelType w:val="singleLevel"/>
    <w:tmpl w:val="21566986"/>
    <w:lvl w:ilvl="0">
      <w:start w:val="1"/>
      <w:numFmt w:val="bullet"/>
      <w:lvlText w:val=""/>
      <w:lvlJc w:val="left"/>
      <w:pPr>
        <w:tabs>
          <w:tab w:val="num" w:pos="357"/>
        </w:tabs>
        <w:ind w:left="357" w:hanging="357"/>
      </w:pPr>
      <w:rPr>
        <w:rFonts w:ascii="Symbol" w:hAnsi="Symbol" w:hint="default"/>
      </w:rPr>
    </w:lvl>
  </w:abstractNum>
  <w:abstractNum w:abstractNumId="31">
    <w:nsid w:val="709967EB"/>
    <w:multiLevelType w:val="singleLevel"/>
    <w:tmpl w:val="21566986"/>
    <w:lvl w:ilvl="0">
      <w:start w:val="1"/>
      <w:numFmt w:val="bullet"/>
      <w:lvlText w:val=""/>
      <w:lvlJc w:val="left"/>
      <w:pPr>
        <w:tabs>
          <w:tab w:val="num" w:pos="357"/>
        </w:tabs>
        <w:ind w:left="357" w:hanging="357"/>
      </w:pPr>
      <w:rPr>
        <w:rFonts w:ascii="Symbol" w:hAnsi="Symbol" w:hint="default"/>
      </w:rPr>
    </w:lvl>
  </w:abstractNum>
  <w:abstractNum w:abstractNumId="32">
    <w:nsid w:val="711038B0"/>
    <w:multiLevelType w:val="singleLevel"/>
    <w:tmpl w:val="21566986"/>
    <w:lvl w:ilvl="0">
      <w:start w:val="1"/>
      <w:numFmt w:val="bullet"/>
      <w:lvlText w:val=""/>
      <w:lvlJc w:val="left"/>
      <w:pPr>
        <w:tabs>
          <w:tab w:val="num" w:pos="357"/>
        </w:tabs>
        <w:ind w:left="357" w:hanging="357"/>
      </w:pPr>
      <w:rPr>
        <w:rFonts w:ascii="Symbol" w:hAnsi="Symbol" w:hint="default"/>
      </w:rPr>
    </w:lvl>
  </w:abstractNum>
  <w:abstractNum w:abstractNumId="33">
    <w:nsid w:val="730E3F35"/>
    <w:multiLevelType w:val="hybridMultilevel"/>
    <w:tmpl w:val="0F00D59A"/>
    <w:lvl w:ilvl="0" w:tplc="24CADB3E">
      <w:start w:val="1"/>
      <w:numFmt w:val="bullet"/>
      <w:lvlText w:val=""/>
      <w:lvlJc w:val="left"/>
      <w:pPr>
        <w:tabs>
          <w:tab w:val="num" w:pos="357"/>
        </w:tabs>
        <w:ind w:left="357" w:hanging="357"/>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4">
    <w:nsid w:val="735B408D"/>
    <w:multiLevelType w:val="multilevel"/>
    <w:tmpl w:val="23F2828E"/>
    <w:lvl w:ilvl="0">
      <w:start w:val="1"/>
      <w:numFmt w:val="bullet"/>
      <w:lvlText w:val=""/>
      <w:lvlJc w:val="left"/>
      <w:pPr>
        <w:tabs>
          <w:tab w:val="num" w:pos="227"/>
        </w:tabs>
        <w:ind w:left="227" w:hanging="227"/>
      </w:pPr>
      <w:rPr>
        <w:rFonts w:ascii="Symbol" w:hAnsi="Symbol" w:hint="default"/>
        <w:color w:val="908371"/>
        <w:sz w:val="16"/>
        <w:szCs w:val="1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nsid w:val="73985F23"/>
    <w:multiLevelType w:val="multilevel"/>
    <w:tmpl w:val="EDA445C0"/>
    <w:lvl w:ilvl="0">
      <w:start w:val="1"/>
      <w:numFmt w:val="bullet"/>
      <w:lvlText w:val=""/>
      <w:lvlJc w:val="left"/>
      <w:pPr>
        <w:tabs>
          <w:tab w:val="num" w:pos="227"/>
        </w:tabs>
        <w:ind w:left="227" w:hanging="227"/>
      </w:pPr>
      <w:rPr>
        <w:rFonts w:ascii="Symbol" w:hAnsi="Symbol" w:hint="default"/>
        <w:color w:val="908371"/>
        <w:sz w:val="16"/>
        <w:szCs w:val="1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nsid w:val="73A41E3E"/>
    <w:multiLevelType w:val="multilevel"/>
    <w:tmpl w:val="EF1A384A"/>
    <w:lvl w:ilvl="0">
      <w:start w:val="25"/>
      <w:numFmt w:val="decimal"/>
      <w:lvlText w:val="%1"/>
      <w:lvlJc w:val="left"/>
      <w:pPr>
        <w:tabs>
          <w:tab w:val="num" w:pos="1050"/>
        </w:tabs>
        <w:ind w:left="1050" w:hanging="1050"/>
      </w:pPr>
      <w:rPr>
        <w:rFonts w:hint="default"/>
      </w:rPr>
    </w:lvl>
    <w:lvl w:ilvl="1">
      <w:start w:val="7"/>
      <w:numFmt w:val="decimalZero"/>
      <w:lvlText w:val="%1.%2"/>
      <w:lvlJc w:val="left"/>
      <w:pPr>
        <w:tabs>
          <w:tab w:val="num" w:pos="1050"/>
        </w:tabs>
        <w:ind w:left="1050" w:hanging="1050"/>
      </w:pPr>
      <w:rPr>
        <w:rFonts w:hint="default"/>
      </w:rPr>
    </w:lvl>
    <w:lvl w:ilvl="2">
      <w:start w:val="1"/>
      <w:numFmt w:val="decimalZero"/>
      <w:lvlText w:val="%1.%2.%3"/>
      <w:lvlJc w:val="left"/>
      <w:pPr>
        <w:tabs>
          <w:tab w:val="num" w:pos="1050"/>
        </w:tabs>
        <w:ind w:left="1050" w:hanging="1050"/>
      </w:pPr>
      <w:rPr>
        <w:rFonts w:hint="default"/>
      </w:rPr>
    </w:lvl>
    <w:lvl w:ilvl="3">
      <w:start w:val="1"/>
      <w:numFmt w:val="decimal"/>
      <w:lvlText w:val="%1.%2.%3.%4"/>
      <w:lvlJc w:val="left"/>
      <w:pPr>
        <w:tabs>
          <w:tab w:val="num" w:pos="1050"/>
        </w:tabs>
        <w:ind w:left="1050" w:hanging="105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nsid w:val="75F2226D"/>
    <w:multiLevelType w:val="multilevel"/>
    <w:tmpl w:val="23F2828E"/>
    <w:lvl w:ilvl="0">
      <w:start w:val="1"/>
      <w:numFmt w:val="bullet"/>
      <w:lvlText w:val=""/>
      <w:lvlJc w:val="left"/>
      <w:pPr>
        <w:tabs>
          <w:tab w:val="num" w:pos="227"/>
        </w:tabs>
        <w:ind w:left="227" w:hanging="227"/>
      </w:pPr>
      <w:rPr>
        <w:rFonts w:ascii="Symbol" w:hAnsi="Symbol"/>
        <w:color w:val="908371"/>
        <w:sz w:val="1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8">
    <w:nsid w:val="77DF7FF3"/>
    <w:multiLevelType w:val="singleLevel"/>
    <w:tmpl w:val="21566986"/>
    <w:lvl w:ilvl="0">
      <w:start w:val="1"/>
      <w:numFmt w:val="bullet"/>
      <w:lvlText w:val=""/>
      <w:lvlJc w:val="left"/>
      <w:pPr>
        <w:tabs>
          <w:tab w:val="num" w:pos="357"/>
        </w:tabs>
        <w:ind w:left="357" w:hanging="357"/>
      </w:pPr>
      <w:rPr>
        <w:rFonts w:ascii="Symbol" w:hAnsi="Symbol" w:hint="default"/>
      </w:rPr>
    </w:lvl>
  </w:abstractNum>
  <w:abstractNum w:abstractNumId="39">
    <w:nsid w:val="7D865A8A"/>
    <w:multiLevelType w:val="multilevel"/>
    <w:tmpl w:val="23F2828E"/>
    <w:lvl w:ilvl="0">
      <w:start w:val="1"/>
      <w:numFmt w:val="bullet"/>
      <w:lvlText w:val=""/>
      <w:lvlJc w:val="left"/>
      <w:pPr>
        <w:tabs>
          <w:tab w:val="num" w:pos="227"/>
        </w:tabs>
        <w:ind w:left="227" w:hanging="227"/>
      </w:pPr>
      <w:rPr>
        <w:rFonts w:ascii="Symbol" w:hAnsi="Symbol" w:hint="default"/>
        <w:color w:val="908371"/>
        <w:sz w:val="16"/>
        <w:szCs w:val="1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0">
    <w:nsid w:val="7DAA2EB1"/>
    <w:multiLevelType w:val="multilevel"/>
    <w:tmpl w:val="23F2828E"/>
    <w:lvl w:ilvl="0">
      <w:start w:val="1"/>
      <w:numFmt w:val="bullet"/>
      <w:lvlText w:val=""/>
      <w:lvlJc w:val="left"/>
      <w:pPr>
        <w:tabs>
          <w:tab w:val="num" w:pos="227"/>
        </w:tabs>
        <w:ind w:left="227" w:hanging="227"/>
      </w:pPr>
      <w:rPr>
        <w:rFonts w:ascii="Symbol" w:hAnsi="Symbol" w:hint="default"/>
        <w:color w:val="908371"/>
        <w:sz w:val="16"/>
        <w:szCs w:val="1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16"/>
  </w:num>
  <w:num w:numId="3">
    <w:abstractNumId w:val="11"/>
  </w:num>
  <w:num w:numId="4">
    <w:abstractNumId w:val="36"/>
  </w:num>
  <w:num w:numId="5">
    <w:abstractNumId w:val="33"/>
  </w:num>
  <w:num w:numId="6">
    <w:abstractNumId w:val="13"/>
  </w:num>
  <w:num w:numId="7">
    <w:abstractNumId w:val="10"/>
  </w:num>
  <w:num w:numId="8">
    <w:abstractNumId w:val="29"/>
  </w:num>
  <w:num w:numId="9">
    <w:abstractNumId w:val="38"/>
  </w:num>
  <w:num w:numId="10">
    <w:abstractNumId w:val="31"/>
  </w:num>
  <w:num w:numId="11">
    <w:abstractNumId w:val="32"/>
  </w:num>
  <w:num w:numId="12">
    <w:abstractNumId w:val="30"/>
  </w:num>
  <w:num w:numId="13">
    <w:abstractNumId w:val="19"/>
  </w:num>
  <w:num w:numId="14">
    <w:abstractNumId w:val="20"/>
  </w:num>
  <w:num w:numId="15">
    <w:abstractNumId w:val="23"/>
  </w:num>
  <w:num w:numId="16">
    <w:abstractNumId w:val="25"/>
  </w:num>
  <w:num w:numId="17">
    <w:abstractNumId w:val="18"/>
  </w:num>
  <w:num w:numId="18">
    <w:abstractNumId w:val="26"/>
  </w:num>
  <w:num w:numId="19">
    <w:abstractNumId w:val="22"/>
  </w:num>
  <w:num w:numId="20">
    <w:abstractNumId w:val="40"/>
  </w:num>
  <w:num w:numId="21">
    <w:abstractNumId w:val="39"/>
  </w:num>
  <w:num w:numId="22">
    <w:abstractNumId w:val="15"/>
  </w:num>
  <w:num w:numId="23">
    <w:abstractNumId w:val="21"/>
  </w:num>
  <w:num w:numId="24">
    <w:abstractNumId w:val="34"/>
  </w:num>
  <w:num w:numId="25">
    <w:abstractNumId w:val="27"/>
  </w:num>
  <w:num w:numId="26">
    <w:abstractNumId w:val="9"/>
  </w:num>
  <w:num w:numId="27">
    <w:abstractNumId w:val="7"/>
  </w:num>
  <w:num w:numId="28">
    <w:abstractNumId w:val="6"/>
  </w:num>
  <w:num w:numId="29">
    <w:abstractNumId w:val="5"/>
  </w:num>
  <w:num w:numId="30">
    <w:abstractNumId w:val="4"/>
  </w:num>
  <w:num w:numId="31">
    <w:abstractNumId w:val="8"/>
  </w:num>
  <w:num w:numId="32">
    <w:abstractNumId w:val="3"/>
  </w:num>
  <w:num w:numId="33">
    <w:abstractNumId w:val="2"/>
  </w:num>
  <w:num w:numId="34">
    <w:abstractNumId w:val="1"/>
  </w:num>
  <w:num w:numId="35">
    <w:abstractNumId w:val="0"/>
  </w:num>
  <w:num w:numId="36">
    <w:abstractNumId w:val="17"/>
  </w:num>
  <w:num w:numId="37">
    <w:abstractNumId w:val="24"/>
  </w:num>
  <w:num w:numId="38">
    <w:abstractNumId w:val="37"/>
  </w:num>
  <w:num w:numId="39">
    <w:abstractNumId w:val="28"/>
  </w:num>
  <w:num w:numId="40">
    <w:abstractNumId w:val="35"/>
  </w:num>
  <w:num w:numId="4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2"/>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9"/>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312D"/>
    <w:rsid w:val="00003EDD"/>
    <w:rsid w:val="00016616"/>
    <w:rsid w:val="000231A0"/>
    <w:rsid w:val="00040FCB"/>
    <w:rsid w:val="00042485"/>
    <w:rsid w:val="000523E8"/>
    <w:rsid w:val="000B10FE"/>
    <w:rsid w:val="000B5F20"/>
    <w:rsid w:val="000B7E3E"/>
    <w:rsid w:val="000C7D44"/>
    <w:rsid w:val="000D76F2"/>
    <w:rsid w:val="000E38CE"/>
    <w:rsid w:val="000F0FE8"/>
    <w:rsid w:val="000F302D"/>
    <w:rsid w:val="000F63C2"/>
    <w:rsid w:val="00117DB6"/>
    <w:rsid w:val="00124D5B"/>
    <w:rsid w:val="0013302B"/>
    <w:rsid w:val="00135446"/>
    <w:rsid w:val="00136966"/>
    <w:rsid w:val="0016640C"/>
    <w:rsid w:val="00183BE6"/>
    <w:rsid w:val="001944FF"/>
    <w:rsid w:val="001A3DCA"/>
    <w:rsid w:val="001B3B6C"/>
    <w:rsid w:val="001B6135"/>
    <w:rsid w:val="001C65E4"/>
    <w:rsid w:val="001D067C"/>
    <w:rsid w:val="001D3386"/>
    <w:rsid w:val="001E6848"/>
    <w:rsid w:val="001F40D6"/>
    <w:rsid w:val="00213439"/>
    <w:rsid w:val="00221454"/>
    <w:rsid w:val="00230E57"/>
    <w:rsid w:val="00235A7F"/>
    <w:rsid w:val="002366B9"/>
    <w:rsid w:val="00241E3D"/>
    <w:rsid w:val="00247ADD"/>
    <w:rsid w:val="0025312D"/>
    <w:rsid w:val="00257A91"/>
    <w:rsid w:val="0027137D"/>
    <w:rsid w:val="002870FB"/>
    <w:rsid w:val="00287517"/>
    <w:rsid w:val="002916BB"/>
    <w:rsid w:val="00294E0D"/>
    <w:rsid w:val="00296538"/>
    <w:rsid w:val="002A3AF4"/>
    <w:rsid w:val="002B11CD"/>
    <w:rsid w:val="002B49FF"/>
    <w:rsid w:val="002B7ED4"/>
    <w:rsid w:val="002C45F8"/>
    <w:rsid w:val="002D44C0"/>
    <w:rsid w:val="002E3BDD"/>
    <w:rsid w:val="002E6BEF"/>
    <w:rsid w:val="002F17FB"/>
    <w:rsid w:val="00301D89"/>
    <w:rsid w:val="0031289B"/>
    <w:rsid w:val="00320CBD"/>
    <w:rsid w:val="00325964"/>
    <w:rsid w:val="00332BFF"/>
    <w:rsid w:val="00342286"/>
    <w:rsid w:val="00346832"/>
    <w:rsid w:val="00352970"/>
    <w:rsid w:val="00363901"/>
    <w:rsid w:val="00372228"/>
    <w:rsid w:val="00373CCD"/>
    <w:rsid w:val="00383BFF"/>
    <w:rsid w:val="0038486E"/>
    <w:rsid w:val="00392645"/>
    <w:rsid w:val="00396046"/>
    <w:rsid w:val="003A3E86"/>
    <w:rsid w:val="003F470F"/>
    <w:rsid w:val="00405D8C"/>
    <w:rsid w:val="00446B48"/>
    <w:rsid w:val="00454CDD"/>
    <w:rsid w:val="00464303"/>
    <w:rsid w:val="00473A74"/>
    <w:rsid w:val="004811C4"/>
    <w:rsid w:val="00486B75"/>
    <w:rsid w:val="00487447"/>
    <w:rsid w:val="00487B9D"/>
    <w:rsid w:val="00492727"/>
    <w:rsid w:val="00494FC4"/>
    <w:rsid w:val="00497331"/>
    <w:rsid w:val="004D06A3"/>
    <w:rsid w:val="004D7E58"/>
    <w:rsid w:val="004E2C62"/>
    <w:rsid w:val="004E36BC"/>
    <w:rsid w:val="00507A57"/>
    <w:rsid w:val="00512265"/>
    <w:rsid w:val="0051355B"/>
    <w:rsid w:val="00523309"/>
    <w:rsid w:val="00531148"/>
    <w:rsid w:val="0053206B"/>
    <w:rsid w:val="00535D8C"/>
    <w:rsid w:val="00535ED5"/>
    <w:rsid w:val="00537826"/>
    <w:rsid w:val="0054182B"/>
    <w:rsid w:val="00562F09"/>
    <w:rsid w:val="005638BB"/>
    <w:rsid w:val="00574DB7"/>
    <w:rsid w:val="00577901"/>
    <w:rsid w:val="005A1668"/>
    <w:rsid w:val="005B1425"/>
    <w:rsid w:val="005B3106"/>
    <w:rsid w:val="005B50B9"/>
    <w:rsid w:val="005C0BF7"/>
    <w:rsid w:val="005C5D99"/>
    <w:rsid w:val="005E1E9E"/>
    <w:rsid w:val="00600E88"/>
    <w:rsid w:val="00622EC5"/>
    <w:rsid w:val="006310C8"/>
    <w:rsid w:val="00652F9C"/>
    <w:rsid w:val="00661947"/>
    <w:rsid w:val="006626CA"/>
    <w:rsid w:val="0067061D"/>
    <w:rsid w:val="006751EE"/>
    <w:rsid w:val="006975B9"/>
    <w:rsid w:val="006F34E3"/>
    <w:rsid w:val="00712F5C"/>
    <w:rsid w:val="00732F9B"/>
    <w:rsid w:val="007464CE"/>
    <w:rsid w:val="007545D9"/>
    <w:rsid w:val="0079450A"/>
    <w:rsid w:val="00795417"/>
    <w:rsid w:val="00796CC0"/>
    <w:rsid w:val="00797F38"/>
    <w:rsid w:val="007B0E54"/>
    <w:rsid w:val="007B42C2"/>
    <w:rsid w:val="007B4522"/>
    <w:rsid w:val="007B7EB4"/>
    <w:rsid w:val="007C2689"/>
    <w:rsid w:val="007C4412"/>
    <w:rsid w:val="007C4950"/>
    <w:rsid w:val="007F2E1A"/>
    <w:rsid w:val="00805BCE"/>
    <w:rsid w:val="00806783"/>
    <w:rsid w:val="00821B92"/>
    <w:rsid w:val="00837306"/>
    <w:rsid w:val="00841CE3"/>
    <w:rsid w:val="008469DA"/>
    <w:rsid w:val="00847D87"/>
    <w:rsid w:val="00847DF2"/>
    <w:rsid w:val="008606AF"/>
    <w:rsid w:val="00870561"/>
    <w:rsid w:val="00871896"/>
    <w:rsid w:val="008B287F"/>
    <w:rsid w:val="008D16E4"/>
    <w:rsid w:val="008D2FD5"/>
    <w:rsid w:val="008D6B93"/>
    <w:rsid w:val="008F3279"/>
    <w:rsid w:val="008F6EB1"/>
    <w:rsid w:val="009003A5"/>
    <w:rsid w:val="00912F24"/>
    <w:rsid w:val="009136E7"/>
    <w:rsid w:val="00926553"/>
    <w:rsid w:val="0094733A"/>
    <w:rsid w:val="009564AC"/>
    <w:rsid w:val="00965462"/>
    <w:rsid w:val="00966592"/>
    <w:rsid w:val="00966DE3"/>
    <w:rsid w:val="00980F85"/>
    <w:rsid w:val="009936D8"/>
    <w:rsid w:val="00996D79"/>
    <w:rsid w:val="00997AD1"/>
    <w:rsid w:val="009A46F8"/>
    <w:rsid w:val="009D0111"/>
    <w:rsid w:val="009D42A3"/>
    <w:rsid w:val="009E2E4C"/>
    <w:rsid w:val="009E6AC3"/>
    <w:rsid w:val="009F6252"/>
    <w:rsid w:val="00A00FC7"/>
    <w:rsid w:val="00A1130D"/>
    <w:rsid w:val="00A12D2C"/>
    <w:rsid w:val="00A15BC8"/>
    <w:rsid w:val="00A23B68"/>
    <w:rsid w:val="00A24DFE"/>
    <w:rsid w:val="00A3297A"/>
    <w:rsid w:val="00A40075"/>
    <w:rsid w:val="00A44424"/>
    <w:rsid w:val="00A542A5"/>
    <w:rsid w:val="00A705B9"/>
    <w:rsid w:val="00A7779B"/>
    <w:rsid w:val="00A823EA"/>
    <w:rsid w:val="00A90AF5"/>
    <w:rsid w:val="00AA0934"/>
    <w:rsid w:val="00AA18CE"/>
    <w:rsid w:val="00AA75F4"/>
    <w:rsid w:val="00AC1FB7"/>
    <w:rsid w:val="00AD070B"/>
    <w:rsid w:val="00AD0BA8"/>
    <w:rsid w:val="00AD13BB"/>
    <w:rsid w:val="00AE6926"/>
    <w:rsid w:val="00AF26B4"/>
    <w:rsid w:val="00B05C3B"/>
    <w:rsid w:val="00B221AF"/>
    <w:rsid w:val="00B250C1"/>
    <w:rsid w:val="00B33675"/>
    <w:rsid w:val="00B35F9F"/>
    <w:rsid w:val="00B370CC"/>
    <w:rsid w:val="00B61A75"/>
    <w:rsid w:val="00B76189"/>
    <w:rsid w:val="00B90465"/>
    <w:rsid w:val="00BA7E10"/>
    <w:rsid w:val="00BB6731"/>
    <w:rsid w:val="00BC3E69"/>
    <w:rsid w:val="00BC4063"/>
    <w:rsid w:val="00BD09AD"/>
    <w:rsid w:val="00BD77A8"/>
    <w:rsid w:val="00BE0603"/>
    <w:rsid w:val="00BE2A91"/>
    <w:rsid w:val="00BF1FC0"/>
    <w:rsid w:val="00BF53CC"/>
    <w:rsid w:val="00BF7AE3"/>
    <w:rsid w:val="00C040FF"/>
    <w:rsid w:val="00C35631"/>
    <w:rsid w:val="00C36450"/>
    <w:rsid w:val="00C36E05"/>
    <w:rsid w:val="00C37F46"/>
    <w:rsid w:val="00C42139"/>
    <w:rsid w:val="00C551A8"/>
    <w:rsid w:val="00C750FE"/>
    <w:rsid w:val="00C76250"/>
    <w:rsid w:val="00C956F2"/>
    <w:rsid w:val="00C96908"/>
    <w:rsid w:val="00CB2504"/>
    <w:rsid w:val="00CB4FEF"/>
    <w:rsid w:val="00CD405C"/>
    <w:rsid w:val="00CE45F8"/>
    <w:rsid w:val="00CF24EC"/>
    <w:rsid w:val="00CF5B12"/>
    <w:rsid w:val="00D5095A"/>
    <w:rsid w:val="00D53BE9"/>
    <w:rsid w:val="00D739E1"/>
    <w:rsid w:val="00D75D02"/>
    <w:rsid w:val="00D80B62"/>
    <w:rsid w:val="00D80D86"/>
    <w:rsid w:val="00D93634"/>
    <w:rsid w:val="00D95751"/>
    <w:rsid w:val="00DA1D82"/>
    <w:rsid w:val="00DA3449"/>
    <w:rsid w:val="00DB4BF5"/>
    <w:rsid w:val="00DD2F7A"/>
    <w:rsid w:val="00DE6972"/>
    <w:rsid w:val="00DE6C7C"/>
    <w:rsid w:val="00E0564D"/>
    <w:rsid w:val="00E06158"/>
    <w:rsid w:val="00E31644"/>
    <w:rsid w:val="00E42207"/>
    <w:rsid w:val="00E5277F"/>
    <w:rsid w:val="00E564A2"/>
    <w:rsid w:val="00E62969"/>
    <w:rsid w:val="00E81526"/>
    <w:rsid w:val="00EA3FBE"/>
    <w:rsid w:val="00EC23D1"/>
    <w:rsid w:val="00ED4027"/>
    <w:rsid w:val="00ED43AE"/>
    <w:rsid w:val="00ED6ACB"/>
    <w:rsid w:val="00EF15EB"/>
    <w:rsid w:val="00EF5984"/>
    <w:rsid w:val="00EF6AB2"/>
    <w:rsid w:val="00F017BA"/>
    <w:rsid w:val="00F02E72"/>
    <w:rsid w:val="00F17468"/>
    <w:rsid w:val="00F17E79"/>
    <w:rsid w:val="00F2234D"/>
    <w:rsid w:val="00F27F81"/>
    <w:rsid w:val="00F3023A"/>
    <w:rsid w:val="00F302A7"/>
    <w:rsid w:val="00F3061E"/>
    <w:rsid w:val="00F34BAA"/>
    <w:rsid w:val="00F56E79"/>
    <w:rsid w:val="00F878C0"/>
    <w:rsid w:val="00F97FEC"/>
    <w:rsid w:val="00FA2819"/>
    <w:rsid w:val="00FB031C"/>
    <w:rsid w:val="00FB1C17"/>
    <w:rsid w:val="00FB2239"/>
    <w:rsid w:val="00FC5AE3"/>
    <w:rsid w:val="00FC67DB"/>
    <w:rsid w:val="00FE3FFF"/>
    <w:rsid w:val="00FF0214"/>
    <w:rsid w:val="00FF7044"/>
    <w:rsid w:val="00FF7E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564A2"/>
    <w:rPr>
      <w:rFonts w:ascii="Arial" w:hAnsi="Arial"/>
      <w:sz w:val="18"/>
      <w:szCs w:val="24"/>
      <w:lang w:eastAsia="en-US"/>
    </w:rPr>
  </w:style>
  <w:style w:type="paragraph" w:styleId="Heading1">
    <w:name w:val="heading 1"/>
    <w:basedOn w:val="Normal"/>
    <w:next w:val="Normal"/>
    <w:qFormat/>
    <w:rsid w:val="00AF26B4"/>
    <w:pPr>
      <w:keepNext/>
      <w:spacing w:before="240" w:after="60"/>
      <w:outlineLvl w:val="0"/>
    </w:pPr>
    <w:rPr>
      <w:rFonts w:cs="Arial"/>
      <w:b/>
      <w:bCs/>
      <w:kern w:val="32"/>
      <w:sz w:val="32"/>
      <w:szCs w:val="32"/>
    </w:rPr>
  </w:style>
  <w:style w:type="paragraph" w:styleId="Heading2">
    <w:name w:val="heading 2"/>
    <w:basedOn w:val="Normal"/>
    <w:next w:val="Normal"/>
    <w:qFormat/>
    <w:rsid w:val="00AF26B4"/>
    <w:pPr>
      <w:keepNext/>
      <w:spacing w:before="240" w:after="60"/>
      <w:outlineLvl w:val="1"/>
    </w:pPr>
    <w:rPr>
      <w:rFonts w:cs="Arial"/>
      <w:b/>
      <w:bCs/>
      <w:i/>
      <w:iCs/>
      <w:sz w:val="28"/>
      <w:szCs w:val="28"/>
    </w:rPr>
  </w:style>
  <w:style w:type="paragraph" w:styleId="Heading3">
    <w:name w:val="heading 3"/>
    <w:basedOn w:val="Normal"/>
    <w:next w:val="Normal"/>
    <w:qFormat/>
    <w:rsid w:val="00AF26B4"/>
    <w:pPr>
      <w:keepNext/>
      <w:spacing w:before="240" w:after="60"/>
      <w:outlineLvl w:val="2"/>
    </w:pPr>
    <w:rPr>
      <w:rFonts w:cs="Arial"/>
      <w:b/>
      <w:bCs/>
      <w:sz w:val="26"/>
      <w:szCs w:val="26"/>
    </w:rPr>
  </w:style>
  <w:style w:type="paragraph" w:styleId="Heading4">
    <w:name w:val="heading 4"/>
    <w:basedOn w:val="Normal"/>
    <w:next w:val="Normal"/>
    <w:qFormat/>
    <w:rsid w:val="00E564A2"/>
    <w:pPr>
      <w:keepNext/>
      <w:spacing w:line="260" w:lineRule="exact"/>
      <w:outlineLvl w:val="3"/>
    </w:pPr>
    <w:rPr>
      <w:i/>
      <w:color w:val="00406E"/>
      <w:sz w:val="17"/>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E564A2"/>
    <w:pPr>
      <w:tabs>
        <w:tab w:val="center" w:pos="4320"/>
        <w:tab w:val="right" w:pos="8640"/>
      </w:tabs>
    </w:pPr>
  </w:style>
  <w:style w:type="paragraph" w:styleId="Footer">
    <w:name w:val="footer"/>
    <w:basedOn w:val="Normal"/>
    <w:semiHidden/>
    <w:rsid w:val="00E564A2"/>
    <w:pPr>
      <w:tabs>
        <w:tab w:val="center" w:pos="4320"/>
        <w:tab w:val="right" w:pos="8640"/>
      </w:tabs>
    </w:pPr>
  </w:style>
  <w:style w:type="character" w:styleId="PageNumber">
    <w:name w:val="page number"/>
    <w:semiHidden/>
    <w:rsid w:val="00E564A2"/>
    <w:rPr>
      <w:rFonts w:ascii="Arial" w:hAnsi="Arial"/>
    </w:rPr>
  </w:style>
  <w:style w:type="paragraph" w:customStyle="1" w:styleId="Tablebullet">
    <w:name w:val="_Table bullet"/>
    <w:basedOn w:val="Normal"/>
    <w:rsid w:val="004D06A3"/>
    <w:pPr>
      <w:tabs>
        <w:tab w:val="num" w:pos="227"/>
      </w:tabs>
      <w:ind w:left="227" w:hanging="227"/>
    </w:pPr>
  </w:style>
  <w:style w:type="table" w:styleId="TableGrid">
    <w:name w:val="Table Grid"/>
    <w:basedOn w:val="TableNormal"/>
    <w:rsid w:val="00E564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Text"/>
    <w:next w:val="Text"/>
    <w:rsid w:val="00325964"/>
    <w:pPr>
      <w:tabs>
        <w:tab w:val="right" w:pos="5932"/>
      </w:tabs>
      <w:spacing w:after="200"/>
    </w:pPr>
  </w:style>
  <w:style w:type="paragraph" w:customStyle="1" w:styleId="Summary">
    <w:name w:val="Summary"/>
    <w:basedOn w:val="Normal"/>
    <w:rsid w:val="004D06A3"/>
    <w:pPr>
      <w:pBdr>
        <w:bottom w:val="dashSmallGap" w:sz="8" w:space="3" w:color="766A62"/>
      </w:pBdr>
      <w:spacing w:before="40" w:after="120" w:line="260" w:lineRule="exact"/>
      <w:jc w:val="both"/>
    </w:pPr>
    <w:rPr>
      <w:rFonts w:cs="Arial"/>
      <w:b/>
      <w:bCs/>
      <w:color w:val="5B2B2F"/>
      <w:sz w:val="19"/>
      <w:szCs w:val="19"/>
    </w:rPr>
  </w:style>
  <w:style w:type="paragraph" w:customStyle="1" w:styleId="Text">
    <w:name w:val="Text"/>
    <w:link w:val="TextChar"/>
    <w:rsid w:val="00A00FC7"/>
    <w:pPr>
      <w:spacing w:line="260" w:lineRule="exact"/>
      <w:jc w:val="both"/>
    </w:pPr>
    <w:rPr>
      <w:rFonts w:ascii="Arial" w:hAnsi="Arial"/>
      <w:sz w:val="19"/>
      <w:szCs w:val="19"/>
      <w:lang w:eastAsia="en-US"/>
    </w:rPr>
  </w:style>
  <w:style w:type="paragraph" w:customStyle="1" w:styleId="Textintable">
    <w:name w:val="Text in table"/>
    <w:rsid w:val="0079450A"/>
    <w:pPr>
      <w:autoSpaceDE w:val="0"/>
      <w:autoSpaceDN w:val="0"/>
      <w:adjustRightInd w:val="0"/>
      <w:spacing w:line="260" w:lineRule="exact"/>
    </w:pPr>
    <w:rPr>
      <w:rFonts w:ascii="Arial" w:hAnsi="Arial" w:cs="Arial"/>
      <w:sz w:val="16"/>
      <w:szCs w:val="16"/>
      <w:lang w:eastAsia="nl-NL"/>
    </w:rPr>
  </w:style>
  <w:style w:type="paragraph" w:customStyle="1" w:styleId="HEADING10">
    <w:name w:val="HEADING_1"/>
    <w:basedOn w:val="Normal"/>
    <w:rsid w:val="00C36E05"/>
    <w:pPr>
      <w:spacing w:after="240"/>
    </w:pPr>
    <w:rPr>
      <w:rFonts w:cs="Arial"/>
      <w:b/>
      <w:caps/>
      <w:color w:val="0088CE"/>
      <w:sz w:val="26"/>
      <w:szCs w:val="26"/>
    </w:rPr>
  </w:style>
  <w:style w:type="paragraph" w:customStyle="1" w:styleId="HEADING20">
    <w:name w:val="HEADING_2"/>
    <w:rsid w:val="00C36E05"/>
    <w:pPr>
      <w:spacing w:before="60" w:after="120" w:line="260" w:lineRule="atLeast"/>
    </w:pPr>
    <w:rPr>
      <w:rFonts w:ascii="Arial" w:hAnsi="Arial"/>
      <w:b/>
      <w:caps/>
      <w:color w:val="642A0B"/>
      <w:lang w:eastAsia="en-US"/>
    </w:rPr>
  </w:style>
  <w:style w:type="paragraph" w:customStyle="1" w:styleId="Heading40">
    <w:name w:val="Heading_4"/>
    <w:rsid w:val="00C36E05"/>
    <w:pPr>
      <w:spacing w:line="220" w:lineRule="atLeast"/>
    </w:pPr>
    <w:rPr>
      <w:rFonts w:ascii="Arial" w:hAnsi="Arial"/>
      <w:b/>
      <w:color w:val="642A0B"/>
      <w:position w:val="4"/>
      <w:sz w:val="16"/>
      <w:szCs w:val="16"/>
      <w:lang w:eastAsia="en-US"/>
    </w:rPr>
  </w:style>
  <w:style w:type="paragraph" w:customStyle="1" w:styleId="HEADING30">
    <w:name w:val="HEADING_3"/>
    <w:basedOn w:val="Normal"/>
    <w:rsid w:val="00C36E05"/>
    <w:pPr>
      <w:spacing w:line="260" w:lineRule="exact"/>
      <w:jc w:val="both"/>
    </w:pPr>
    <w:rPr>
      <w:b/>
      <w:caps/>
      <w:sz w:val="19"/>
      <w:szCs w:val="19"/>
    </w:rPr>
  </w:style>
  <w:style w:type="paragraph" w:customStyle="1" w:styleId="Source">
    <w:name w:val="Source"/>
    <w:rsid w:val="00C42139"/>
    <w:pPr>
      <w:pBdr>
        <w:top w:val="dashSmallGap" w:sz="8" w:space="1" w:color="766A62"/>
      </w:pBdr>
      <w:spacing w:line="260" w:lineRule="exact"/>
    </w:pPr>
    <w:rPr>
      <w:rFonts w:ascii="Arial" w:hAnsi="Arial"/>
      <w:sz w:val="16"/>
      <w:szCs w:val="16"/>
      <w:lang w:eastAsia="en-US"/>
    </w:rPr>
  </w:style>
  <w:style w:type="paragraph" w:customStyle="1" w:styleId="BEFORECHART">
    <w:name w:val="BEFORE CHART"/>
    <w:basedOn w:val="Normal"/>
    <w:rsid w:val="00C36E05"/>
    <w:pPr>
      <w:pBdr>
        <w:bottom w:val="dashSmallGap" w:sz="8" w:space="1" w:color="766A62"/>
      </w:pBdr>
      <w:spacing w:line="260" w:lineRule="exact"/>
    </w:pPr>
    <w:rPr>
      <w:rFonts w:cs="Arial"/>
      <w:b/>
      <w:bCs/>
      <w:caps/>
      <w:color w:val="0088CE"/>
      <w:sz w:val="16"/>
      <w:szCs w:val="16"/>
      <w:lang w:eastAsia="nl-NL"/>
    </w:rPr>
  </w:style>
  <w:style w:type="paragraph" w:customStyle="1" w:styleId="Columnheading">
    <w:name w:val="Column heading"/>
    <w:basedOn w:val="BEFORECHART"/>
    <w:rsid w:val="00C36E05"/>
    <w:pPr>
      <w:autoSpaceDE w:val="0"/>
      <w:autoSpaceDN w:val="0"/>
      <w:adjustRightInd w:val="0"/>
      <w:jc w:val="center"/>
    </w:pPr>
    <w:rPr>
      <w:b w:val="0"/>
      <w:caps w:val="0"/>
    </w:rPr>
  </w:style>
  <w:style w:type="numbering" w:customStyle="1" w:styleId="StyleBulletedSymbolsymbol8ptCustomColorRGB144131113">
    <w:name w:val="Style Bulleted Symbol (symbol) 8 pt Custom Color(RGB(144131113..."/>
    <w:basedOn w:val="NoList"/>
    <w:rsid w:val="00652F9C"/>
    <w:pPr>
      <w:numPr>
        <w:numId w:val="36"/>
      </w:numPr>
    </w:pPr>
  </w:style>
  <w:style w:type="character" w:customStyle="1" w:styleId="TextChar">
    <w:name w:val="Text Char"/>
    <w:link w:val="Text"/>
    <w:rsid w:val="00A00FC7"/>
    <w:rPr>
      <w:rFonts w:ascii="Arial" w:hAnsi="Arial"/>
      <w:sz w:val="19"/>
      <w:szCs w:val="19"/>
      <w:lang w:val="en-GB" w:eastAsia="en-US" w:bidi="ar-SA"/>
    </w:rPr>
  </w:style>
  <w:style w:type="paragraph" w:styleId="TOC2">
    <w:name w:val="toc 2"/>
    <w:basedOn w:val="Text"/>
    <w:next w:val="Text"/>
    <w:rsid w:val="00325964"/>
    <w:pPr>
      <w:tabs>
        <w:tab w:val="right" w:pos="5925"/>
      </w:tabs>
      <w:spacing w:after="120"/>
      <w:ind w:left="181"/>
    </w:pPr>
  </w:style>
  <w:style w:type="character" w:styleId="Hyperlink">
    <w:name w:val="Hyperlink"/>
    <w:semiHidden/>
    <w:rsid w:val="00AF26B4"/>
    <w:rPr>
      <w:color w:val="0000FF"/>
      <w:u w:val="single"/>
    </w:rPr>
  </w:style>
  <w:style w:type="paragraph" w:styleId="BalloonText">
    <w:name w:val="Balloon Text"/>
    <w:basedOn w:val="Normal"/>
    <w:link w:val="BalloonTextChar"/>
    <w:rsid w:val="00BE0603"/>
    <w:rPr>
      <w:rFonts w:ascii="Tahoma" w:hAnsi="Tahoma" w:cs="Tahoma"/>
      <w:sz w:val="16"/>
      <w:szCs w:val="16"/>
    </w:rPr>
  </w:style>
  <w:style w:type="character" w:customStyle="1" w:styleId="BalloonTextChar">
    <w:name w:val="Balloon Text Char"/>
    <w:basedOn w:val="DefaultParagraphFont"/>
    <w:link w:val="BalloonText"/>
    <w:rsid w:val="00BE0603"/>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564A2"/>
    <w:rPr>
      <w:rFonts w:ascii="Arial" w:hAnsi="Arial"/>
      <w:sz w:val="18"/>
      <w:szCs w:val="24"/>
      <w:lang w:eastAsia="en-US"/>
    </w:rPr>
  </w:style>
  <w:style w:type="paragraph" w:styleId="Heading1">
    <w:name w:val="heading 1"/>
    <w:basedOn w:val="Normal"/>
    <w:next w:val="Normal"/>
    <w:qFormat/>
    <w:rsid w:val="00AF26B4"/>
    <w:pPr>
      <w:keepNext/>
      <w:spacing w:before="240" w:after="60"/>
      <w:outlineLvl w:val="0"/>
    </w:pPr>
    <w:rPr>
      <w:rFonts w:cs="Arial"/>
      <w:b/>
      <w:bCs/>
      <w:kern w:val="32"/>
      <w:sz w:val="32"/>
      <w:szCs w:val="32"/>
    </w:rPr>
  </w:style>
  <w:style w:type="paragraph" w:styleId="Heading2">
    <w:name w:val="heading 2"/>
    <w:basedOn w:val="Normal"/>
    <w:next w:val="Normal"/>
    <w:qFormat/>
    <w:rsid w:val="00AF26B4"/>
    <w:pPr>
      <w:keepNext/>
      <w:spacing w:before="240" w:after="60"/>
      <w:outlineLvl w:val="1"/>
    </w:pPr>
    <w:rPr>
      <w:rFonts w:cs="Arial"/>
      <w:b/>
      <w:bCs/>
      <w:i/>
      <w:iCs/>
      <w:sz w:val="28"/>
      <w:szCs w:val="28"/>
    </w:rPr>
  </w:style>
  <w:style w:type="paragraph" w:styleId="Heading3">
    <w:name w:val="heading 3"/>
    <w:basedOn w:val="Normal"/>
    <w:next w:val="Normal"/>
    <w:qFormat/>
    <w:rsid w:val="00AF26B4"/>
    <w:pPr>
      <w:keepNext/>
      <w:spacing w:before="240" w:after="60"/>
      <w:outlineLvl w:val="2"/>
    </w:pPr>
    <w:rPr>
      <w:rFonts w:cs="Arial"/>
      <w:b/>
      <w:bCs/>
      <w:sz w:val="26"/>
      <w:szCs w:val="26"/>
    </w:rPr>
  </w:style>
  <w:style w:type="paragraph" w:styleId="Heading4">
    <w:name w:val="heading 4"/>
    <w:basedOn w:val="Normal"/>
    <w:next w:val="Normal"/>
    <w:qFormat/>
    <w:rsid w:val="00E564A2"/>
    <w:pPr>
      <w:keepNext/>
      <w:spacing w:line="260" w:lineRule="exact"/>
      <w:outlineLvl w:val="3"/>
    </w:pPr>
    <w:rPr>
      <w:i/>
      <w:color w:val="00406E"/>
      <w:sz w:val="17"/>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E564A2"/>
    <w:pPr>
      <w:tabs>
        <w:tab w:val="center" w:pos="4320"/>
        <w:tab w:val="right" w:pos="8640"/>
      </w:tabs>
    </w:pPr>
  </w:style>
  <w:style w:type="paragraph" w:styleId="Footer">
    <w:name w:val="footer"/>
    <w:basedOn w:val="Normal"/>
    <w:semiHidden/>
    <w:rsid w:val="00E564A2"/>
    <w:pPr>
      <w:tabs>
        <w:tab w:val="center" w:pos="4320"/>
        <w:tab w:val="right" w:pos="8640"/>
      </w:tabs>
    </w:pPr>
  </w:style>
  <w:style w:type="character" w:styleId="PageNumber">
    <w:name w:val="page number"/>
    <w:semiHidden/>
    <w:rsid w:val="00E564A2"/>
    <w:rPr>
      <w:rFonts w:ascii="Arial" w:hAnsi="Arial"/>
    </w:rPr>
  </w:style>
  <w:style w:type="paragraph" w:customStyle="1" w:styleId="Tablebullet">
    <w:name w:val="_Table bullet"/>
    <w:basedOn w:val="Normal"/>
    <w:rsid w:val="004D06A3"/>
    <w:pPr>
      <w:tabs>
        <w:tab w:val="num" w:pos="227"/>
      </w:tabs>
      <w:ind w:left="227" w:hanging="227"/>
    </w:pPr>
  </w:style>
  <w:style w:type="table" w:styleId="TableGrid">
    <w:name w:val="Table Grid"/>
    <w:basedOn w:val="TableNormal"/>
    <w:rsid w:val="00E564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Text"/>
    <w:next w:val="Text"/>
    <w:rsid w:val="00325964"/>
    <w:pPr>
      <w:tabs>
        <w:tab w:val="right" w:pos="5932"/>
      </w:tabs>
      <w:spacing w:after="200"/>
    </w:pPr>
  </w:style>
  <w:style w:type="paragraph" w:customStyle="1" w:styleId="Summary">
    <w:name w:val="Summary"/>
    <w:basedOn w:val="Normal"/>
    <w:rsid w:val="004D06A3"/>
    <w:pPr>
      <w:pBdr>
        <w:bottom w:val="dashSmallGap" w:sz="8" w:space="3" w:color="766A62"/>
      </w:pBdr>
      <w:spacing w:before="40" w:after="120" w:line="260" w:lineRule="exact"/>
      <w:jc w:val="both"/>
    </w:pPr>
    <w:rPr>
      <w:rFonts w:cs="Arial"/>
      <w:b/>
      <w:bCs/>
      <w:color w:val="5B2B2F"/>
      <w:sz w:val="19"/>
      <w:szCs w:val="19"/>
    </w:rPr>
  </w:style>
  <w:style w:type="paragraph" w:customStyle="1" w:styleId="Text">
    <w:name w:val="Text"/>
    <w:link w:val="TextChar"/>
    <w:rsid w:val="00A00FC7"/>
    <w:pPr>
      <w:spacing w:line="260" w:lineRule="exact"/>
      <w:jc w:val="both"/>
    </w:pPr>
    <w:rPr>
      <w:rFonts w:ascii="Arial" w:hAnsi="Arial"/>
      <w:sz w:val="19"/>
      <w:szCs w:val="19"/>
      <w:lang w:eastAsia="en-US"/>
    </w:rPr>
  </w:style>
  <w:style w:type="paragraph" w:customStyle="1" w:styleId="Textintable">
    <w:name w:val="Text in table"/>
    <w:rsid w:val="0079450A"/>
    <w:pPr>
      <w:autoSpaceDE w:val="0"/>
      <w:autoSpaceDN w:val="0"/>
      <w:adjustRightInd w:val="0"/>
      <w:spacing w:line="260" w:lineRule="exact"/>
    </w:pPr>
    <w:rPr>
      <w:rFonts w:ascii="Arial" w:hAnsi="Arial" w:cs="Arial"/>
      <w:sz w:val="16"/>
      <w:szCs w:val="16"/>
      <w:lang w:eastAsia="nl-NL"/>
    </w:rPr>
  </w:style>
  <w:style w:type="paragraph" w:customStyle="1" w:styleId="HEADING10">
    <w:name w:val="HEADING_1"/>
    <w:basedOn w:val="Normal"/>
    <w:rsid w:val="00C36E05"/>
    <w:pPr>
      <w:spacing w:after="240"/>
    </w:pPr>
    <w:rPr>
      <w:rFonts w:cs="Arial"/>
      <w:b/>
      <w:caps/>
      <w:color w:val="0088CE"/>
      <w:sz w:val="26"/>
      <w:szCs w:val="26"/>
    </w:rPr>
  </w:style>
  <w:style w:type="paragraph" w:customStyle="1" w:styleId="HEADING20">
    <w:name w:val="HEADING_2"/>
    <w:rsid w:val="00C36E05"/>
    <w:pPr>
      <w:spacing w:before="60" w:after="120" w:line="260" w:lineRule="atLeast"/>
    </w:pPr>
    <w:rPr>
      <w:rFonts w:ascii="Arial" w:hAnsi="Arial"/>
      <w:b/>
      <w:caps/>
      <w:color w:val="642A0B"/>
      <w:lang w:eastAsia="en-US"/>
    </w:rPr>
  </w:style>
  <w:style w:type="paragraph" w:customStyle="1" w:styleId="Heading40">
    <w:name w:val="Heading_4"/>
    <w:rsid w:val="00C36E05"/>
    <w:pPr>
      <w:spacing w:line="220" w:lineRule="atLeast"/>
    </w:pPr>
    <w:rPr>
      <w:rFonts w:ascii="Arial" w:hAnsi="Arial"/>
      <w:b/>
      <w:color w:val="642A0B"/>
      <w:position w:val="4"/>
      <w:sz w:val="16"/>
      <w:szCs w:val="16"/>
      <w:lang w:eastAsia="en-US"/>
    </w:rPr>
  </w:style>
  <w:style w:type="paragraph" w:customStyle="1" w:styleId="HEADING30">
    <w:name w:val="HEADING_3"/>
    <w:basedOn w:val="Normal"/>
    <w:rsid w:val="00C36E05"/>
    <w:pPr>
      <w:spacing w:line="260" w:lineRule="exact"/>
      <w:jc w:val="both"/>
    </w:pPr>
    <w:rPr>
      <w:b/>
      <w:caps/>
      <w:sz w:val="19"/>
      <w:szCs w:val="19"/>
    </w:rPr>
  </w:style>
  <w:style w:type="paragraph" w:customStyle="1" w:styleId="Source">
    <w:name w:val="Source"/>
    <w:rsid w:val="00C42139"/>
    <w:pPr>
      <w:pBdr>
        <w:top w:val="dashSmallGap" w:sz="8" w:space="1" w:color="766A62"/>
      </w:pBdr>
      <w:spacing w:line="260" w:lineRule="exact"/>
    </w:pPr>
    <w:rPr>
      <w:rFonts w:ascii="Arial" w:hAnsi="Arial"/>
      <w:sz w:val="16"/>
      <w:szCs w:val="16"/>
      <w:lang w:eastAsia="en-US"/>
    </w:rPr>
  </w:style>
  <w:style w:type="paragraph" w:customStyle="1" w:styleId="BEFORECHART">
    <w:name w:val="BEFORE CHART"/>
    <w:basedOn w:val="Normal"/>
    <w:rsid w:val="00C36E05"/>
    <w:pPr>
      <w:pBdr>
        <w:bottom w:val="dashSmallGap" w:sz="8" w:space="1" w:color="766A62"/>
      </w:pBdr>
      <w:spacing w:line="260" w:lineRule="exact"/>
    </w:pPr>
    <w:rPr>
      <w:rFonts w:cs="Arial"/>
      <w:b/>
      <w:bCs/>
      <w:caps/>
      <w:color w:val="0088CE"/>
      <w:sz w:val="16"/>
      <w:szCs w:val="16"/>
      <w:lang w:eastAsia="nl-NL"/>
    </w:rPr>
  </w:style>
  <w:style w:type="paragraph" w:customStyle="1" w:styleId="Columnheading">
    <w:name w:val="Column heading"/>
    <w:basedOn w:val="BEFORECHART"/>
    <w:rsid w:val="00C36E05"/>
    <w:pPr>
      <w:autoSpaceDE w:val="0"/>
      <w:autoSpaceDN w:val="0"/>
      <w:adjustRightInd w:val="0"/>
      <w:jc w:val="center"/>
    </w:pPr>
    <w:rPr>
      <w:b w:val="0"/>
      <w:caps w:val="0"/>
    </w:rPr>
  </w:style>
  <w:style w:type="numbering" w:customStyle="1" w:styleId="StyleBulletedSymbolsymbol8ptCustomColorRGB144131113">
    <w:name w:val="Style Bulleted Symbol (symbol) 8 pt Custom Color(RGB(144131113..."/>
    <w:basedOn w:val="NoList"/>
    <w:rsid w:val="00652F9C"/>
    <w:pPr>
      <w:numPr>
        <w:numId w:val="36"/>
      </w:numPr>
    </w:pPr>
  </w:style>
  <w:style w:type="character" w:customStyle="1" w:styleId="TextChar">
    <w:name w:val="Text Char"/>
    <w:link w:val="Text"/>
    <w:rsid w:val="00A00FC7"/>
    <w:rPr>
      <w:rFonts w:ascii="Arial" w:hAnsi="Arial"/>
      <w:sz w:val="19"/>
      <w:szCs w:val="19"/>
      <w:lang w:val="en-GB" w:eastAsia="en-US" w:bidi="ar-SA"/>
    </w:rPr>
  </w:style>
  <w:style w:type="paragraph" w:styleId="TOC2">
    <w:name w:val="toc 2"/>
    <w:basedOn w:val="Text"/>
    <w:next w:val="Text"/>
    <w:rsid w:val="00325964"/>
    <w:pPr>
      <w:tabs>
        <w:tab w:val="right" w:pos="5925"/>
      </w:tabs>
      <w:spacing w:after="120"/>
      <w:ind w:left="181"/>
    </w:pPr>
  </w:style>
  <w:style w:type="character" w:styleId="Hyperlink">
    <w:name w:val="Hyperlink"/>
    <w:semiHidden/>
    <w:rsid w:val="00AF26B4"/>
    <w:rPr>
      <w:color w:val="0000FF"/>
      <w:u w:val="single"/>
    </w:rPr>
  </w:style>
  <w:style w:type="paragraph" w:styleId="BalloonText">
    <w:name w:val="Balloon Text"/>
    <w:basedOn w:val="Normal"/>
    <w:link w:val="BalloonTextChar"/>
    <w:rsid w:val="00BE0603"/>
    <w:rPr>
      <w:rFonts w:ascii="Tahoma" w:hAnsi="Tahoma" w:cs="Tahoma"/>
      <w:sz w:val="16"/>
      <w:szCs w:val="16"/>
    </w:rPr>
  </w:style>
  <w:style w:type="character" w:customStyle="1" w:styleId="BalloonTextChar">
    <w:name w:val="Balloon Text Char"/>
    <w:basedOn w:val="DefaultParagraphFont"/>
    <w:link w:val="BalloonText"/>
    <w:rsid w:val="00BE0603"/>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windows-1250"/>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emf"/><Relationship Id="rId18" Type="http://schemas.openxmlformats.org/officeDocument/2006/relationships/image" Target="media/image8.emf"/><Relationship Id="rId26" Type="http://schemas.openxmlformats.org/officeDocument/2006/relationships/hyperlink" Target="http://www.kbcsecurities.com/disclosures" TargetMode="External"/><Relationship Id="rId3" Type="http://schemas.microsoft.com/office/2007/relationships/stylesWithEffects" Target="stylesWithEffects.xml"/><Relationship Id="rId21" Type="http://schemas.openxmlformats.org/officeDocument/2006/relationships/hyperlink" Target="http://www.kbcsecurities.com/disclosures" TargetMode="Externa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image" Target="media/image7.emf"/><Relationship Id="rId25" Type="http://schemas.openxmlformats.org/officeDocument/2006/relationships/footer" Target="footer5.xml"/><Relationship Id="rId2" Type="http://schemas.openxmlformats.org/officeDocument/2006/relationships/styles" Target="styles.xml"/><Relationship Id="rId16" Type="http://schemas.openxmlformats.org/officeDocument/2006/relationships/image" Target="media/image6.emf"/><Relationship Id="rId20" Type="http://schemas.openxmlformats.org/officeDocument/2006/relationships/image" Target="media/image10.emf"/><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image" Target="media/image5.emf"/><Relationship Id="rId23" Type="http://schemas.openxmlformats.org/officeDocument/2006/relationships/footer" Target="footer4.xml"/><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image" Target="media/image9.e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emf"/><Relationship Id="rId22" Type="http://schemas.openxmlformats.org/officeDocument/2006/relationships/footer" Target="footer3.xml"/><Relationship Id="rId27" Type="http://schemas.openxmlformats.org/officeDocument/2006/relationships/footer" Target="footer6.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O:\SHERPA\Templates\New%20server%20and%20Office%202010\Company_No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Company_Note.dot</Template>
  <TotalTime>1</TotalTime>
  <Pages>8</Pages>
  <Words>2964</Words>
  <Characters>16899</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TIGENIX</vt:lpstr>
    </vt:vector>
  </TitlesOfParts>
  <Company>KBC Securities</Company>
  <LinksUpToDate>false</LinksUpToDate>
  <CharactersWithSpaces>19824</CharactersWithSpaces>
  <SharedDoc>false</SharedDoc>
  <HLinks>
    <vt:vector size="48" baseType="variant">
      <vt:variant>
        <vt:i4>4653146</vt:i4>
      </vt:variant>
      <vt:variant>
        <vt:i4>42</vt:i4>
      </vt:variant>
      <vt:variant>
        <vt:i4>0</vt:i4>
      </vt:variant>
      <vt:variant>
        <vt:i4>5</vt:i4>
      </vt:variant>
      <vt:variant>
        <vt:lpwstr>http://www.kbcsecurities.com/disclosures</vt:lpwstr>
      </vt:variant>
      <vt:variant>
        <vt:lpwstr/>
      </vt:variant>
      <vt:variant>
        <vt:i4>4653146</vt:i4>
      </vt:variant>
      <vt:variant>
        <vt:i4>39</vt:i4>
      </vt:variant>
      <vt:variant>
        <vt:i4>0</vt:i4>
      </vt:variant>
      <vt:variant>
        <vt:i4>5</vt:i4>
      </vt:variant>
      <vt:variant>
        <vt:lpwstr>http://www.kbcsecurities.com/disclosures</vt:lpwstr>
      </vt:variant>
      <vt:variant>
        <vt:lpwstr/>
      </vt:variant>
      <vt:variant>
        <vt:i4>1507385</vt:i4>
      </vt:variant>
      <vt:variant>
        <vt:i4>32</vt:i4>
      </vt:variant>
      <vt:variant>
        <vt:i4>0</vt:i4>
      </vt:variant>
      <vt:variant>
        <vt:i4>5</vt:i4>
      </vt:variant>
      <vt:variant>
        <vt:lpwstr/>
      </vt:variant>
      <vt:variant>
        <vt:lpwstr>_Toc229366479</vt:lpwstr>
      </vt:variant>
      <vt:variant>
        <vt:i4>1507385</vt:i4>
      </vt:variant>
      <vt:variant>
        <vt:i4>26</vt:i4>
      </vt:variant>
      <vt:variant>
        <vt:i4>0</vt:i4>
      </vt:variant>
      <vt:variant>
        <vt:i4>5</vt:i4>
      </vt:variant>
      <vt:variant>
        <vt:lpwstr/>
      </vt:variant>
      <vt:variant>
        <vt:lpwstr>_Toc229366478</vt:lpwstr>
      </vt:variant>
      <vt:variant>
        <vt:i4>1507385</vt:i4>
      </vt:variant>
      <vt:variant>
        <vt:i4>20</vt:i4>
      </vt:variant>
      <vt:variant>
        <vt:i4>0</vt:i4>
      </vt:variant>
      <vt:variant>
        <vt:i4>5</vt:i4>
      </vt:variant>
      <vt:variant>
        <vt:lpwstr/>
      </vt:variant>
      <vt:variant>
        <vt:lpwstr>_Toc229366477</vt:lpwstr>
      </vt:variant>
      <vt:variant>
        <vt:i4>1507385</vt:i4>
      </vt:variant>
      <vt:variant>
        <vt:i4>14</vt:i4>
      </vt:variant>
      <vt:variant>
        <vt:i4>0</vt:i4>
      </vt:variant>
      <vt:variant>
        <vt:i4>5</vt:i4>
      </vt:variant>
      <vt:variant>
        <vt:lpwstr/>
      </vt:variant>
      <vt:variant>
        <vt:lpwstr>_Toc229366476</vt:lpwstr>
      </vt:variant>
      <vt:variant>
        <vt:i4>1507385</vt:i4>
      </vt:variant>
      <vt:variant>
        <vt:i4>8</vt:i4>
      </vt:variant>
      <vt:variant>
        <vt:i4>0</vt:i4>
      </vt:variant>
      <vt:variant>
        <vt:i4>5</vt:i4>
      </vt:variant>
      <vt:variant>
        <vt:lpwstr/>
      </vt:variant>
      <vt:variant>
        <vt:lpwstr>_Toc229366475</vt:lpwstr>
      </vt:variant>
      <vt:variant>
        <vt:i4>1507385</vt:i4>
      </vt:variant>
      <vt:variant>
        <vt:i4>2</vt:i4>
      </vt:variant>
      <vt:variant>
        <vt:i4>0</vt:i4>
      </vt:variant>
      <vt:variant>
        <vt:i4>5</vt:i4>
      </vt:variant>
      <vt:variant>
        <vt:lpwstr/>
      </vt:variant>
      <vt:variant>
        <vt:lpwstr>_Toc229366474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TIGENIX</dc:title>
  <dc:creator>Jan De Kerpel</dc:creator>
  <cp:lastModifiedBy>Jan De Kerpel</cp:lastModifiedBy>
  <cp:revision>2</cp:revision>
  <cp:lastPrinted>2014-11-10T16:24:00Z</cp:lastPrinted>
  <dcterms:created xsi:type="dcterms:W3CDTF">2014-11-10T16:49:00Z</dcterms:created>
  <dcterms:modified xsi:type="dcterms:W3CDTF">2014-11-10T16:49:00Z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erpa: chart">
    <vt:lpwstr>3</vt:lpwstr>
  </property>
  <property fmtid="{D5CDD505-2E9C-101B-9397-08002B2CF9AE}" pid="3" name="sherpa: company_id">
    <vt:lpwstr>BRU5466</vt:lpwstr>
  </property>
  <property fmtid="{D5CDD505-2E9C-101B-9397-08002B2CF9AE}" pid="4" name="sherpa: decimals">
    <vt:lpwstr>false</vt:lpwstr>
  </property>
  <property fmtid="{D5CDD505-2E9C-101B-9397-08002B2CF9AE}" pid="5" name="sherpa: language">
    <vt:lpwstr>3</vt:lpwstr>
  </property>
  <property fmtid="{D5CDD505-2E9C-101B-9397-08002B2CF9AE}" pid="6" name="sherpa: fd_from_year">
    <vt:lpwstr>2013</vt:lpwstr>
  </property>
  <property fmtid="{D5CDD505-2E9C-101B-9397-08002B2CF9AE}" pid="7" name="sherpa: fd_to_year">
    <vt:lpwstr>2016</vt:lpwstr>
  </property>
</Properties>
</file>