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39BD1100" w:rsidR="00C44958" w:rsidRPr="009B07C0" w:rsidRDefault="009B07C0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9B07C0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El fabricante de autos deportivos </w:t>
      </w:r>
      <w:r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creció</w:t>
      </w:r>
      <w:r w:rsidRPr="009B07C0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 significativamente en 2018</w:t>
      </w:r>
    </w:p>
    <w:p w14:paraId="4C125C64" w14:textId="0A321936" w:rsidR="00380794" w:rsidRPr="009B07C0" w:rsidRDefault="009B07C0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9B07C0">
        <w:rPr>
          <w:rFonts w:ascii="Arial" w:eastAsia="Arial" w:hAnsi="Arial" w:cs="Arial"/>
          <w:szCs w:val="24"/>
          <w:lang w:val="es-CO"/>
        </w:rPr>
        <w:t xml:space="preserve">Porsche </w:t>
      </w:r>
      <w:r>
        <w:rPr>
          <w:rFonts w:ascii="Arial" w:eastAsia="Arial" w:hAnsi="Arial" w:cs="Arial"/>
          <w:szCs w:val="24"/>
          <w:lang w:val="es-CO"/>
        </w:rPr>
        <w:t>estableció</w:t>
      </w:r>
      <w:r w:rsidRPr="009B07C0">
        <w:rPr>
          <w:rFonts w:ascii="Arial" w:eastAsia="Arial" w:hAnsi="Arial" w:cs="Arial"/>
          <w:szCs w:val="24"/>
          <w:lang w:val="es-CO"/>
        </w:rPr>
        <w:t xml:space="preserve"> nuevo </w:t>
      </w:r>
      <w:r>
        <w:rPr>
          <w:rFonts w:ascii="Arial" w:eastAsia="Arial" w:hAnsi="Arial" w:cs="Arial"/>
          <w:szCs w:val="24"/>
          <w:lang w:val="es-CO"/>
        </w:rPr>
        <w:t>récord de ventas</w:t>
      </w:r>
    </w:p>
    <w:p w14:paraId="747128A1" w14:textId="093545BD" w:rsidR="009B07C0" w:rsidRPr="009B07C0" w:rsidRDefault="00380794" w:rsidP="009B0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703A1">
        <w:rPr>
          <w:rFonts w:ascii="Arial" w:hAnsi="Arial" w:cs="Arial"/>
          <w:b/>
          <w:sz w:val="24"/>
          <w:szCs w:val="24"/>
          <w:lang w:val="es-CO"/>
        </w:rPr>
        <w:t>Stuttgart</w:t>
      </w:r>
      <w:r w:rsidR="00A93E6D" w:rsidRPr="00F703A1">
        <w:rPr>
          <w:rFonts w:ascii="Arial" w:hAnsi="Arial" w:cs="Arial"/>
          <w:b/>
          <w:sz w:val="24"/>
          <w:szCs w:val="24"/>
          <w:lang w:val="es-CO"/>
        </w:rPr>
        <w:t>.</w:t>
      </w:r>
      <w:r w:rsidR="004A0284" w:rsidRPr="00F703A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Un año sólido para el fabricante de autos deportivos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>de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St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uttgart: Porsche AG estableció un nuevo récord de ventas en 2018 al entregar 256.255 vehículos en todo el mundo, lo cual representa 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un crecimiento de cuatro por ciento en comparación con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>el año anterior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De la serie de modelos, el Panamera registró el mayor crecimiento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porcentual 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con un </w:t>
      </w:r>
      <w:r w:rsidR="005318C9">
        <w:rPr>
          <w:rFonts w:ascii="Arial" w:hAnsi="Arial" w:cs="Arial"/>
          <w:color w:val="000000" w:themeColor="text1"/>
          <w:sz w:val="24"/>
          <w:szCs w:val="24"/>
          <w:lang w:val="es-CO"/>
        </w:rPr>
        <w:t>incremento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38 por ciento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para alcanzar las 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38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443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>unidades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El 911 también registró un aumento de dos dígitos: a pesar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>de presentar en noviembre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5318C9">
        <w:rPr>
          <w:rFonts w:ascii="Arial" w:hAnsi="Arial" w:cs="Arial"/>
          <w:color w:val="000000" w:themeColor="text1"/>
          <w:sz w:val="24"/>
          <w:szCs w:val="24"/>
          <w:lang w:val="es-CO"/>
        </w:rPr>
        <w:t>la octava generación del icónico deportivo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el número de </w:t>
      </w:r>
      <w:r w:rsidR="005318C9">
        <w:rPr>
          <w:rFonts w:ascii="Arial" w:hAnsi="Arial" w:cs="Arial"/>
          <w:color w:val="000000" w:themeColor="text1"/>
          <w:sz w:val="24"/>
          <w:szCs w:val="24"/>
          <w:lang w:val="es-CO"/>
        </w:rPr>
        <w:t>sus entregas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5318C9">
        <w:rPr>
          <w:rFonts w:ascii="Arial" w:hAnsi="Arial" w:cs="Arial"/>
          <w:color w:val="000000" w:themeColor="text1"/>
          <w:sz w:val="24"/>
          <w:szCs w:val="24"/>
          <w:lang w:val="es-CO"/>
        </w:rPr>
        <w:t>creció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336BF2">
        <w:rPr>
          <w:rFonts w:ascii="Arial" w:hAnsi="Arial" w:cs="Arial"/>
          <w:color w:val="000000" w:themeColor="text1"/>
          <w:sz w:val="24"/>
          <w:szCs w:val="24"/>
          <w:lang w:val="es-CO"/>
        </w:rPr>
        <w:t>10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por ciento </w:t>
      </w:r>
      <w:r w:rsidR="005318C9">
        <w:rPr>
          <w:rFonts w:ascii="Arial" w:hAnsi="Arial" w:cs="Arial"/>
          <w:color w:val="000000" w:themeColor="text1"/>
          <w:sz w:val="24"/>
          <w:szCs w:val="24"/>
          <w:lang w:val="es-CO"/>
        </w:rPr>
        <w:t>para llegar a 35.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573 vehículos.</w:t>
      </w:r>
    </w:p>
    <w:p w14:paraId="34308C38" w14:textId="77777777" w:rsidR="009B07C0" w:rsidRPr="009B07C0" w:rsidRDefault="009B07C0" w:rsidP="009B0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5801131" w14:textId="4EE1C1FF" w:rsidR="009B07C0" w:rsidRPr="009B07C0" w:rsidRDefault="005318C9" w:rsidP="009B0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>“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fascinación que ejerce 911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es más fuerte que nunca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”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dijo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Detlev von Platen, </w:t>
      </w:r>
      <w:r w:rsidRPr="005318C9">
        <w:rPr>
          <w:rFonts w:ascii="Arial" w:hAnsi="Arial" w:cs="Arial"/>
          <w:color w:val="000000" w:themeColor="text1"/>
          <w:sz w:val="24"/>
          <w:szCs w:val="24"/>
          <w:lang w:val="es-CO"/>
        </w:rPr>
        <w:t>Miembro del Consejo Directivo de Porsche AG responsable de Ventas y Marketing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“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Acabamos de celebrar el estreno mundial del nuevo 911 a finales de año en el Salón del Automóvil de Los Ángeles y, sin embargo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, nuestro ícono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auto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deportivo inspiró una vez más a más clientes en 2018 que en el año anterior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”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Por volumen de ventas el m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odelo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más 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exitoso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fue el Macan, con 86.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031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entregas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, justo por delante del Cayenne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, con 71.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458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unidades</w:t>
      </w:r>
      <w:r w:rsidR="009B07C0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</w:p>
    <w:p w14:paraId="5D205E44" w14:textId="77777777" w:rsidR="009B07C0" w:rsidRPr="009B07C0" w:rsidRDefault="009B07C0" w:rsidP="009B0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3DCD2BE6" w14:textId="3ECC7520" w:rsidR="009B07C0" w:rsidRPr="0018235D" w:rsidRDefault="009B07C0" w:rsidP="009B0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18235D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China: de nuevo el mayor mercado individual</w:t>
      </w:r>
    </w:p>
    <w:p w14:paraId="66EAC6FB" w14:textId="48189CBE" w:rsidR="009B07C0" w:rsidRDefault="009B07C0" w:rsidP="009B0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El mercado chino se mantuvo </w:t>
      </w:r>
      <w:r w:rsidR="0018235D"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nuevamente 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en la </w:t>
      </w:r>
      <w:r w:rsidRPr="0018235D">
        <w:rPr>
          <w:rFonts w:ascii="Arial" w:hAnsi="Arial" w:cs="Arial"/>
          <w:i/>
          <w:color w:val="000000" w:themeColor="text1"/>
          <w:sz w:val="24"/>
          <w:szCs w:val="24"/>
          <w:lang w:val="es-CO"/>
        </w:rPr>
        <w:t>pole position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de 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entregas en 2018. El crecimiento en este </w:t>
      </w:r>
      <w:r w:rsidR="0030247F">
        <w:rPr>
          <w:rFonts w:ascii="Arial" w:hAnsi="Arial" w:cs="Arial"/>
          <w:color w:val="000000" w:themeColor="text1"/>
          <w:sz w:val="24"/>
          <w:szCs w:val="24"/>
          <w:lang w:val="es-CO"/>
        </w:rPr>
        <w:t>país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alcanzó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12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por ciento, 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>para un total de 80.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108 unidades. En segundo lugar se ubicó Estados Unidos, con un aumento de</w:t>
      </w:r>
      <w:r w:rsidR="001823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tres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por ciento 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>que le llevó a 57.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202 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>unidades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Las entregas en Europa se situaron ligeramente por debajo de las 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lastRenderedPageBreak/>
        <w:t>cifras del año anterior. “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El cambio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 los nuevos </w:t>
      </w:r>
      <w:r w:rsidR="00B10B32" w:rsidRPr="00B10B32">
        <w:rPr>
          <w:rFonts w:ascii="Arial" w:hAnsi="Arial" w:cs="Arial"/>
          <w:color w:val="000000" w:themeColor="text1"/>
          <w:sz w:val="24"/>
          <w:szCs w:val="24"/>
          <w:lang w:val="es-CO"/>
        </w:rPr>
        <w:t>Procedimientos Mundialmente Armonizados para Pruebas de Vehículos Ligeros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(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WLTP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>, por sus siglas en inglés)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y los filtros de partículas de gasolina en Europa signific</w:t>
      </w:r>
      <w:r w:rsidR="00732730">
        <w:rPr>
          <w:rFonts w:ascii="Arial" w:hAnsi="Arial" w:cs="Arial"/>
          <w:color w:val="000000" w:themeColor="text1"/>
          <w:sz w:val="24"/>
          <w:szCs w:val="24"/>
          <w:lang w:val="es-CO"/>
        </w:rPr>
        <w:t>aron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que enfrentára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mos desafíos importantes en el cuarto trimestre de 2018, y estos se seguirán sintiendo en la primera mitad de 2019. Además, dejamos de ofrecer 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>m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odelos con motores diésel en febrero de 2018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>”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</w:t>
      </w:r>
      <w:r w:rsidR="00B10B3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dijo </w:t>
      </w:r>
      <w:r w:rsidRPr="009B07C0">
        <w:rPr>
          <w:rFonts w:ascii="Arial" w:hAnsi="Arial" w:cs="Arial"/>
          <w:color w:val="000000" w:themeColor="text1"/>
          <w:sz w:val="24"/>
          <w:szCs w:val="24"/>
          <w:lang w:val="es-CO"/>
        </w:rPr>
        <w:t>Detlev von Platen.</w:t>
      </w:r>
      <w:bookmarkStart w:id="0" w:name="_GoBack"/>
      <w:bookmarkEnd w:id="0"/>
    </w:p>
    <w:p w14:paraId="54AC9AE6" w14:textId="77777777" w:rsidR="009B07C0" w:rsidRDefault="009B07C0" w:rsidP="00F23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</w:tblGrid>
      <w:tr w:rsidR="009B07C0" w:rsidRPr="00BC0AC3" w14:paraId="2EB50034" w14:textId="77777777" w:rsidTr="00B5175F">
        <w:trPr>
          <w:tblCellSpacing w:w="0" w:type="dxa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14:paraId="76802051" w14:textId="2C5F07A5" w:rsidR="009B07C0" w:rsidRPr="00BC0AC3" w:rsidRDefault="009B07C0" w:rsidP="009B07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Ventas</w:t>
            </w:r>
            <w:r w:rsidRPr="00BC0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br/>
            </w:r>
            <w:r w:rsidRPr="00BC0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br/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PORSCHE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 xml:space="preserve"> AG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14:paraId="2C64B65E" w14:textId="316F96C1" w:rsidR="009B07C0" w:rsidRPr="00BC0AC3" w:rsidRDefault="009B07C0" w:rsidP="00B517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Año</w:t>
            </w:r>
          </w:p>
        </w:tc>
      </w:tr>
      <w:tr w:rsidR="009B07C0" w:rsidRPr="00BC0AC3" w14:paraId="34FC0755" w14:textId="77777777" w:rsidTr="00B517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D58C60" w14:textId="77777777" w:rsidR="009B07C0" w:rsidRPr="00BC0AC3" w:rsidRDefault="009B07C0" w:rsidP="00B5175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7735A3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51844F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4D9939" w14:textId="42F3074E" w:rsidR="009B07C0" w:rsidRPr="00BC0AC3" w:rsidRDefault="009B07C0" w:rsidP="00B5175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Diferencia</w:t>
            </w:r>
          </w:p>
        </w:tc>
      </w:tr>
      <w:tr w:rsidR="009B07C0" w:rsidRPr="00BC0AC3" w14:paraId="288CE267" w14:textId="77777777" w:rsidTr="00B5175F">
        <w:trPr>
          <w:tblCellSpacing w:w="0" w:type="dxa"/>
        </w:trPr>
        <w:tc>
          <w:tcPr>
            <w:tcW w:w="3000" w:type="dxa"/>
            <w:shd w:val="clear" w:color="auto" w:fill="DDDDDD"/>
            <w:vAlign w:val="center"/>
            <w:hideMark/>
          </w:tcPr>
          <w:p w14:paraId="43B229BC" w14:textId="470EDABA" w:rsidR="009B07C0" w:rsidRPr="00BC0AC3" w:rsidRDefault="009B07C0" w:rsidP="00B5175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Mundiales</w:t>
            </w:r>
          </w:p>
        </w:tc>
        <w:tc>
          <w:tcPr>
            <w:tcW w:w="1500" w:type="dxa"/>
            <w:vAlign w:val="center"/>
            <w:hideMark/>
          </w:tcPr>
          <w:p w14:paraId="24F7F3AE" w14:textId="50176CBE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246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375</w:t>
            </w:r>
          </w:p>
        </w:tc>
        <w:tc>
          <w:tcPr>
            <w:tcW w:w="1500" w:type="dxa"/>
            <w:vAlign w:val="center"/>
            <w:hideMark/>
          </w:tcPr>
          <w:p w14:paraId="574C20A4" w14:textId="5CE9C10B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256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255</w:t>
            </w:r>
          </w:p>
        </w:tc>
        <w:tc>
          <w:tcPr>
            <w:tcW w:w="1500" w:type="dxa"/>
            <w:vAlign w:val="center"/>
            <w:hideMark/>
          </w:tcPr>
          <w:p w14:paraId="1E8D29E4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4 %</w:t>
            </w:r>
          </w:p>
        </w:tc>
      </w:tr>
      <w:tr w:rsidR="009B07C0" w:rsidRPr="00BC0AC3" w14:paraId="31E48264" w14:textId="77777777" w:rsidTr="00B5175F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3FD64356" w14:textId="3FEBF4E0" w:rsidR="009B07C0" w:rsidRPr="00BC0AC3" w:rsidRDefault="009B07C0" w:rsidP="009B07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Europ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9E223BE" w14:textId="1BC695A0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14:paraId="13820046" w14:textId="7FE5720B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77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14:paraId="7D514582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-4 %</w:t>
            </w:r>
          </w:p>
        </w:tc>
      </w:tr>
      <w:tr w:rsidR="009B07C0" w:rsidRPr="00BC0AC3" w14:paraId="66F370B1" w14:textId="77777777" w:rsidTr="00B5175F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66AFB0A" w14:textId="7FF70B64" w:rsidR="009B07C0" w:rsidRPr="00BC0AC3" w:rsidRDefault="009B07C0" w:rsidP="009B07C0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 xml:space="preserve">   </w:t>
            </w:r>
            <w:r w:rsidRPr="009B07C0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n-US" w:bidi="ar-SA"/>
              </w:rPr>
              <w:t>Alemania</w:t>
            </w:r>
          </w:p>
        </w:tc>
        <w:tc>
          <w:tcPr>
            <w:tcW w:w="0" w:type="auto"/>
            <w:vAlign w:val="center"/>
            <w:hideMark/>
          </w:tcPr>
          <w:p w14:paraId="712D77C3" w14:textId="7A94C3AF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14:paraId="78585877" w14:textId="5AC412B1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14:paraId="7046CB55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-3 %</w:t>
            </w:r>
          </w:p>
        </w:tc>
      </w:tr>
      <w:tr w:rsidR="009B07C0" w:rsidRPr="00BC0AC3" w14:paraId="31173DE8" w14:textId="77777777" w:rsidTr="00B5175F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4371709" w14:textId="25C3E61C" w:rsidR="009B07C0" w:rsidRPr="00BC0AC3" w:rsidRDefault="009B07C0" w:rsidP="009B07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Am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é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rica</w:t>
            </w:r>
          </w:p>
        </w:tc>
        <w:tc>
          <w:tcPr>
            <w:tcW w:w="0" w:type="auto"/>
            <w:vAlign w:val="center"/>
            <w:hideMark/>
          </w:tcPr>
          <w:p w14:paraId="707B7AD9" w14:textId="44D64D80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14:paraId="4C24DB14" w14:textId="6AFA2FF1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70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14:paraId="3CF57F09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4 %</w:t>
            </w:r>
          </w:p>
        </w:tc>
      </w:tr>
      <w:tr w:rsidR="009B07C0" w:rsidRPr="00BC0AC3" w14:paraId="3D34D226" w14:textId="77777777" w:rsidTr="00B5175F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63AECB9D" w14:textId="236A5405" w:rsidR="009B07C0" w:rsidRPr="00BC0AC3" w:rsidRDefault="009B07C0" w:rsidP="00B5175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 xml:space="preserve">   </w:t>
            </w:r>
            <w:r w:rsidRPr="009B07C0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n-US" w:bidi="ar-SA"/>
              </w:rPr>
              <w:t>Estados Unidos</w:t>
            </w:r>
          </w:p>
        </w:tc>
        <w:tc>
          <w:tcPr>
            <w:tcW w:w="0" w:type="auto"/>
            <w:vAlign w:val="center"/>
            <w:hideMark/>
          </w:tcPr>
          <w:p w14:paraId="43C63A2D" w14:textId="086BC524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55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14:paraId="26B298A8" w14:textId="4B3BFCC3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57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2C972360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3 %</w:t>
            </w:r>
          </w:p>
        </w:tc>
      </w:tr>
      <w:tr w:rsidR="009B07C0" w:rsidRPr="00BC0AC3" w14:paraId="54C8E356" w14:textId="77777777" w:rsidTr="00B5175F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E6EBF17" w14:textId="4A140EBD" w:rsidR="009B07C0" w:rsidRPr="00BC0AC3" w:rsidRDefault="009B07C0" w:rsidP="009B07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Asia-Pac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í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fic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o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 xml:space="preserve">, 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África</w:t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 xml:space="preserve"> </w:t>
            </w:r>
            <w:r w:rsidRPr="00BC0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br/>
            </w: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y Medio Este</w:t>
            </w:r>
          </w:p>
        </w:tc>
        <w:tc>
          <w:tcPr>
            <w:tcW w:w="0" w:type="auto"/>
            <w:vAlign w:val="center"/>
            <w:hideMark/>
          </w:tcPr>
          <w:p w14:paraId="69A5B38A" w14:textId="18349FE5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98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14:paraId="14E59B57" w14:textId="70B4E63B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108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14:paraId="478502CA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10 %</w:t>
            </w:r>
          </w:p>
        </w:tc>
      </w:tr>
      <w:tr w:rsidR="009B07C0" w:rsidRPr="00BC0AC3" w14:paraId="267E3325" w14:textId="77777777" w:rsidTr="00B5175F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39C63FEC" w14:textId="60B48ADF" w:rsidR="009B07C0" w:rsidRPr="00BC0AC3" w:rsidRDefault="009B07C0" w:rsidP="00B5175F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 xml:space="preserve">   </w:t>
            </w:r>
            <w:r w:rsidRPr="009B07C0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n-US" w:bidi="ar-SA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14:paraId="058F06DF" w14:textId="54DADB23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71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14:paraId="5B074D16" w14:textId="3AB54E25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.</w:t>
            </w:r>
            <w:r w:rsidRPr="00BC0AC3"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4225280C" w14:textId="77777777" w:rsidR="009B07C0" w:rsidRPr="00BC0AC3" w:rsidRDefault="009B07C0" w:rsidP="00B5175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_tradnl" w:eastAsia="en-US" w:bidi="ar-SA"/>
              </w:rPr>
            </w:pPr>
            <w:r w:rsidRPr="009B07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n-US" w:bidi="ar-SA"/>
              </w:rPr>
              <w:t>12 %</w:t>
            </w:r>
          </w:p>
        </w:tc>
      </w:tr>
    </w:tbl>
    <w:p w14:paraId="75A12ABB" w14:textId="5CD406A7" w:rsidR="009B07C0" w:rsidRDefault="009B07C0" w:rsidP="005170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FAC2859" w14:textId="624D6CB8" w:rsidR="006A0AA5" w:rsidRPr="00F703A1" w:rsidRDefault="00216963" w:rsidP="0009450E">
      <w:pPr>
        <w:pStyle w:val="Presse-Standard"/>
        <w:rPr>
          <w:sz w:val="20"/>
          <w:lang w:val="es-CO"/>
        </w:rPr>
      </w:pPr>
      <w:r w:rsidRPr="00F703A1">
        <w:rPr>
          <w:sz w:val="20"/>
          <w:u w:val="single"/>
          <w:lang w:val="es-CO"/>
        </w:rPr>
        <w:t>Nota:</w:t>
      </w:r>
      <w:r w:rsidRPr="00F703A1">
        <w:rPr>
          <w:sz w:val="20"/>
          <w:lang w:val="es-CO"/>
        </w:rPr>
        <w:t xml:space="preserve"> Material fotográfico disponible en la Sala de Prensa de Porsche (</w:t>
      </w:r>
      <w:hyperlink r:id="rId8" w:history="1">
        <w:r w:rsidRPr="00F703A1">
          <w:rPr>
            <w:rStyle w:val="Hyperlink"/>
            <w:sz w:val="20"/>
            <w:lang w:val="es-CO"/>
          </w:rPr>
          <w:t>http://newsroom.porsche.com/en</w:t>
        </w:r>
      </w:hyperlink>
      <w:r w:rsidRPr="00F703A1">
        <w:rPr>
          <w:sz w:val="20"/>
          <w:lang w:val="es-CO"/>
        </w:rPr>
        <w:t>), y en la Base de Datos de Prensa de Porsche (</w:t>
      </w:r>
      <w:hyperlink r:id="rId9" w:history="1">
        <w:r w:rsidRPr="00F703A1">
          <w:rPr>
            <w:rStyle w:val="Hyperlink"/>
            <w:sz w:val="20"/>
            <w:lang w:val="es-CO"/>
          </w:rPr>
          <w:t>https://press.pla.porsche.com</w:t>
        </w:r>
      </w:hyperlink>
      <w:r w:rsidRPr="00F703A1">
        <w:rPr>
          <w:sz w:val="20"/>
          <w:lang w:val="es-CO"/>
        </w:rPr>
        <w:t>).</w:t>
      </w:r>
    </w:p>
    <w:sectPr w:rsidR="006A0AA5" w:rsidRPr="00F703A1" w:rsidSect="00C76CC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BEF1" w14:textId="77777777" w:rsidR="00554819" w:rsidRDefault="00554819">
      <w:r>
        <w:separator/>
      </w:r>
    </w:p>
  </w:endnote>
  <w:endnote w:type="continuationSeparator" w:id="0">
    <w:p w14:paraId="0D77E7A1" w14:textId="77777777" w:rsidR="00554819" w:rsidRDefault="005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5A70909B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732730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732730">
      <w:rPr>
        <w:rFonts w:ascii="Arial" w:hAnsi="Arial" w:cs="Arial"/>
        <w:noProof/>
        <w:lang w:val="es-CO"/>
      </w:rPr>
      <w:t>2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</w:r>
    <w:r w:rsidR="00726374" w:rsidRPr="00B10B32">
      <w:rPr>
        <w:rFonts w:ascii="Arial" w:hAnsi="Arial" w:cs="Arial"/>
        <w:lang w:val="es-ES_tradnl"/>
      </w:rPr>
      <w:t>Teléfono</w:t>
    </w:r>
    <w:r w:rsidR="00202517" w:rsidRPr="009B07C0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7B516D4" w14:textId="616C2FC8" w:rsidR="00204F9B" w:rsidRDefault="00204F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21B8266D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732730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240BA7">
      <w:rPr>
        <w:rFonts w:ascii="Arial" w:hAnsi="Arial" w:cs="Arial"/>
      </w:rPr>
      <w:fldChar w:fldCharType="begin"/>
    </w:r>
    <w:r w:rsidR="00240BA7" w:rsidRPr="00240BA7">
      <w:rPr>
        <w:rFonts w:ascii="Arial" w:hAnsi="Arial" w:cs="Arial"/>
        <w:lang w:val="es-US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732730">
      <w:rPr>
        <w:rFonts w:ascii="Arial" w:hAnsi="Arial" w:cs="Arial"/>
        <w:noProof/>
        <w:lang w:val="es-US"/>
      </w:rPr>
      <w:t>2</w:t>
    </w:r>
    <w:r w:rsidR="00240BA7">
      <w:rPr>
        <w:rFonts w:ascii="Arial" w:hAnsi="Arial" w:cs="Aria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</w:r>
    <w:r w:rsidR="00726374" w:rsidRPr="00B10B32">
      <w:rPr>
        <w:rFonts w:ascii="Arial" w:hAnsi="Arial" w:cs="Arial"/>
        <w:lang w:val="es-ES_tradnl"/>
      </w:rPr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CAF5092" w14:textId="77777777" w:rsidR="00BE5B3B" w:rsidRDefault="00BE5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CC4D" w14:textId="77777777" w:rsidR="00554819" w:rsidRDefault="00554819">
      <w:r>
        <w:separator/>
      </w:r>
    </w:p>
  </w:footnote>
  <w:footnote w:type="continuationSeparator" w:id="0">
    <w:p w14:paraId="50731C0A" w14:textId="77777777" w:rsidR="00554819" w:rsidRDefault="0055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24C0E4CD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9B07C0">
      <w:rPr>
        <w:rFonts w:ascii="Arial" w:hAnsi="Arial"/>
        <w:b/>
        <w:sz w:val="24"/>
        <w:lang w:val="es-ES_tradnl"/>
      </w:rPr>
      <w:t>10</w:t>
    </w:r>
    <w:r w:rsidR="00F233A2">
      <w:rPr>
        <w:rFonts w:ascii="Arial" w:hAnsi="Arial"/>
        <w:b/>
        <w:sz w:val="24"/>
        <w:lang w:val="es-ES_tradnl"/>
      </w:rPr>
      <w:t xml:space="preserve"> </w:t>
    </w:r>
    <w:r w:rsidR="00B825B5">
      <w:rPr>
        <w:rFonts w:ascii="Arial" w:hAnsi="Arial"/>
        <w:b/>
        <w:sz w:val="24"/>
        <w:lang w:val="es-ES_tradnl"/>
      </w:rPr>
      <w:t xml:space="preserve">de </w:t>
    </w:r>
    <w:r w:rsidR="00F233A2">
      <w:rPr>
        <w:rFonts w:ascii="Arial" w:hAnsi="Arial"/>
        <w:b/>
        <w:sz w:val="24"/>
        <w:lang w:val="es-ES_tradnl"/>
      </w:rPr>
      <w:t xml:space="preserve">enero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233A2">
      <w:rPr>
        <w:rFonts w:ascii="Arial" w:hAnsi="Arial"/>
        <w:b/>
        <w:sz w:val="24"/>
        <w:lang w:val="es-ES_tradnl"/>
      </w:rPr>
      <w:t>9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73273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8621355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792CD6AE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9B07C0">
      <w:rPr>
        <w:rFonts w:ascii="Arial" w:hAnsi="Arial"/>
        <w:b/>
        <w:sz w:val="24"/>
        <w:lang w:val="es-ES_tradnl"/>
      </w:rPr>
      <w:t>10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F233A2">
      <w:rPr>
        <w:rFonts w:ascii="Arial" w:hAnsi="Arial"/>
        <w:b/>
        <w:sz w:val="24"/>
        <w:lang w:val="es-ES_tradnl"/>
      </w:rPr>
      <w:t xml:space="preserve">enero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233A2">
      <w:rPr>
        <w:rFonts w:ascii="Arial" w:hAnsi="Arial"/>
        <w:b/>
        <w:sz w:val="24"/>
        <w:lang w:val="es-ES_tradnl"/>
      </w:rPr>
      <w:t>9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47B"/>
    <w:rsid w:val="00010C0A"/>
    <w:rsid w:val="000117ED"/>
    <w:rsid w:val="0001339D"/>
    <w:rsid w:val="00015600"/>
    <w:rsid w:val="000158AB"/>
    <w:rsid w:val="00022293"/>
    <w:rsid w:val="00026173"/>
    <w:rsid w:val="000301B5"/>
    <w:rsid w:val="000336A3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603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1DA3"/>
    <w:rsid w:val="000B4C5C"/>
    <w:rsid w:val="000B4E64"/>
    <w:rsid w:val="000B4F85"/>
    <w:rsid w:val="000B75F7"/>
    <w:rsid w:val="000C0F0D"/>
    <w:rsid w:val="000C1A6C"/>
    <w:rsid w:val="000C1FD0"/>
    <w:rsid w:val="000C3088"/>
    <w:rsid w:val="000C46A7"/>
    <w:rsid w:val="000C6EB2"/>
    <w:rsid w:val="000E0A12"/>
    <w:rsid w:val="000E0DFB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5D31"/>
    <w:rsid w:val="00146BBB"/>
    <w:rsid w:val="00161764"/>
    <w:rsid w:val="001631C0"/>
    <w:rsid w:val="00163F23"/>
    <w:rsid w:val="001703EC"/>
    <w:rsid w:val="00173CCA"/>
    <w:rsid w:val="00175EF0"/>
    <w:rsid w:val="001769A7"/>
    <w:rsid w:val="001816C7"/>
    <w:rsid w:val="0018235D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115D"/>
    <w:rsid w:val="001B4DE5"/>
    <w:rsid w:val="001B6887"/>
    <w:rsid w:val="001B7983"/>
    <w:rsid w:val="001C0F73"/>
    <w:rsid w:val="001C1F89"/>
    <w:rsid w:val="001C4E26"/>
    <w:rsid w:val="001D5703"/>
    <w:rsid w:val="001D6E42"/>
    <w:rsid w:val="001E10E7"/>
    <w:rsid w:val="001E2428"/>
    <w:rsid w:val="001E3B41"/>
    <w:rsid w:val="001E3F51"/>
    <w:rsid w:val="001E640D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404B"/>
    <w:rsid w:val="002540BB"/>
    <w:rsid w:val="0025473D"/>
    <w:rsid w:val="00255201"/>
    <w:rsid w:val="00256814"/>
    <w:rsid w:val="002601E7"/>
    <w:rsid w:val="0026131F"/>
    <w:rsid w:val="00263017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95B43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DD0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247F"/>
    <w:rsid w:val="00303A23"/>
    <w:rsid w:val="00304CB9"/>
    <w:rsid w:val="00304DB9"/>
    <w:rsid w:val="00305CCC"/>
    <w:rsid w:val="0031731C"/>
    <w:rsid w:val="00317FDD"/>
    <w:rsid w:val="00322E9F"/>
    <w:rsid w:val="00323C1B"/>
    <w:rsid w:val="00324E3C"/>
    <w:rsid w:val="003250D2"/>
    <w:rsid w:val="0032590B"/>
    <w:rsid w:val="003301BF"/>
    <w:rsid w:val="00331435"/>
    <w:rsid w:val="00332840"/>
    <w:rsid w:val="0033330C"/>
    <w:rsid w:val="00333AFB"/>
    <w:rsid w:val="00336BF2"/>
    <w:rsid w:val="003376AD"/>
    <w:rsid w:val="0034307E"/>
    <w:rsid w:val="00352C70"/>
    <w:rsid w:val="00353B1B"/>
    <w:rsid w:val="00354BAD"/>
    <w:rsid w:val="00357CE5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886"/>
    <w:rsid w:val="00374DA3"/>
    <w:rsid w:val="003762FF"/>
    <w:rsid w:val="00380794"/>
    <w:rsid w:val="00380876"/>
    <w:rsid w:val="0038203E"/>
    <w:rsid w:val="00382185"/>
    <w:rsid w:val="00385C6E"/>
    <w:rsid w:val="00387608"/>
    <w:rsid w:val="003920AD"/>
    <w:rsid w:val="003937A6"/>
    <w:rsid w:val="0039442C"/>
    <w:rsid w:val="00395768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26286"/>
    <w:rsid w:val="0043055D"/>
    <w:rsid w:val="00431D3F"/>
    <w:rsid w:val="004353EC"/>
    <w:rsid w:val="004354B9"/>
    <w:rsid w:val="00436127"/>
    <w:rsid w:val="00436B16"/>
    <w:rsid w:val="00446B42"/>
    <w:rsid w:val="004517BE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6A8"/>
    <w:rsid w:val="004867C0"/>
    <w:rsid w:val="0049117E"/>
    <w:rsid w:val="00491544"/>
    <w:rsid w:val="004A0284"/>
    <w:rsid w:val="004A259E"/>
    <w:rsid w:val="004A2A9F"/>
    <w:rsid w:val="004A43E7"/>
    <w:rsid w:val="004B2091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079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18C9"/>
    <w:rsid w:val="0053364F"/>
    <w:rsid w:val="00537F89"/>
    <w:rsid w:val="00541F84"/>
    <w:rsid w:val="00546AAE"/>
    <w:rsid w:val="00546EBD"/>
    <w:rsid w:val="00553141"/>
    <w:rsid w:val="00553DD7"/>
    <w:rsid w:val="00554181"/>
    <w:rsid w:val="00554819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51C1"/>
    <w:rsid w:val="005C68FD"/>
    <w:rsid w:val="005D15E1"/>
    <w:rsid w:val="005D4CAC"/>
    <w:rsid w:val="005D6811"/>
    <w:rsid w:val="005D6AF9"/>
    <w:rsid w:val="005D6C10"/>
    <w:rsid w:val="005E1B00"/>
    <w:rsid w:val="005E2911"/>
    <w:rsid w:val="005E4257"/>
    <w:rsid w:val="005E5AFD"/>
    <w:rsid w:val="005E7ED3"/>
    <w:rsid w:val="005F2A25"/>
    <w:rsid w:val="0060491D"/>
    <w:rsid w:val="00605A3F"/>
    <w:rsid w:val="00606EB9"/>
    <w:rsid w:val="00606FDC"/>
    <w:rsid w:val="0061215B"/>
    <w:rsid w:val="0061303E"/>
    <w:rsid w:val="006229C6"/>
    <w:rsid w:val="00624C2C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29B"/>
    <w:rsid w:val="00670F1B"/>
    <w:rsid w:val="00670F8E"/>
    <w:rsid w:val="0067418B"/>
    <w:rsid w:val="006746DD"/>
    <w:rsid w:val="006768D3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A702F"/>
    <w:rsid w:val="006B465A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7E8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2730"/>
    <w:rsid w:val="007352A1"/>
    <w:rsid w:val="00735F5A"/>
    <w:rsid w:val="007364B1"/>
    <w:rsid w:val="007370AF"/>
    <w:rsid w:val="00744530"/>
    <w:rsid w:val="00744C0D"/>
    <w:rsid w:val="00745BED"/>
    <w:rsid w:val="0075004A"/>
    <w:rsid w:val="007517C2"/>
    <w:rsid w:val="00751F3A"/>
    <w:rsid w:val="00752A6C"/>
    <w:rsid w:val="00752D90"/>
    <w:rsid w:val="007625D2"/>
    <w:rsid w:val="00764330"/>
    <w:rsid w:val="00764AC3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AB1"/>
    <w:rsid w:val="007E7FD6"/>
    <w:rsid w:val="007F5799"/>
    <w:rsid w:val="007F63B7"/>
    <w:rsid w:val="0080076F"/>
    <w:rsid w:val="00802785"/>
    <w:rsid w:val="0080496D"/>
    <w:rsid w:val="00807703"/>
    <w:rsid w:val="00810002"/>
    <w:rsid w:val="00811177"/>
    <w:rsid w:val="00812F22"/>
    <w:rsid w:val="0081518D"/>
    <w:rsid w:val="00815759"/>
    <w:rsid w:val="00823BA5"/>
    <w:rsid w:val="00824492"/>
    <w:rsid w:val="0082716A"/>
    <w:rsid w:val="00835F65"/>
    <w:rsid w:val="00836132"/>
    <w:rsid w:val="008378F4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B8B"/>
    <w:rsid w:val="008C1C13"/>
    <w:rsid w:val="008C212C"/>
    <w:rsid w:val="008C6B79"/>
    <w:rsid w:val="008D4FA0"/>
    <w:rsid w:val="008D7E6F"/>
    <w:rsid w:val="008E5E8E"/>
    <w:rsid w:val="008E7326"/>
    <w:rsid w:val="008E74DF"/>
    <w:rsid w:val="008F1D45"/>
    <w:rsid w:val="008F3284"/>
    <w:rsid w:val="0090353F"/>
    <w:rsid w:val="00906738"/>
    <w:rsid w:val="00907247"/>
    <w:rsid w:val="00913575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72D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07C0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5D19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339A6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0494"/>
    <w:rsid w:val="00A93E6D"/>
    <w:rsid w:val="00A9433A"/>
    <w:rsid w:val="00A95699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C6E6B"/>
    <w:rsid w:val="00AD3145"/>
    <w:rsid w:val="00AD6861"/>
    <w:rsid w:val="00AD7BB3"/>
    <w:rsid w:val="00AE4B31"/>
    <w:rsid w:val="00AE5680"/>
    <w:rsid w:val="00AE5879"/>
    <w:rsid w:val="00AF0854"/>
    <w:rsid w:val="00AF2721"/>
    <w:rsid w:val="00AF412F"/>
    <w:rsid w:val="00AF4EEB"/>
    <w:rsid w:val="00AF50F3"/>
    <w:rsid w:val="00AF71D7"/>
    <w:rsid w:val="00AF734A"/>
    <w:rsid w:val="00B10B32"/>
    <w:rsid w:val="00B1290A"/>
    <w:rsid w:val="00B15DE2"/>
    <w:rsid w:val="00B16FE0"/>
    <w:rsid w:val="00B171EC"/>
    <w:rsid w:val="00B206F1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4700D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25B5"/>
    <w:rsid w:val="00B862FE"/>
    <w:rsid w:val="00B9100E"/>
    <w:rsid w:val="00B97C46"/>
    <w:rsid w:val="00BA3EA8"/>
    <w:rsid w:val="00BA41F5"/>
    <w:rsid w:val="00BA4B46"/>
    <w:rsid w:val="00BB3D11"/>
    <w:rsid w:val="00BB4799"/>
    <w:rsid w:val="00BB61AA"/>
    <w:rsid w:val="00BB7289"/>
    <w:rsid w:val="00BC0996"/>
    <w:rsid w:val="00BC09BC"/>
    <w:rsid w:val="00BC0FA2"/>
    <w:rsid w:val="00BC12F5"/>
    <w:rsid w:val="00BC2916"/>
    <w:rsid w:val="00BC29EE"/>
    <w:rsid w:val="00BC322E"/>
    <w:rsid w:val="00BC4571"/>
    <w:rsid w:val="00BD1235"/>
    <w:rsid w:val="00BD3086"/>
    <w:rsid w:val="00BE191C"/>
    <w:rsid w:val="00BE2C99"/>
    <w:rsid w:val="00BE5B3B"/>
    <w:rsid w:val="00BE60CB"/>
    <w:rsid w:val="00BF0E7B"/>
    <w:rsid w:val="00BF0F17"/>
    <w:rsid w:val="00BF264C"/>
    <w:rsid w:val="00BF3CBA"/>
    <w:rsid w:val="00BF521F"/>
    <w:rsid w:val="00BF6162"/>
    <w:rsid w:val="00C033AC"/>
    <w:rsid w:val="00C03FD8"/>
    <w:rsid w:val="00C10D18"/>
    <w:rsid w:val="00C118B7"/>
    <w:rsid w:val="00C1236E"/>
    <w:rsid w:val="00C1272B"/>
    <w:rsid w:val="00C130C5"/>
    <w:rsid w:val="00C15666"/>
    <w:rsid w:val="00C22A3C"/>
    <w:rsid w:val="00C22AE1"/>
    <w:rsid w:val="00C23C14"/>
    <w:rsid w:val="00C24C4B"/>
    <w:rsid w:val="00C26C1A"/>
    <w:rsid w:val="00C279FE"/>
    <w:rsid w:val="00C3016E"/>
    <w:rsid w:val="00C31A05"/>
    <w:rsid w:val="00C32BAE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7D4"/>
    <w:rsid w:val="00C67BBD"/>
    <w:rsid w:val="00C70DA2"/>
    <w:rsid w:val="00C7295B"/>
    <w:rsid w:val="00C73297"/>
    <w:rsid w:val="00C76CB1"/>
    <w:rsid w:val="00C76CCD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38F5"/>
    <w:rsid w:val="00CF5B78"/>
    <w:rsid w:val="00D00B48"/>
    <w:rsid w:val="00D01DEF"/>
    <w:rsid w:val="00D03C29"/>
    <w:rsid w:val="00D04B15"/>
    <w:rsid w:val="00D060FC"/>
    <w:rsid w:val="00D07963"/>
    <w:rsid w:val="00D171D2"/>
    <w:rsid w:val="00D21934"/>
    <w:rsid w:val="00D2270C"/>
    <w:rsid w:val="00D22AEE"/>
    <w:rsid w:val="00D24135"/>
    <w:rsid w:val="00D26671"/>
    <w:rsid w:val="00D30807"/>
    <w:rsid w:val="00D36D45"/>
    <w:rsid w:val="00D37896"/>
    <w:rsid w:val="00D40D8F"/>
    <w:rsid w:val="00D428EF"/>
    <w:rsid w:val="00D4685F"/>
    <w:rsid w:val="00D47ACD"/>
    <w:rsid w:val="00D51DD3"/>
    <w:rsid w:val="00D52206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5C58"/>
    <w:rsid w:val="00D8633C"/>
    <w:rsid w:val="00D8673D"/>
    <w:rsid w:val="00D8716A"/>
    <w:rsid w:val="00D87972"/>
    <w:rsid w:val="00D90CCC"/>
    <w:rsid w:val="00D90DF8"/>
    <w:rsid w:val="00D912BB"/>
    <w:rsid w:val="00D9147D"/>
    <w:rsid w:val="00D94A9B"/>
    <w:rsid w:val="00D96746"/>
    <w:rsid w:val="00DA1378"/>
    <w:rsid w:val="00DA2A93"/>
    <w:rsid w:val="00DA2E3F"/>
    <w:rsid w:val="00DA407A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C6762"/>
    <w:rsid w:val="00DD146F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1639"/>
    <w:rsid w:val="00E525B5"/>
    <w:rsid w:val="00E5594E"/>
    <w:rsid w:val="00E57600"/>
    <w:rsid w:val="00E5761C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0DC8"/>
    <w:rsid w:val="00E910EA"/>
    <w:rsid w:val="00E95661"/>
    <w:rsid w:val="00E96D82"/>
    <w:rsid w:val="00E96F73"/>
    <w:rsid w:val="00EA2FE8"/>
    <w:rsid w:val="00EA680A"/>
    <w:rsid w:val="00EA7C24"/>
    <w:rsid w:val="00EB144D"/>
    <w:rsid w:val="00EC0437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33A2"/>
    <w:rsid w:val="00F246DF"/>
    <w:rsid w:val="00F26D2D"/>
    <w:rsid w:val="00F27E1A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3A1"/>
    <w:rsid w:val="00F70550"/>
    <w:rsid w:val="00F70B44"/>
    <w:rsid w:val="00F74E67"/>
    <w:rsid w:val="00F753A9"/>
    <w:rsid w:val="00F7607D"/>
    <w:rsid w:val="00F80A6E"/>
    <w:rsid w:val="00F848CB"/>
    <w:rsid w:val="00F84C09"/>
    <w:rsid w:val="00F87623"/>
    <w:rsid w:val="00F914AE"/>
    <w:rsid w:val="00F91D44"/>
    <w:rsid w:val="00F91FAC"/>
    <w:rsid w:val="00F93B55"/>
    <w:rsid w:val="00F962FA"/>
    <w:rsid w:val="00F9781B"/>
    <w:rsid w:val="00FA1095"/>
    <w:rsid w:val="00FA7F99"/>
    <w:rsid w:val="00FB0CC8"/>
    <w:rsid w:val="00FB549E"/>
    <w:rsid w:val="00FC12A6"/>
    <w:rsid w:val="00FC3326"/>
    <w:rsid w:val="00FC7149"/>
    <w:rsid w:val="00FD0A44"/>
    <w:rsid w:val="00FD57B2"/>
    <w:rsid w:val="00FD59E8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C9A7-CF47-4BE1-BF4C-86725B1A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416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2644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20</cp:revision>
  <cp:lastPrinted>2017-01-10T13:18:00Z</cp:lastPrinted>
  <dcterms:created xsi:type="dcterms:W3CDTF">2018-11-28T12:48:00Z</dcterms:created>
  <dcterms:modified xsi:type="dcterms:W3CDTF">2019-01-10T15:27:00Z</dcterms:modified>
</cp:coreProperties>
</file>